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5D65" w14:textId="45C339CA" w:rsidR="004B3FEC" w:rsidRDefault="00656580" w:rsidP="00E163D5">
      <w:pPr>
        <w:pStyle w:val="berschrift1"/>
      </w:pPr>
      <w:r w:rsidRPr="00656580">
        <w:t xml:space="preserve">Online Resource </w:t>
      </w:r>
      <w:r w:rsidR="000B2062">
        <w:t>3</w:t>
      </w:r>
      <w:r w:rsidR="00E163D5">
        <w:t xml:space="preserve"> – excluded studies</w:t>
      </w:r>
    </w:p>
    <w:p w14:paraId="5B9CEBB5" w14:textId="77777777" w:rsidR="00E163D5" w:rsidRDefault="00E163D5" w:rsidP="00E163D5"/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1866"/>
        <w:gridCol w:w="5747"/>
        <w:gridCol w:w="1601"/>
      </w:tblGrid>
      <w:tr w:rsidR="00E163D5" w:rsidRPr="00E163D5" w14:paraId="2C50EE02" w14:textId="77777777" w:rsidTr="00E163D5">
        <w:trPr>
          <w:trHeight w:val="636"/>
        </w:trPr>
        <w:tc>
          <w:tcPr>
            <w:tcW w:w="1866" w:type="dxa"/>
            <w:shd w:val="clear" w:color="auto" w:fill="D0CECE" w:themeFill="background2" w:themeFillShade="E6"/>
          </w:tcPr>
          <w:p w14:paraId="6AA06EFB" w14:textId="63D02E85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Study ID</w:t>
            </w:r>
          </w:p>
        </w:tc>
        <w:tc>
          <w:tcPr>
            <w:tcW w:w="5747" w:type="dxa"/>
            <w:shd w:val="clear" w:color="auto" w:fill="D0CECE" w:themeFill="background2" w:themeFillShade="E6"/>
          </w:tcPr>
          <w:p w14:paraId="38D6E736" w14:textId="314DF616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Tit</w:t>
            </w:r>
            <w:r w:rsidR="000B2062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le</w:t>
            </w:r>
            <w:r w:rsidRPr="00E163D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 xml:space="preserve"> / DOI</w:t>
            </w:r>
          </w:p>
        </w:tc>
        <w:tc>
          <w:tcPr>
            <w:tcW w:w="1601" w:type="dxa"/>
            <w:shd w:val="clear" w:color="auto" w:fill="D0CECE" w:themeFill="background2" w:themeFillShade="E6"/>
          </w:tcPr>
          <w:p w14:paraId="2770C561" w14:textId="3226E440" w:rsidR="00E163D5" w:rsidRPr="00E163D5" w:rsidRDefault="00DF0A51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Reason for ex</w:t>
            </w:r>
            <w:r w:rsidR="000B2062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clusion</w:t>
            </w:r>
          </w:p>
        </w:tc>
      </w:tr>
      <w:tr w:rsidR="00E163D5" w:rsidRPr="00E163D5" w14:paraId="1612B17A" w14:textId="77777777" w:rsidTr="00E163D5">
        <w:trPr>
          <w:trHeight w:val="1303"/>
        </w:trPr>
        <w:tc>
          <w:tcPr>
            <w:tcW w:w="1866" w:type="dxa"/>
          </w:tcPr>
          <w:p w14:paraId="03C83F92" w14:textId="5F8BC140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Amani 2018</w:t>
            </w:r>
          </w:p>
        </w:tc>
        <w:tc>
          <w:tcPr>
            <w:tcW w:w="5747" w:type="dxa"/>
          </w:tcPr>
          <w:p w14:paraId="36B70857" w14:textId="77777777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Comparison of calcaneus joint internal and external fractures in open surgery and minimal invasive methods in patients</w:t>
            </w:r>
          </w:p>
          <w:p w14:paraId="68C97E78" w14:textId="523420EB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 xml:space="preserve">DOI: </w:t>
            </w:r>
            <w:hyperlink r:id="rId4" w:tgtFrame="_blank" w:history="1">
              <w:r w:rsidRPr="00E163D5">
                <w:rPr>
                  <w:rStyle w:val="Hyperlink"/>
                  <w:rFonts w:cstheme="minorHAnsi"/>
                  <w:sz w:val="18"/>
                  <w:szCs w:val="18"/>
                </w:rPr>
                <w:t>10.4081/ejtm.2018.7352</w:t>
              </w:r>
            </w:hyperlink>
          </w:p>
        </w:tc>
        <w:tc>
          <w:tcPr>
            <w:tcW w:w="1601" w:type="dxa"/>
          </w:tcPr>
          <w:p w14:paraId="1505AEE1" w14:textId="101B6577" w:rsidR="00E163D5" w:rsidRPr="00E163D5" w:rsidRDefault="000B2062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Wrong intervention</w:t>
            </w:r>
          </w:p>
        </w:tc>
      </w:tr>
      <w:tr w:rsidR="00E163D5" w:rsidRPr="00E163D5" w14:paraId="137ABC9E" w14:textId="77777777" w:rsidTr="00E163D5">
        <w:trPr>
          <w:trHeight w:val="1614"/>
        </w:trPr>
        <w:tc>
          <w:tcPr>
            <w:tcW w:w="1866" w:type="dxa"/>
          </w:tcPr>
          <w:p w14:paraId="402F3A26" w14:textId="3824A89E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Cao 2022</w:t>
            </w:r>
          </w:p>
        </w:tc>
        <w:tc>
          <w:tcPr>
            <w:tcW w:w="5747" w:type="dxa"/>
          </w:tcPr>
          <w:p w14:paraId="18EB9F35" w14:textId="77777777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 xml:space="preserve">Percutaneous Cannulated Screw Fixation vs. Plating </w:t>
            </w:r>
            <w:proofErr w:type="gramStart"/>
            <w:r w:rsidRPr="00E163D5">
              <w:rPr>
                <w:rFonts w:cstheme="minorHAnsi"/>
                <w:sz w:val="18"/>
                <w:szCs w:val="18"/>
              </w:rPr>
              <w:t>With</w:t>
            </w:r>
            <w:proofErr w:type="gramEnd"/>
            <w:r w:rsidRPr="00E163D5">
              <w:rPr>
                <w:rFonts w:cstheme="minorHAnsi"/>
                <w:sz w:val="18"/>
                <w:szCs w:val="18"/>
              </w:rPr>
              <w:t xml:space="preserve"> Minimally Invasive Longitudinal Approach After Closed Reduction for Intra-Articular Tongue-Type Calcaneal Fractures</w:t>
            </w:r>
          </w:p>
          <w:p w14:paraId="37233A61" w14:textId="30ABD374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 xml:space="preserve">DOI: </w:t>
            </w:r>
            <w:hyperlink r:id="rId5" w:tgtFrame="_blank" w:history="1">
              <w:r w:rsidRPr="00E163D5">
                <w:rPr>
                  <w:rStyle w:val="Hyperlink"/>
                  <w:rFonts w:cstheme="minorHAnsi"/>
                  <w:sz w:val="18"/>
                  <w:szCs w:val="18"/>
                </w:rPr>
                <w:t>10.3389/fsurg.2022.854210</w:t>
              </w:r>
            </w:hyperlink>
          </w:p>
        </w:tc>
        <w:tc>
          <w:tcPr>
            <w:tcW w:w="1601" w:type="dxa"/>
          </w:tcPr>
          <w:p w14:paraId="5D835C59" w14:textId="1FB1282D" w:rsidR="00E163D5" w:rsidRPr="00E163D5" w:rsidRDefault="00E163D5" w:rsidP="00E163D5">
            <w:pPr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Wrong study design</w:t>
            </w:r>
          </w:p>
        </w:tc>
      </w:tr>
      <w:tr w:rsidR="000B2062" w:rsidRPr="00E163D5" w14:paraId="5C970C1C" w14:textId="77777777" w:rsidTr="00E163D5">
        <w:trPr>
          <w:trHeight w:val="962"/>
        </w:trPr>
        <w:tc>
          <w:tcPr>
            <w:tcW w:w="1866" w:type="dxa"/>
          </w:tcPr>
          <w:p w14:paraId="0C2980E6" w14:textId="73792130" w:rsidR="000B2062" w:rsidRPr="00E163D5" w:rsidRDefault="000B2062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El-Azab 2022</w:t>
            </w:r>
          </w:p>
        </w:tc>
        <w:tc>
          <w:tcPr>
            <w:tcW w:w="5747" w:type="dxa"/>
          </w:tcPr>
          <w:p w14:paraId="01800F33" w14:textId="77777777" w:rsidR="000B2062" w:rsidRDefault="000B2062" w:rsidP="00656580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656580">
              <w:rPr>
                <w:rFonts w:cstheme="minorHAnsi"/>
                <w:sz w:val="18"/>
                <w:szCs w:val="18"/>
              </w:rPr>
              <w:t xml:space="preserve">A prospective comparative study between percutaneous cannulated screws and Kirschner wires in treatment of displaced intra-articular calcaneal fractures.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77222BD" w14:textId="63254B46" w:rsidR="000B2062" w:rsidRPr="00656580" w:rsidRDefault="000B2062" w:rsidP="00656580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656580">
              <w:rPr>
                <w:rFonts w:cstheme="minorHAnsi"/>
                <w:kern w:val="2"/>
                <w:sz w:val="18"/>
                <w:szCs w:val="18"/>
                <w14:ligatures w14:val="standardContextual"/>
              </w:rPr>
              <w:t xml:space="preserve">DOI: </w:t>
            </w:r>
            <w:hyperlink r:id="rId6" w:tgtFrame="_blank" w:history="1">
              <w:r w:rsidRPr="00656580">
                <w:rPr>
                  <w:rStyle w:val="Hyperlink"/>
                  <w:rFonts w:cstheme="minorHAnsi"/>
                  <w:kern w:val="2"/>
                  <w:sz w:val="18"/>
                  <w:szCs w:val="18"/>
                  <w14:ligatures w14:val="standardContextual"/>
                </w:rPr>
                <w:t>10.1007/s00264-022-05521-y</w:t>
              </w:r>
            </w:hyperlink>
            <w:r w:rsidRPr="00656580">
              <w:rPr>
                <w:rFonts w:cstheme="minorHAnsi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2F42ADCE" w14:textId="77777777" w:rsidR="000B2062" w:rsidRPr="000B2062" w:rsidRDefault="000B2062" w:rsidP="0065658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dxa"/>
          </w:tcPr>
          <w:p w14:paraId="2C127ECB" w14:textId="45292C06" w:rsidR="000B2062" w:rsidRPr="00E163D5" w:rsidRDefault="000B2062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Wrong intervention</w:t>
            </w:r>
          </w:p>
        </w:tc>
      </w:tr>
      <w:tr w:rsidR="00E163D5" w:rsidRPr="00E163D5" w14:paraId="0BF77366" w14:textId="77777777" w:rsidTr="00E163D5">
        <w:trPr>
          <w:trHeight w:val="962"/>
        </w:trPr>
        <w:tc>
          <w:tcPr>
            <w:tcW w:w="1866" w:type="dxa"/>
          </w:tcPr>
          <w:p w14:paraId="5D257FFF" w14:textId="0D837656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Fan 2016</w:t>
            </w:r>
          </w:p>
        </w:tc>
        <w:tc>
          <w:tcPr>
            <w:tcW w:w="5747" w:type="dxa"/>
          </w:tcPr>
          <w:p w14:paraId="0A14F52E" w14:textId="77777777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Cannulated screw fixation and plate fixation for displaced intra-articular calcaneus fracture</w:t>
            </w:r>
          </w:p>
          <w:p w14:paraId="241A172A" w14:textId="11CAC80F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 xml:space="preserve">DOI: </w:t>
            </w:r>
            <w:hyperlink r:id="rId7" w:tgtFrame="_blank" w:tooltip="Persistent link using digital object identifier" w:history="1">
              <w:r w:rsidRPr="00E163D5">
                <w:rPr>
                  <w:rStyle w:val="anchor-text"/>
                  <w:rFonts w:cstheme="minorHAnsi"/>
                  <w:color w:val="0000FF"/>
                  <w:sz w:val="18"/>
                  <w:szCs w:val="18"/>
                  <w:u w:val="single"/>
                </w:rPr>
                <w:t>https://doi.org/10.1016/j.ijsu.2016.08.234</w:t>
              </w:r>
            </w:hyperlink>
          </w:p>
        </w:tc>
        <w:tc>
          <w:tcPr>
            <w:tcW w:w="1601" w:type="dxa"/>
          </w:tcPr>
          <w:p w14:paraId="17F7795C" w14:textId="77DF0635" w:rsidR="00E163D5" w:rsidRPr="00E163D5" w:rsidRDefault="00E163D5" w:rsidP="00A704C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Wrong study design</w:t>
            </w:r>
          </w:p>
        </w:tc>
      </w:tr>
      <w:tr w:rsidR="003E46EF" w:rsidRPr="00E163D5" w14:paraId="200A9D57" w14:textId="77777777" w:rsidTr="00E163D5">
        <w:trPr>
          <w:trHeight w:val="1614"/>
        </w:trPr>
        <w:tc>
          <w:tcPr>
            <w:tcW w:w="1866" w:type="dxa"/>
          </w:tcPr>
          <w:p w14:paraId="68F6A807" w14:textId="5F1AF9FA" w:rsidR="003E46EF" w:rsidRPr="00E163D5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Kir 2018</w:t>
            </w:r>
          </w:p>
        </w:tc>
        <w:tc>
          <w:tcPr>
            <w:tcW w:w="5747" w:type="dxa"/>
          </w:tcPr>
          <w:p w14:paraId="3A8E86E3" w14:textId="77777777" w:rsidR="003E46EF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E46EF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Mini-plate fixation via sinus tarsi approach is superior to cannulated screw in intra-articular calcaneal fractures</w:t>
            </w:r>
          </w:p>
          <w:p w14:paraId="41733E8D" w14:textId="77777777" w:rsidR="003E46EF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Doi: </w:t>
            </w:r>
            <w:r w:rsidRPr="003E46EF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10.1177/2309499018792742</w:t>
            </w:r>
          </w:p>
          <w:p w14:paraId="59991259" w14:textId="5D423017" w:rsidR="003E46EF" w:rsidRPr="00E163D5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</w:tcPr>
          <w:p w14:paraId="6061B932" w14:textId="3B44B83C" w:rsidR="003E46EF" w:rsidRPr="00E163D5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Wrong intervention</w:t>
            </w:r>
          </w:p>
        </w:tc>
      </w:tr>
      <w:tr w:rsidR="00E163D5" w:rsidRPr="00E163D5" w14:paraId="53983A30" w14:textId="77777777" w:rsidTr="00E163D5">
        <w:trPr>
          <w:trHeight w:val="1614"/>
        </w:trPr>
        <w:tc>
          <w:tcPr>
            <w:tcW w:w="1866" w:type="dxa"/>
          </w:tcPr>
          <w:p w14:paraId="487B6C24" w14:textId="1B634E3E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Mansur 2021</w:t>
            </w:r>
          </w:p>
        </w:tc>
        <w:tc>
          <w:tcPr>
            <w:tcW w:w="5747" w:type="dxa"/>
          </w:tcPr>
          <w:p w14:paraId="23CBE3DD" w14:textId="122A6544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Clinical trial registration:</w:t>
            </w:r>
          </w:p>
          <w:p w14:paraId="40598F6E" w14:textId="46E03E89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Bio-Integrative Versus Metallic Screws for Calcaneus Osteotomies</w:t>
            </w:r>
          </w:p>
          <w:p w14:paraId="41A85B0B" w14:textId="178594DE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Registration number: </w:t>
            </w:r>
            <w:r w:rsidRPr="00E163D5">
              <w:rPr>
                <w:rFonts w:cstheme="minorHAnsi"/>
                <w:sz w:val="18"/>
                <w:szCs w:val="18"/>
              </w:rPr>
              <w:t>NCT05018130</w:t>
            </w:r>
          </w:p>
        </w:tc>
        <w:tc>
          <w:tcPr>
            <w:tcW w:w="1601" w:type="dxa"/>
          </w:tcPr>
          <w:p w14:paraId="72B98E62" w14:textId="536B605B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comparator</w:t>
            </w:r>
          </w:p>
        </w:tc>
      </w:tr>
      <w:tr w:rsidR="00E163D5" w:rsidRPr="00E163D5" w14:paraId="54D79250" w14:textId="77777777" w:rsidTr="00E163D5">
        <w:trPr>
          <w:trHeight w:val="1629"/>
        </w:trPr>
        <w:tc>
          <w:tcPr>
            <w:tcW w:w="1866" w:type="dxa"/>
          </w:tcPr>
          <w:p w14:paraId="4618E6BD" w14:textId="3804AAA4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Peng 2019</w:t>
            </w:r>
          </w:p>
        </w:tc>
        <w:tc>
          <w:tcPr>
            <w:tcW w:w="5747" w:type="dxa"/>
          </w:tcPr>
          <w:p w14:paraId="1FE02779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Reduction and functional outcome of open reduction plate fixation versus minimally invasive reduction with percutaneous screw fixation for displaced calcaneus fracture</w:t>
            </w:r>
          </w:p>
          <w:p w14:paraId="1A341AF8" w14:textId="4B7509FA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DOI: https://doi.org/10.1186/s13018-019-1162-5</w:t>
            </w:r>
          </w:p>
        </w:tc>
        <w:tc>
          <w:tcPr>
            <w:tcW w:w="1601" w:type="dxa"/>
          </w:tcPr>
          <w:p w14:paraId="5BFB5ACF" w14:textId="0F42E193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Wrong study design</w:t>
            </w:r>
          </w:p>
        </w:tc>
      </w:tr>
      <w:tr w:rsidR="00E163D5" w:rsidRPr="00E163D5" w14:paraId="45082751" w14:textId="77777777" w:rsidTr="00E163D5">
        <w:trPr>
          <w:trHeight w:val="962"/>
        </w:trPr>
        <w:tc>
          <w:tcPr>
            <w:tcW w:w="1866" w:type="dxa"/>
          </w:tcPr>
          <w:p w14:paraId="61FD0632" w14:textId="740C046F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Rastegar 2021</w:t>
            </w:r>
          </w:p>
        </w:tc>
        <w:tc>
          <w:tcPr>
            <w:tcW w:w="5747" w:type="dxa"/>
          </w:tcPr>
          <w:p w14:paraId="6A3CD420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Extensile approach versus minimally invasive technique in management of calcaneus fractures.</w:t>
            </w:r>
          </w:p>
          <w:p w14:paraId="2ECC3833" w14:textId="136D854B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ISSN:2160-2026/IJBT0123875</w:t>
            </w:r>
          </w:p>
        </w:tc>
        <w:tc>
          <w:tcPr>
            <w:tcW w:w="1601" w:type="dxa"/>
          </w:tcPr>
          <w:p w14:paraId="6B94C2F5" w14:textId="4E7D62A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intervention</w:t>
            </w:r>
          </w:p>
        </w:tc>
      </w:tr>
      <w:tr w:rsidR="00E163D5" w:rsidRPr="00E163D5" w14:paraId="5176E786" w14:textId="77777777" w:rsidTr="00E163D5">
        <w:trPr>
          <w:trHeight w:val="1288"/>
        </w:trPr>
        <w:tc>
          <w:tcPr>
            <w:tcW w:w="1866" w:type="dxa"/>
          </w:tcPr>
          <w:p w14:paraId="597223B0" w14:textId="6BCE4AA1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Sato 2022</w:t>
            </w:r>
          </w:p>
        </w:tc>
        <w:tc>
          <w:tcPr>
            <w:tcW w:w="5747" w:type="dxa"/>
          </w:tcPr>
          <w:p w14:paraId="5FDE25C9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Comparison of screw versus locking plate fixation via sinus tarsi approach for displaced intra-articular calcaneal fractures.</w:t>
            </w:r>
          </w:p>
          <w:p w14:paraId="681AFF87" w14:textId="4CC2B948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 xml:space="preserve">DOI: </w:t>
            </w:r>
            <w:hyperlink r:id="rId8" w:tgtFrame="_blank" w:tooltip="Persistent link using digital object identifier" w:history="1">
              <w:r w:rsidRPr="00E163D5">
                <w:rPr>
                  <w:rStyle w:val="anchor-text"/>
                  <w:rFonts w:cstheme="minorHAnsi"/>
                  <w:color w:val="0000FF"/>
                  <w:sz w:val="18"/>
                  <w:szCs w:val="18"/>
                  <w:u w:val="single"/>
                </w:rPr>
                <w:t>https://doi.org/10.1016/j.fas.2022.11.002</w:t>
              </w:r>
            </w:hyperlink>
          </w:p>
        </w:tc>
        <w:tc>
          <w:tcPr>
            <w:tcW w:w="1601" w:type="dxa"/>
          </w:tcPr>
          <w:p w14:paraId="6EC9DED8" w14:textId="0B1E6388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study design</w:t>
            </w:r>
          </w:p>
        </w:tc>
      </w:tr>
      <w:tr w:rsidR="00E163D5" w:rsidRPr="00E163D5" w14:paraId="00468BC9" w14:textId="77777777" w:rsidTr="00E163D5">
        <w:trPr>
          <w:trHeight w:val="1288"/>
        </w:trPr>
        <w:tc>
          <w:tcPr>
            <w:tcW w:w="1866" w:type="dxa"/>
          </w:tcPr>
          <w:p w14:paraId="2D802D0E" w14:textId="12B50AC4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Sugimoto 2021</w:t>
            </w:r>
          </w:p>
        </w:tc>
        <w:tc>
          <w:tcPr>
            <w:tcW w:w="5747" w:type="dxa"/>
          </w:tcPr>
          <w:p w14:paraId="21D60E91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Plate fixation through the lateral extensile approach versus cannulated screw fixation through the sinus tarsi approach for calcaneal fracture</w:t>
            </w:r>
          </w:p>
          <w:p w14:paraId="1535B6F9" w14:textId="7C7DEDAF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DOI: https://doi.org/10.1007/s00590-021-03115-9</w:t>
            </w:r>
          </w:p>
        </w:tc>
        <w:tc>
          <w:tcPr>
            <w:tcW w:w="1601" w:type="dxa"/>
          </w:tcPr>
          <w:p w14:paraId="48B91AD0" w14:textId="43C12063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study design</w:t>
            </w:r>
          </w:p>
        </w:tc>
      </w:tr>
      <w:tr w:rsidR="00E163D5" w:rsidRPr="00E163D5" w14:paraId="63BBF310" w14:textId="77777777" w:rsidTr="00E163D5">
        <w:trPr>
          <w:trHeight w:val="977"/>
        </w:trPr>
        <w:tc>
          <w:tcPr>
            <w:tcW w:w="1866" w:type="dxa"/>
          </w:tcPr>
          <w:p w14:paraId="001CF8AE" w14:textId="0296DB35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Wang 2021</w:t>
            </w:r>
          </w:p>
        </w:tc>
        <w:tc>
          <w:tcPr>
            <w:tcW w:w="5747" w:type="dxa"/>
          </w:tcPr>
          <w:p w14:paraId="099A2632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Cannulated screw fixation versus plate fixation in treating displaced intra-articular calcaneus fractures</w:t>
            </w:r>
          </w:p>
          <w:p w14:paraId="3D9CDEE9" w14:textId="257BA700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DOI: https://doi.org/10.1007/s00264-021-05141-y</w:t>
            </w:r>
          </w:p>
        </w:tc>
        <w:tc>
          <w:tcPr>
            <w:tcW w:w="1601" w:type="dxa"/>
          </w:tcPr>
          <w:p w14:paraId="4620647D" w14:textId="6F122F2C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study design</w:t>
            </w:r>
          </w:p>
        </w:tc>
      </w:tr>
      <w:tr w:rsidR="00E163D5" w:rsidRPr="00E163D5" w14:paraId="15E06BF4" w14:textId="77777777" w:rsidTr="00E163D5">
        <w:trPr>
          <w:trHeight w:val="636"/>
        </w:trPr>
        <w:tc>
          <w:tcPr>
            <w:tcW w:w="1866" w:type="dxa"/>
          </w:tcPr>
          <w:p w14:paraId="77789E1C" w14:textId="795B813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X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u</w:t>
            </w: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 xml:space="preserve"> 2020</w:t>
            </w:r>
          </w:p>
          <w:p w14:paraId="395735AD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A71B12C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65811CD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BDBC4D2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0642B813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22875E5" w14:textId="7777777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077F0D2B" w14:textId="04C9B6E0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Xu 2021</w:t>
            </w:r>
          </w:p>
        </w:tc>
        <w:tc>
          <w:tcPr>
            <w:tcW w:w="5747" w:type="dxa"/>
          </w:tcPr>
          <w:p w14:paraId="58C01F8A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Clinical trial registration:</w:t>
            </w:r>
          </w:p>
          <w:p w14:paraId="259F4F98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Sinus tarsi approach combined with percutaneous medial reduction by leverage technique for intra-articular calcaneal fractures</w:t>
            </w:r>
          </w:p>
          <w:p w14:paraId="50F49551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>Registration number: ChiCTR2000038023</w:t>
            </w:r>
          </w:p>
          <w:p w14:paraId="74083C4A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CD5B6AA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163D5">
              <w:rPr>
                <w:rFonts w:cstheme="minorHAnsi"/>
                <w:sz w:val="18"/>
                <w:szCs w:val="18"/>
              </w:rPr>
              <w:t xml:space="preserve">Sinus Tarsi Approach </w:t>
            </w:r>
            <w:proofErr w:type="gramStart"/>
            <w:r w:rsidRPr="00E163D5">
              <w:rPr>
                <w:rFonts w:cstheme="minorHAnsi"/>
                <w:sz w:val="18"/>
                <w:szCs w:val="18"/>
              </w:rPr>
              <w:t>With</w:t>
            </w:r>
            <w:proofErr w:type="gramEnd"/>
            <w:r w:rsidRPr="00E163D5">
              <w:rPr>
                <w:rFonts w:cstheme="minorHAnsi"/>
                <w:sz w:val="18"/>
                <w:szCs w:val="18"/>
              </w:rPr>
              <w:t xml:space="preserve"> Percutaneous Screw Fixation for Intra-Articular Calcaneal Fractures.</w:t>
            </w:r>
          </w:p>
          <w:p w14:paraId="2CBD4128" w14:textId="618B7961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163D5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DOI: </w:t>
            </w:r>
            <w:hyperlink r:id="rId9" w:history="1">
              <w:r w:rsidRPr="00E163D5">
                <w:rPr>
                  <w:rStyle w:val="Hyperlink"/>
                  <w:rFonts w:cstheme="minorHAnsi"/>
                  <w:sz w:val="18"/>
                  <w:szCs w:val="18"/>
                </w:rPr>
                <w:t>https://doi.org/10.1053/j.jfas.2021.11.018</w:t>
              </w:r>
            </w:hyperlink>
          </w:p>
        </w:tc>
        <w:tc>
          <w:tcPr>
            <w:tcW w:w="1601" w:type="dxa"/>
          </w:tcPr>
          <w:p w14:paraId="7379773E" w14:textId="27223C51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study design</w:t>
            </w:r>
          </w:p>
        </w:tc>
      </w:tr>
      <w:tr w:rsidR="003E46EF" w:rsidRPr="00E163D5" w14:paraId="2A3D8A29" w14:textId="77777777" w:rsidTr="00E163D5">
        <w:trPr>
          <w:trHeight w:val="141"/>
        </w:trPr>
        <w:tc>
          <w:tcPr>
            <w:tcW w:w="1866" w:type="dxa"/>
          </w:tcPr>
          <w:p w14:paraId="16026636" w14:textId="4DD9CDFF" w:rsidR="003E46EF" w:rsidRPr="00E163D5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Zhang 2012</w:t>
            </w:r>
          </w:p>
        </w:tc>
        <w:tc>
          <w:tcPr>
            <w:tcW w:w="5747" w:type="dxa"/>
          </w:tcPr>
          <w:p w14:paraId="2DFFD2ED" w14:textId="77777777" w:rsidR="003E46EF" w:rsidRDefault="003E46EF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E46EF">
              <w:rPr>
                <w:rFonts w:cstheme="minorHAnsi"/>
                <w:color w:val="000000" w:themeColor="text1"/>
                <w:sz w:val="18"/>
                <w:szCs w:val="18"/>
              </w:rPr>
              <w:t>A comparison of absorbable screws and metallic plates in treating calcaneal fractures: A prospective randomized trial</w:t>
            </w:r>
          </w:p>
          <w:p w14:paraId="7517DD96" w14:textId="676A44C8" w:rsidR="003E46EF" w:rsidRPr="00E163D5" w:rsidRDefault="003E46EF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DOI: </w:t>
            </w:r>
            <w:hyperlink r:id="rId10" w:history="1">
              <w:r w:rsidRPr="00D43E84">
                <w:rPr>
                  <w:rStyle w:val="Hyperlink"/>
                  <w:rFonts w:cstheme="minorHAnsi"/>
                  <w:sz w:val="18"/>
                  <w:szCs w:val="18"/>
                </w:rPr>
                <w:t>https://journals.lww.com/01586154-201202000-00057</w:t>
              </w:r>
            </w:hyperlink>
          </w:p>
        </w:tc>
        <w:tc>
          <w:tcPr>
            <w:tcW w:w="1601" w:type="dxa"/>
          </w:tcPr>
          <w:p w14:paraId="2F9CB7A2" w14:textId="3C1BC2EC" w:rsidR="003E46EF" w:rsidRPr="00E163D5" w:rsidRDefault="003E46EF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Wrong intervention</w:t>
            </w:r>
          </w:p>
        </w:tc>
      </w:tr>
      <w:tr w:rsidR="00E163D5" w:rsidRPr="00E163D5" w14:paraId="0CF6D394" w14:textId="77777777" w:rsidTr="00E163D5">
        <w:trPr>
          <w:trHeight w:val="141"/>
        </w:trPr>
        <w:tc>
          <w:tcPr>
            <w:tcW w:w="1866" w:type="dxa"/>
          </w:tcPr>
          <w:p w14:paraId="1A18C55F" w14:textId="31690897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Zhai 2021</w:t>
            </w:r>
          </w:p>
          <w:p w14:paraId="487A40BC" w14:textId="6770C272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47" w:type="dxa"/>
          </w:tcPr>
          <w:p w14:paraId="59048C9C" w14:textId="77777777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Application Comparison of Closed Reduction with Hollow Screw Internal Fixation and Open Reduction with Special Shaped Plate Internal Fixation in Calcaneal Fracture.</w:t>
            </w:r>
          </w:p>
          <w:p w14:paraId="792ABD9C" w14:textId="2ABAFA42" w:rsidR="00E163D5" w:rsidRPr="00E163D5" w:rsidRDefault="00E163D5" w:rsidP="00E163D5">
            <w:pPr>
              <w:tabs>
                <w:tab w:val="left" w:pos="431"/>
              </w:tabs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DOI: </w:t>
            </w:r>
            <w:hyperlink r:id="rId11" w:tgtFrame="_blank" w:history="1">
              <w:r w:rsidRPr="00E163D5">
                <w:rPr>
                  <w:rStyle w:val="Hyperlink"/>
                  <w:rFonts w:cstheme="minorHAnsi"/>
                  <w:sz w:val="18"/>
                  <w:szCs w:val="18"/>
                </w:rPr>
                <w:t>10.36468/pharmaceutical-sciences.spl.231</w:t>
              </w:r>
            </w:hyperlink>
          </w:p>
        </w:tc>
        <w:tc>
          <w:tcPr>
            <w:tcW w:w="1601" w:type="dxa"/>
          </w:tcPr>
          <w:p w14:paraId="77B8F0B2" w14:textId="07E2F856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study design</w:t>
            </w:r>
          </w:p>
        </w:tc>
      </w:tr>
      <w:tr w:rsidR="00E163D5" w:rsidRPr="00E163D5" w14:paraId="5095B3BD" w14:textId="77777777" w:rsidTr="00E163D5">
        <w:trPr>
          <w:trHeight w:val="1303"/>
        </w:trPr>
        <w:tc>
          <w:tcPr>
            <w:tcW w:w="1866" w:type="dxa"/>
          </w:tcPr>
          <w:p w14:paraId="6FE6A815" w14:textId="352ADDFE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Zhou 2022</w:t>
            </w:r>
          </w:p>
        </w:tc>
        <w:tc>
          <w:tcPr>
            <w:tcW w:w="5747" w:type="dxa"/>
          </w:tcPr>
          <w:p w14:paraId="2CDFFF1E" w14:textId="1A4613DA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163D5">
              <w:rPr>
                <w:rFonts w:cstheme="minorHAnsi"/>
                <w:sz w:val="18"/>
                <w:szCs w:val="18"/>
              </w:rPr>
              <w:t xml:space="preserve">Observation on the effect of minimally invasive reduction and fixation of Sanders types </w:t>
            </w:r>
            <w:r w:rsidRPr="00E163D5">
              <w:rPr>
                <w:rFonts w:ascii="MS Gothic" w:eastAsia="MS Gothic" w:hAnsi="MS Gothic" w:cs="MS Gothic" w:hint="eastAsia"/>
                <w:sz w:val="18"/>
                <w:szCs w:val="18"/>
              </w:rPr>
              <w:t>Ⅱ</w:t>
            </w:r>
            <w:r w:rsidRPr="00E163D5">
              <w:rPr>
                <w:rFonts w:cstheme="minorHAnsi"/>
                <w:sz w:val="18"/>
                <w:szCs w:val="18"/>
              </w:rPr>
              <w:t xml:space="preserve"> and </w:t>
            </w:r>
            <w:r w:rsidRPr="00E163D5">
              <w:rPr>
                <w:rFonts w:ascii="MS Gothic" w:eastAsia="MS Gothic" w:hAnsi="MS Gothic" w:cs="MS Gothic" w:hint="eastAsia"/>
                <w:sz w:val="18"/>
                <w:szCs w:val="18"/>
              </w:rPr>
              <w:t>Ⅲ</w:t>
            </w:r>
            <w:r w:rsidRPr="00E163D5">
              <w:rPr>
                <w:rFonts w:cstheme="minorHAnsi"/>
                <w:sz w:val="18"/>
                <w:szCs w:val="18"/>
              </w:rPr>
              <w:t xml:space="preserve"> intra-articular calcaneal fractures under full arthroscopy</w:t>
            </w:r>
          </w:p>
          <w:p w14:paraId="53BB5559" w14:textId="0118BB8F" w:rsidR="00E163D5" w:rsidRPr="00E163D5" w:rsidRDefault="00E163D5" w:rsidP="00E163D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DOI: </w:t>
            </w:r>
            <w:hyperlink r:id="rId12" w:tgtFrame="_blank" w:history="1">
              <w:r w:rsidRPr="00E163D5">
                <w:rPr>
                  <w:rStyle w:val="Hyperlink"/>
                  <w:rFonts w:cstheme="minorHAnsi"/>
                  <w:sz w:val="18"/>
                  <w:szCs w:val="18"/>
                </w:rPr>
                <w:t>10.3760/cma.j.cn101202-20220126-00028</w:t>
              </w:r>
            </w:hyperlink>
          </w:p>
        </w:tc>
        <w:tc>
          <w:tcPr>
            <w:tcW w:w="1601" w:type="dxa"/>
          </w:tcPr>
          <w:p w14:paraId="54C62567" w14:textId="1D59BBB8" w:rsidR="00E163D5" w:rsidRPr="00E163D5" w:rsidRDefault="00E163D5" w:rsidP="00E163D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163D5">
              <w:rPr>
                <w:rFonts w:cstheme="minorHAnsi"/>
                <w:color w:val="000000" w:themeColor="text1"/>
                <w:sz w:val="18"/>
                <w:szCs w:val="18"/>
              </w:rPr>
              <w:t>Wrong language</w:t>
            </w:r>
          </w:p>
        </w:tc>
      </w:tr>
    </w:tbl>
    <w:p w14:paraId="043E71CD" w14:textId="77777777" w:rsidR="00E163D5" w:rsidRPr="00E163D5" w:rsidRDefault="00E163D5" w:rsidP="00E163D5"/>
    <w:sectPr w:rsidR="00E163D5" w:rsidRPr="00E163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D5"/>
    <w:rsid w:val="000B2062"/>
    <w:rsid w:val="001E7D4C"/>
    <w:rsid w:val="00372D8E"/>
    <w:rsid w:val="00397025"/>
    <w:rsid w:val="003E46EF"/>
    <w:rsid w:val="004B3FEC"/>
    <w:rsid w:val="004D6B8C"/>
    <w:rsid w:val="005A47FF"/>
    <w:rsid w:val="005D01CE"/>
    <w:rsid w:val="0064791B"/>
    <w:rsid w:val="00656580"/>
    <w:rsid w:val="00704B08"/>
    <w:rsid w:val="00705E42"/>
    <w:rsid w:val="00714EF5"/>
    <w:rsid w:val="007B4CAE"/>
    <w:rsid w:val="008E78CA"/>
    <w:rsid w:val="0091061F"/>
    <w:rsid w:val="00923E62"/>
    <w:rsid w:val="0095644A"/>
    <w:rsid w:val="00A3525E"/>
    <w:rsid w:val="00B57FE2"/>
    <w:rsid w:val="00BD2A87"/>
    <w:rsid w:val="00C70B3A"/>
    <w:rsid w:val="00DA3A6A"/>
    <w:rsid w:val="00DA5B2B"/>
    <w:rsid w:val="00DF0A51"/>
    <w:rsid w:val="00E163D5"/>
    <w:rsid w:val="00E53D40"/>
    <w:rsid w:val="00EA6D5C"/>
    <w:rsid w:val="00EB6949"/>
    <w:rsid w:val="00EC2918"/>
    <w:rsid w:val="00EF0BC1"/>
    <w:rsid w:val="00FD4F40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A4FC"/>
  <w15:chartTrackingRefBased/>
  <w15:docId w15:val="{9FA58993-05B4-DE47-A0F8-48331E60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63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63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ellenraster">
    <w:name w:val="Table Grid"/>
    <w:basedOn w:val="NormaleTabelle"/>
    <w:uiPriority w:val="39"/>
    <w:rsid w:val="00E163D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163D5"/>
    <w:rPr>
      <w:color w:val="0000FF"/>
      <w:u w:val="single"/>
    </w:rPr>
  </w:style>
  <w:style w:type="character" w:customStyle="1" w:styleId="doi">
    <w:name w:val="doi"/>
    <w:basedOn w:val="Absatz-Standardschriftart"/>
    <w:rsid w:val="00E163D5"/>
  </w:style>
  <w:style w:type="character" w:customStyle="1" w:styleId="anchor-text">
    <w:name w:val="anchor-text"/>
    <w:basedOn w:val="Absatz-Standardschriftart"/>
    <w:rsid w:val="00E163D5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63D5"/>
    <w:rPr>
      <w:color w:val="605E5C"/>
      <w:shd w:val="clear" w:color="auto" w:fill="E1DFDD"/>
    </w:rPr>
  </w:style>
  <w:style w:type="character" w:customStyle="1" w:styleId="article-headerdoi">
    <w:name w:val="article-header__doi"/>
    <w:basedOn w:val="Absatz-Standardschriftart"/>
    <w:rsid w:val="00E163D5"/>
  </w:style>
  <w:style w:type="paragraph" w:styleId="berarbeitung">
    <w:name w:val="Revision"/>
    <w:hidden/>
    <w:uiPriority w:val="99"/>
    <w:semiHidden/>
    <w:rsid w:val="000B2062"/>
    <w:rPr>
      <w:lang w:val="en-US"/>
    </w:rPr>
  </w:style>
  <w:style w:type="paragraph" w:customStyle="1" w:styleId="authors">
    <w:name w:val="authors"/>
    <w:basedOn w:val="Standard"/>
    <w:rsid w:val="000B20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customStyle="1" w:styleId="journal">
    <w:name w:val="journal"/>
    <w:basedOn w:val="Standard"/>
    <w:rsid w:val="000B20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customStyle="1" w:styleId="publisher">
    <w:name w:val="publisher"/>
    <w:basedOn w:val="Standard"/>
    <w:rsid w:val="000B20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customStyle="1" w:styleId="ref-ids">
    <w:name w:val="ref-ids"/>
    <w:basedOn w:val="Standard"/>
    <w:rsid w:val="000B20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8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80"/>
    <w:rPr>
      <w:rFonts w:ascii="Segoe UI" w:hAnsi="Segoe UI" w:cs="Segoe UI"/>
      <w:sz w:val="18"/>
      <w:szCs w:val="18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fas.2022.11.00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ijsu.2016.08.234" TargetMode="External"/><Relationship Id="rId12" Type="http://schemas.openxmlformats.org/officeDocument/2006/relationships/hyperlink" Target="https://dx.doi.org/10.3760/cma.j.cn101202-20220126-000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x.doi.org/10.1007/s00264-022-05521-y" TargetMode="External"/><Relationship Id="rId11" Type="http://schemas.openxmlformats.org/officeDocument/2006/relationships/hyperlink" Target="https://dx.doi.org/10.36468/pharmaceutical-sciences.spl.231" TargetMode="External"/><Relationship Id="rId5" Type="http://schemas.openxmlformats.org/officeDocument/2006/relationships/hyperlink" Target="https://doi.org/10.3389%2Ffsurg.2022.854210" TargetMode="External"/><Relationship Id="rId10" Type="http://schemas.openxmlformats.org/officeDocument/2006/relationships/hyperlink" Target="https://journals.lww.com/01586154-201202000-00057" TargetMode="External"/><Relationship Id="rId4" Type="http://schemas.openxmlformats.org/officeDocument/2006/relationships/hyperlink" Target="https://dx.doi.org/10.4081/ejtm.2018.7352" TargetMode="External"/><Relationship Id="rId9" Type="http://schemas.openxmlformats.org/officeDocument/2006/relationships/hyperlink" Target="https://doi.org/10.1053/j.jfas.2021.11.0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Neubert</dc:creator>
  <cp:keywords/>
  <dc:description/>
  <cp:lastModifiedBy>Anne Neubert</cp:lastModifiedBy>
  <cp:revision>2</cp:revision>
  <dcterms:created xsi:type="dcterms:W3CDTF">2025-11-07T20:25:00Z</dcterms:created>
  <dcterms:modified xsi:type="dcterms:W3CDTF">2025-11-07T20:25:00Z</dcterms:modified>
</cp:coreProperties>
</file>