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B6A02" w14:textId="23513499" w:rsidR="009825CA" w:rsidRDefault="009825CA">
      <w:pPr>
        <w:rPr>
          <w:lang w:val="en-US"/>
        </w:rPr>
      </w:pPr>
      <w:r>
        <w:rPr>
          <w:lang w:val="en-US"/>
        </w:rPr>
        <w:t>Suppl Figure</w:t>
      </w:r>
    </w:p>
    <w:p w14:paraId="2DE31517" w14:textId="701A368B" w:rsidR="009825CA" w:rsidRDefault="009825CA">
      <w:pPr>
        <w:rPr>
          <w:lang w:val="en-US"/>
        </w:rPr>
      </w:pPr>
      <w:r w:rsidRPr="009825CA">
        <w:rPr>
          <w:lang w:val="en-US"/>
        </w:rPr>
        <w:t>Pedigrees of all 56 solved families with autosomal dominant hearing loss</w:t>
      </w:r>
      <w:r>
        <w:rPr>
          <w:lang w:val="en-US"/>
        </w:rPr>
        <w:t>.</w:t>
      </w:r>
    </w:p>
    <w:p w14:paraId="5E9A88FB" w14:textId="70093FD7" w:rsidR="009825CA" w:rsidRDefault="009825CA">
      <w:pPr>
        <w:rPr>
          <w:lang w:val="en-US"/>
        </w:rPr>
      </w:pPr>
      <w:r w:rsidRPr="009825CA">
        <w:rPr>
          <w:lang w:val="en-US"/>
        </w:rPr>
        <w:t>The figure presents pedigrees of all 56 ADHL families in which a causative variant was identified. Affected individuals are shown in black, while unaffected individuals are shown with empty symbols. If hearing status was unknown, a question mark is placed inside the symbol. Genotypes are indicated next to each tested individual. Above each pedigree, the family ID and the identified pathogenic variant are listed.</w:t>
      </w:r>
    </w:p>
    <w:p w14:paraId="535BD1BA" w14:textId="77777777" w:rsidR="009825CA" w:rsidRDefault="009825CA">
      <w:pPr>
        <w:rPr>
          <w:lang w:val="en-US"/>
        </w:rPr>
      </w:pPr>
    </w:p>
    <w:p w14:paraId="2EC4E733" w14:textId="5171917F" w:rsidR="009825CA" w:rsidRDefault="009825CA">
      <w:pPr>
        <w:rPr>
          <w:lang w:val="en-US"/>
        </w:rPr>
      </w:pPr>
      <w:r>
        <w:rPr>
          <w:lang w:val="en-US"/>
        </w:rPr>
        <w:t>Supp Table</w:t>
      </w:r>
    </w:p>
    <w:p w14:paraId="4B38B20B" w14:textId="04899FD2" w:rsidR="009825CA" w:rsidRDefault="009825CA">
      <w:pPr>
        <w:rPr>
          <w:lang w:val="en-US"/>
        </w:rPr>
      </w:pPr>
      <w:r w:rsidRPr="009825CA">
        <w:rPr>
          <w:lang w:val="en-US"/>
        </w:rPr>
        <w:t>Genes targeted by the next-generation sequencing panel for HL.</w:t>
      </w:r>
    </w:p>
    <w:p w14:paraId="7237E5F7" w14:textId="3FE18F06" w:rsidR="00883D77" w:rsidRPr="009825CA" w:rsidRDefault="009825CA">
      <w:pPr>
        <w:rPr>
          <w:lang w:val="en-US"/>
        </w:rPr>
      </w:pPr>
      <w:r w:rsidRPr="009825CA">
        <w:rPr>
          <w:lang w:val="en-US"/>
        </w:rPr>
        <w:t>The table lists each gene with its official HGNC symbol (</w:t>
      </w:r>
      <w:r w:rsidRPr="009825CA">
        <w:rPr>
          <w:rStyle w:val="Uwydatnienie"/>
          <w:lang w:val="en-US"/>
        </w:rPr>
        <w:t>HGNC_ID</w:t>
      </w:r>
      <w:r w:rsidRPr="009825CA">
        <w:rPr>
          <w:lang w:val="en-US"/>
        </w:rPr>
        <w:t>), gene name as used in the panel (</w:t>
      </w:r>
      <w:r w:rsidRPr="009825CA">
        <w:rPr>
          <w:rStyle w:val="Uwydatnienie"/>
          <w:lang w:val="en-US"/>
        </w:rPr>
        <w:t>Panel HI 237_genes</w:t>
      </w:r>
      <w:r w:rsidRPr="009825CA">
        <w:rPr>
          <w:lang w:val="en-US"/>
        </w:rPr>
        <w:t>), OMIM identifier and associated disease (</w:t>
      </w:r>
      <w:r w:rsidRPr="009825CA">
        <w:rPr>
          <w:rStyle w:val="Uwydatnienie"/>
          <w:lang w:val="en-US"/>
        </w:rPr>
        <w:t>OMIM_ID</w:t>
      </w:r>
      <w:r w:rsidRPr="009825CA">
        <w:rPr>
          <w:lang w:val="en-US"/>
        </w:rPr>
        <w:t xml:space="preserve">, </w:t>
      </w:r>
      <w:proofErr w:type="spellStart"/>
      <w:r w:rsidRPr="009825CA">
        <w:rPr>
          <w:rStyle w:val="Uwydatnienie"/>
          <w:lang w:val="en-US"/>
        </w:rPr>
        <w:t>OMIM_disease</w:t>
      </w:r>
      <w:proofErr w:type="spellEnd"/>
      <w:r w:rsidRPr="009825CA">
        <w:rPr>
          <w:lang w:val="en-US"/>
        </w:rPr>
        <w:t>), Gene Curation Coalition (</w:t>
      </w:r>
      <w:proofErr w:type="spellStart"/>
      <w:r w:rsidRPr="009825CA">
        <w:rPr>
          <w:lang w:val="en-US"/>
        </w:rPr>
        <w:t>GenCC</w:t>
      </w:r>
      <w:proofErr w:type="spellEnd"/>
      <w:r w:rsidRPr="009825CA">
        <w:rPr>
          <w:lang w:val="en-US"/>
        </w:rPr>
        <w:t>) identifier and disease association (</w:t>
      </w:r>
      <w:proofErr w:type="spellStart"/>
      <w:r w:rsidRPr="009825CA">
        <w:rPr>
          <w:rStyle w:val="Uwydatnienie"/>
          <w:lang w:val="en-US"/>
        </w:rPr>
        <w:t>GenCC_ID</w:t>
      </w:r>
      <w:proofErr w:type="spellEnd"/>
      <w:r w:rsidRPr="009825CA">
        <w:rPr>
          <w:lang w:val="en-US"/>
        </w:rPr>
        <w:t xml:space="preserve">, </w:t>
      </w:r>
      <w:proofErr w:type="spellStart"/>
      <w:r w:rsidRPr="009825CA">
        <w:rPr>
          <w:rStyle w:val="Uwydatnienie"/>
          <w:lang w:val="en-US"/>
        </w:rPr>
        <w:t>GenCC_disease</w:t>
      </w:r>
      <w:proofErr w:type="spellEnd"/>
      <w:r w:rsidRPr="009825CA">
        <w:rPr>
          <w:lang w:val="en-US"/>
        </w:rPr>
        <w:t xml:space="preserve">), mode of inheritance according to </w:t>
      </w:r>
      <w:proofErr w:type="spellStart"/>
      <w:r w:rsidRPr="009825CA">
        <w:rPr>
          <w:lang w:val="en-US"/>
        </w:rPr>
        <w:t>GenCC</w:t>
      </w:r>
      <w:proofErr w:type="spellEnd"/>
      <w:r w:rsidRPr="009825CA">
        <w:rPr>
          <w:lang w:val="en-US"/>
        </w:rPr>
        <w:t xml:space="preserve"> (</w:t>
      </w:r>
      <w:proofErr w:type="spellStart"/>
      <w:r w:rsidRPr="009825CA">
        <w:rPr>
          <w:rStyle w:val="Uwydatnienie"/>
          <w:lang w:val="en-US"/>
        </w:rPr>
        <w:t>GenCC_inheritance</w:t>
      </w:r>
      <w:proofErr w:type="spellEnd"/>
      <w:r w:rsidRPr="009825CA">
        <w:rPr>
          <w:lang w:val="en-US"/>
        </w:rPr>
        <w:t>), and additional remarks (</w:t>
      </w:r>
      <w:r w:rsidRPr="009825CA">
        <w:rPr>
          <w:rStyle w:val="Uwydatnienie"/>
          <w:lang w:val="en-US"/>
        </w:rPr>
        <w:t>NOTES</w:t>
      </w:r>
      <w:r w:rsidRPr="009825CA">
        <w:rPr>
          <w:lang w:val="en-US"/>
        </w:rPr>
        <w:t>).</w:t>
      </w:r>
    </w:p>
    <w:sectPr w:rsidR="00883D77" w:rsidRPr="009825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5CA"/>
    <w:rsid w:val="00000F8C"/>
    <w:rsid w:val="0037452F"/>
    <w:rsid w:val="00883D77"/>
    <w:rsid w:val="0098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0E560"/>
  <w15:chartTrackingRefBased/>
  <w15:docId w15:val="{D108663B-9DA5-4D72-A632-92180CC3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82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2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25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2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25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25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25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25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25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25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25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25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25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25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25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25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25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25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25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2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2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2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2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25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25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25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25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25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25CA"/>
    <w:rPr>
      <w:b/>
      <w:bCs/>
      <w:smallCaps/>
      <w:color w:val="0F4761" w:themeColor="accent1" w:themeShade="BF"/>
      <w:spacing w:val="5"/>
    </w:rPr>
  </w:style>
  <w:style w:type="character" w:styleId="Uwydatnienie">
    <w:name w:val="Emphasis"/>
    <w:basedOn w:val="Domylnaczcionkaakapitu"/>
    <w:uiPriority w:val="20"/>
    <w:qFormat/>
    <w:rsid w:val="009825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813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Ołdak</dc:creator>
  <cp:keywords/>
  <dc:description/>
  <cp:lastModifiedBy>Monika Ołdak</cp:lastModifiedBy>
  <cp:revision>1</cp:revision>
  <dcterms:created xsi:type="dcterms:W3CDTF">2025-11-18T10:12:00Z</dcterms:created>
  <dcterms:modified xsi:type="dcterms:W3CDTF">2025-11-18T10:14:00Z</dcterms:modified>
</cp:coreProperties>
</file>