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E47C" w14:textId="7FA987A3" w:rsidR="0032594B" w:rsidRPr="002B732C" w:rsidRDefault="0032594B" w:rsidP="0032594B">
      <w:pPr>
        <w:jc w:val="center"/>
        <w:rPr>
          <w:rFonts w:ascii="Times New Roman" w:hAnsi="Times New Roman" w:cs="Times New Roman"/>
          <w:sz w:val="28"/>
          <w:szCs w:val="36"/>
          <w:lang w:val="en-US"/>
        </w:rPr>
      </w:pPr>
      <w:r w:rsidRPr="002777AE">
        <w:rPr>
          <w:rFonts w:ascii="Times New Roman" w:hAnsi="Times New Roman" w:cs="Times New Roman"/>
          <w:b/>
          <w:sz w:val="28"/>
          <w:szCs w:val="36"/>
          <w:lang w:val="en-US"/>
        </w:rPr>
        <w:t>Supplementary Materials</w:t>
      </w:r>
      <w:r w:rsidRPr="002B732C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2B732C" w:rsidRPr="002B732C">
        <w:rPr>
          <w:rFonts w:ascii="Times New Roman" w:hAnsi="Times New Roman" w:cs="Times New Roman"/>
          <w:sz w:val="28"/>
          <w:szCs w:val="36"/>
          <w:lang w:val="en-US"/>
        </w:rPr>
        <w:t>for manuscript</w:t>
      </w:r>
      <w:r w:rsidR="00EB43A7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EB43A7" w:rsidRPr="00EB43A7">
        <w:rPr>
          <w:rFonts w:ascii="Times New Roman" w:hAnsi="Times New Roman" w:cs="Times New Roman"/>
          <w:sz w:val="28"/>
          <w:szCs w:val="36"/>
          <w:lang w:val="en-US"/>
        </w:rPr>
        <w:t>JMME-D-26-00273</w:t>
      </w:r>
      <w:r w:rsidR="002B732C" w:rsidRPr="002B732C">
        <w:rPr>
          <w:rFonts w:ascii="Times New Roman" w:hAnsi="Times New Roman" w:cs="Times New Roman"/>
          <w:sz w:val="28"/>
          <w:szCs w:val="36"/>
          <w:lang w:val="en-US"/>
        </w:rPr>
        <w:t>:</w:t>
      </w:r>
    </w:p>
    <w:p w14:paraId="25FAB45E" w14:textId="278706FF" w:rsidR="000A20AD" w:rsidRPr="002B732C" w:rsidRDefault="0032594B" w:rsidP="0032594B">
      <w:pPr>
        <w:jc w:val="center"/>
        <w:rPr>
          <w:rFonts w:ascii="Times New Roman" w:hAnsi="Times New Roman" w:cs="Times New Roman"/>
          <w:sz w:val="28"/>
          <w:szCs w:val="36"/>
          <w:lang w:val="en-US"/>
        </w:rPr>
      </w:pPr>
      <w:r w:rsidRPr="002B732C">
        <w:rPr>
          <w:rFonts w:ascii="Times New Roman" w:hAnsi="Times New Roman" w:cs="Times New Roman"/>
          <w:sz w:val="28"/>
          <w:szCs w:val="36"/>
          <w:lang w:val="en-US"/>
        </w:rPr>
        <w:t xml:space="preserve">TCR barcodes track distinct anti-CMV responses </w:t>
      </w:r>
      <w:r w:rsidR="00EB43A7">
        <w:rPr>
          <w:rFonts w:ascii="Times New Roman" w:hAnsi="Times New Roman" w:cs="Times New Roman"/>
          <w:sz w:val="28"/>
          <w:szCs w:val="36"/>
          <w:lang w:val="en-US"/>
        </w:rPr>
        <w:br/>
      </w:r>
      <w:r w:rsidRPr="002B732C">
        <w:rPr>
          <w:rFonts w:ascii="Times New Roman" w:hAnsi="Times New Roman" w:cs="Times New Roman"/>
          <w:sz w:val="28"/>
          <w:szCs w:val="36"/>
          <w:lang w:val="en-US"/>
        </w:rPr>
        <w:t>of γδ T cell clones after stem cell transplantation</w:t>
      </w:r>
    </w:p>
    <w:p w14:paraId="7CF32EA3" w14:textId="77777777" w:rsidR="0032594B" w:rsidRPr="002B732C" w:rsidRDefault="0032594B" w:rsidP="0032594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1989BF76" w14:textId="2D20F9BA" w:rsidR="0032594B" w:rsidRPr="002B732C" w:rsidRDefault="002B732C" w:rsidP="0032594B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2B732C">
        <w:rPr>
          <w:rFonts w:ascii="Times New Roman" w:hAnsi="Times New Roman" w:cs="Times New Roman"/>
          <w:lang w:val="en-US"/>
        </w:rPr>
        <w:t xml:space="preserve">Authors: </w:t>
      </w:r>
      <w:r w:rsidR="0032594B" w:rsidRPr="002B732C">
        <w:rPr>
          <w:rFonts w:ascii="Times New Roman" w:hAnsi="Times New Roman" w:cs="Times New Roman"/>
          <w:lang w:val="en-US"/>
        </w:rPr>
        <w:t>Freya Sibbertsen, Zheng Song, Cedric Ly, Inga Sandrock, Stefan Bonn, Christian Koenecke, Likai Tan, Christian Schultze-Florey, Immo Prinz</w:t>
      </w:r>
      <w:r w:rsidR="0032594B" w:rsidRPr="002B732C">
        <w:rPr>
          <w:rFonts w:ascii="Times New Roman" w:hAnsi="Times New Roman" w:cs="Times New Roman"/>
          <w:vertAlign w:val="superscript"/>
          <w:lang w:val="en-US"/>
        </w:rPr>
        <w:t>*</w:t>
      </w:r>
    </w:p>
    <w:p w14:paraId="7867589E" w14:textId="77777777" w:rsidR="0032594B" w:rsidRPr="002B732C" w:rsidRDefault="0032594B" w:rsidP="0032594B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11491801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BA3B4A" w14:textId="0600FD6E" w:rsidR="0032594B" w:rsidRPr="00502E07" w:rsidRDefault="002B732C" w:rsidP="00502E07">
          <w:pPr>
            <w:pStyle w:val="Inhaltsverzeichnisberschrift"/>
            <w:spacing w:line="360" w:lineRule="auto"/>
            <w:rPr>
              <w:rFonts w:ascii="Times New Roman" w:hAnsi="Times New Roman" w:cs="Times New Roman"/>
              <w:b/>
              <w:color w:val="auto"/>
              <w:sz w:val="28"/>
            </w:rPr>
          </w:pPr>
          <w:r w:rsidRPr="00502E07">
            <w:rPr>
              <w:rFonts w:ascii="Times New Roman" w:hAnsi="Times New Roman" w:cs="Times New Roman"/>
              <w:b/>
              <w:color w:val="auto"/>
              <w:sz w:val="28"/>
            </w:rPr>
            <w:t>Contents</w:t>
          </w:r>
        </w:p>
        <w:p w14:paraId="6F071C08" w14:textId="77777777" w:rsidR="002B732C" w:rsidRPr="00502E07" w:rsidRDefault="002B732C" w:rsidP="00502E07">
          <w:pPr>
            <w:spacing w:line="360" w:lineRule="auto"/>
            <w:rPr>
              <w:rFonts w:ascii="Times New Roman" w:hAnsi="Times New Roman" w:cs="Times New Roman"/>
              <w:lang w:eastAsia="de-DE"/>
            </w:rPr>
          </w:pPr>
        </w:p>
        <w:p w14:paraId="40F0C6AD" w14:textId="185F647A" w:rsidR="00502E07" w:rsidRPr="00502E07" w:rsidRDefault="0032594B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r w:rsidRPr="00502E07">
            <w:rPr>
              <w:rFonts w:ascii="Times New Roman" w:hAnsi="Times New Roman" w:cs="Times New Roman"/>
            </w:rPr>
            <w:fldChar w:fldCharType="begin"/>
          </w:r>
          <w:r w:rsidRPr="00502E07">
            <w:rPr>
              <w:rFonts w:ascii="Times New Roman" w:hAnsi="Times New Roman" w:cs="Times New Roman"/>
            </w:rPr>
            <w:instrText xml:space="preserve"> TOC \o "1-3" \h \z \u </w:instrText>
          </w:r>
          <w:r w:rsidRPr="00502E07">
            <w:rPr>
              <w:rFonts w:ascii="Times New Roman" w:hAnsi="Times New Roman" w:cs="Times New Roman"/>
            </w:rPr>
            <w:fldChar w:fldCharType="separate"/>
          </w:r>
          <w:hyperlink w:anchor="_Toc224209465" w:history="1">
            <w:r w:rsidR="00502E07"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1: Flow cytometry gating strategy for the sort of αβ and γδ T cells.</w:t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_Toc224209465 \h </w:instrText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502E07"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02AF24" w14:textId="2B08B49F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66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 xml:space="preserve">Supplementary Figure 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GB"/>
              </w:rPr>
              <w:t>2: Private delta and beta but public gamma and alpha chains. Rare public TRG expression, rare overlap in TRA, TRB, and TRD.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_Toc224209466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05DF2E" w14:textId="334D1FD4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67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3: Frequencies of γδ T cell subsets over time. Flowcytometry and scRNA analyses.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_Toc224209467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4FBF27" w14:textId="6B36DEB4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68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4: Monitoring γδ TCR repertoire stability within patients over 180 days.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_Toc224209468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651408" w14:textId="37B74AD4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69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5: Monitoring γδ T cell phenotypes and TCR delta chain usage within patients over 180 days.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_Toc224209469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BE6115" w14:textId="70F03909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70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7: Monitoring γδ T cell phenotypes of V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l-GR"/>
              </w:rPr>
              <w:t>γ9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V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l-GR"/>
              </w:rPr>
              <w:t>δ2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vertAlign w:val="superscript"/>
                <w:lang w:val="en-US"/>
              </w:rPr>
              <w:t>+</w:t>
            </w:r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 xml:space="preserve"> T cells within patients over 180 days.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_Toc224209470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9F24DE" w14:textId="347F6FC6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71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GB"/>
              </w:rPr>
              <w:t>Supplementary Figure 8: Clonal expansion and phenotypic shift of individual clones.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_Toc224209471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562201" w14:textId="4EF1721A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72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9: Monitoring αβ T cell phenotypes within patients over 180 days.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_Toc224209472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635389" w14:textId="607A6688" w:rsidR="00502E07" w:rsidRPr="00502E07" w:rsidRDefault="00502E07" w:rsidP="00502E07">
          <w:pPr>
            <w:pStyle w:val="Verzeichnis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</w:pPr>
          <w:hyperlink w:anchor="_Toc224209473" w:history="1">
            <w:r w:rsidRPr="00502E07">
              <w:rPr>
                <w:rStyle w:val="Hyperlink"/>
                <w:rFonts w:ascii="Times New Roman" w:hAnsi="Times New Roman" w:cs="Times New Roman"/>
                <w:bCs/>
                <w:noProof/>
                <w:lang w:val="en-US"/>
              </w:rPr>
              <w:t>Supplementary Figure 10: Monitoring αβ TCR repertoire stability within patients over 180 days.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instrText xml:space="preserve"> PAGEREF _Toc224209473 \h </w:instrTex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502E0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817DC4" w14:textId="2D8F48F4" w:rsidR="0032594B" w:rsidRPr="002B732C" w:rsidRDefault="0032594B" w:rsidP="00502E07">
          <w:pPr>
            <w:spacing w:line="360" w:lineRule="auto"/>
            <w:rPr>
              <w:rFonts w:ascii="Times New Roman" w:hAnsi="Times New Roman" w:cs="Times New Roman"/>
            </w:rPr>
          </w:pPr>
          <w:r w:rsidRPr="00502E07">
            <w:rPr>
              <w:rFonts w:ascii="Times New Roman" w:hAnsi="Times New Roman" w:cs="Times New Roman"/>
            </w:rPr>
            <w:fldChar w:fldCharType="end"/>
          </w:r>
        </w:p>
      </w:sdtContent>
    </w:sdt>
    <w:p w14:paraId="4FE182ED" w14:textId="77777777" w:rsidR="0032594B" w:rsidRPr="002B732C" w:rsidRDefault="0032594B" w:rsidP="0032594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D09BED0" w14:textId="77777777" w:rsidR="0032594B" w:rsidRPr="002B732C" w:rsidRDefault="0032594B" w:rsidP="0032594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75BEB33" w14:textId="0B648BAF" w:rsidR="0032594B" w:rsidRPr="002B732C" w:rsidRDefault="0032594B" w:rsidP="0032594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E6471A" w14:textId="77777777" w:rsidR="000A20AD" w:rsidRPr="002B732C" w:rsidRDefault="000A20AD" w:rsidP="000A20AD">
      <w:pPr>
        <w:spacing w:after="0"/>
        <w:rPr>
          <w:rFonts w:ascii="Times New Roman" w:hAnsi="Times New Roman" w:cs="Times New Roman"/>
          <w:lang w:val="en-US"/>
        </w:rPr>
      </w:pPr>
      <w:r w:rsidRPr="002B732C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27883FA" wp14:editId="5DD8F6E6">
            <wp:extent cx="5140800" cy="882000"/>
            <wp:effectExtent l="0" t="0" r="0" b="0"/>
            <wp:docPr id="1740936809" name="Grafik 1" descr="Ein Bild, das Screenshot, Farbigkeit, Electric Blue (Farbe), Majorelle Blu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36809" name="Grafik 1" descr="Ein Bild, das Screenshot, Farbigkeit, Electric Blue (Farbe), Majorelle Blu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00" cy="8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278D4" w14:textId="4D0A7139" w:rsidR="000A20AD" w:rsidRPr="002777AE" w:rsidRDefault="000A20AD" w:rsidP="0032594B">
      <w:pPr>
        <w:pStyle w:val="berschrift2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0" w:name="_Toc224209465"/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Supplementary Figure 1: </w:t>
      </w:r>
      <w:r w:rsidR="002B732C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Flow cytometry</w:t>
      </w:r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 gating strategy for the sort of αβ and γδ T cells.</w:t>
      </w:r>
      <w:bookmarkEnd w:id="0"/>
    </w:p>
    <w:p w14:paraId="5F222253" w14:textId="77777777" w:rsidR="000A20AD" w:rsidRPr="002B732C" w:rsidRDefault="000A20AD" w:rsidP="000A20AD">
      <w:pPr>
        <w:spacing w:after="0"/>
        <w:rPr>
          <w:rFonts w:ascii="Times New Roman" w:hAnsi="Times New Roman" w:cs="Times New Roman"/>
          <w:lang w:val="en-US"/>
        </w:rPr>
      </w:pPr>
    </w:p>
    <w:p w14:paraId="1CFC782B" w14:textId="58474151" w:rsidR="002B732C" w:rsidRDefault="000A20AD" w:rsidP="00DC3798">
      <w:pPr>
        <w:spacing w:after="0"/>
        <w:rPr>
          <w:rFonts w:ascii="Times New Roman" w:hAnsi="Times New Roman" w:cs="Times New Roman"/>
          <w:lang w:val="en-US"/>
        </w:rPr>
      </w:pPr>
      <w:r w:rsidRPr="002B732C">
        <w:rPr>
          <w:rFonts w:ascii="Times New Roman" w:hAnsi="Times New Roman" w:cs="Times New Roman"/>
          <w:lang w:val="en-US"/>
        </w:rPr>
        <w:br w:type="page"/>
      </w:r>
    </w:p>
    <w:p w14:paraId="15400668" w14:textId="66CD7BD0" w:rsidR="002B732C" w:rsidRDefault="00D30D67" w:rsidP="002B732C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val="en-US"/>
        </w:rPr>
        <w:lastRenderedPageBreak/>
        <w:drawing>
          <wp:inline distT="0" distB="0" distL="0" distR="0" wp14:anchorId="18BBEB09" wp14:editId="54049D98">
            <wp:extent cx="5757545" cy="6773333"/>
            <wp:effectExtent l="0" t="0" r="0" b="8890"/>
            <wp:docPr id="208693637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677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06BC8" w14:textId="77777777" w:rsidR="00A244BE" w:rsidRPr="00A244BE" w:rsidRDefault="00A244BE" w:rsidP="00A244BE">
      <w:pPr>
        <w:rPr>
          <w:lang w:val="en-US"/>
        </w:rPr>
      </w:pPr>
    </w:p>
    <w:p w14:paraId="66FDCDEB" w14:textId="116CC7F7" w:rsidR="000A20AD" w:rsidRPr="002777AE" w:rsidRDefault="000A20AD" w:rsidP="002B732C">
      <w:pPr>
        <w:pStyle w:val="berschrift2"/>
        <w:jc w:val="both"/>
        <w:rPr>
          <w:rFonts w:ascii="Times New Roman" w:hAnsi="Times New Roman" w:cs="Times New Roman"/>
          <w:b/>
          <w:bCs/>
          <w:sz w:val="20"/>
          <w:szCs w:val="24"/>
          <w:lang w:val="en-GB"/>
        </w:rPr>
      </w:pPr>
      <w:bookmarkStart w:id="1" w:name="_Toc224209466"/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Supplementary Figure </w:t>
      </w:r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GB"/>
        </w:rPr>
        <w:t>2: Private delta and beta but public gamma and alpha chains. Rare public TRG expression, rare overlap in TRA, TRB, and TRD</w:t>
      </w:r>
      <w:r w:rsidR="002B732C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GB"/>
        </w:rPr>
        <w:t>.</w:t>
      </w:r>
      <w:bookmarkEnd w:id="1"/>
      <w:r w:rsidR="002B732C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GB"/>
        </w:rPr>
        <w:t xml:space="preserve"> </w:t>
      </w:r>
    </w:p>
    <w:p w14:paraId="43F1FA49" w14:textId="6EE860FC" w:rsidR="000A20AD" w:rsidRPr="002777AE" w:rsidRDefault="00BB2FCD" w:rsidP="002777AE">
      <w:pPr>
        <w:spacing w:after="0"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b/>
          <w:bCs/>
          <w:sz w:val="20"/>
          <w:lang w:val="en-GB"/>
        </w:rPr>
        <w:t>a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GB"/>
        </w:rPr>
        <w:t>Overlap of paired, gamma and delta, chains in patients with (p1-p6, n= 6) and without (ctrl1, ctrl2, n=2) CMV reactivation.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GB"/>
        </w:rPr>
        <w:t>b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Interpatient </w:t>
      </w:r>
      <w:proofErr w:type="spellStart"/>
      <w:r w:rsidR="000A20AD" w:rsidRPr="002777AE">
        <w:rPr>
          <w:rFonts w:ascii="Times New Roman" w:hAnsi="Times New Roman" w:cs="Times New Roman"/>
          <w:sz w:val="20"/>
          <w:lang w:val="en-GB"/>
        </w:rPr>
        <w:t>Morisita</w:t>
      </w:r>
      <w:proofErr w:type="spellEnd"/>
      <w:r w:rsidR="00EF367B">
        <w:rPr>
          <w:rFonts w:ascii="Times New Roman" w:hAnsi="Times New Roman" w:cs="Times New Roman"/>
          <w:sz w:val="20"/>
          <w:lang w:val="en-GB"/>
        </w:rPr>
        <w:t>-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Horn </w:t>
      </w:r>
      <w:r w:rsidR="003858E2" w:rsidRPr="003858E2">
        <w:rPr>
          <w:rFonts w:ascii="Times New Roman" w:hAnsi="Times New Roman" w:cs="Times New Roman"/>
          <w:sz w:val="20"/>
          <w:highlight w:val="yellow"/>
          <w:lang w:val="en-GB"/>
        </w:rPr>
        <w:t>indices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 for </w:t>
      </w:r>
      <w:r w:rsidR="00A11EE1" w:rsidRPr="00A11EE1">
        <w:rPr>
          <w:rFonts w:ascii="Times New Roman" w:hAnsi="Times New Roman" w:cs="Times New Roman"/>
          <w:sz w:val="20"/>
          <w:highlight w:val="yellow"/>
          <w:lang w:val="en-GB"/>
        </w:rPr>
        <w:t>all</w:t>
      </w:r>
      <w:r w:rsidR="00A11EE1">
        <w:rPr>
          <w:rFonts w:ascii="Times New Roman" w:hAnsi="Times New Roman" w:cs="Times New Roman"/>
          <w:sz w:val="20"/>
          <w:lang w:val="en-GB"/>
        </w:rPr>
        <w:t xml:space="preserve"> 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gamma </w:t>
      </w:r>
      <w:r w:rsidR="000141A2">
        <w:rPr>
          <w:rFonts w:ascii="Times New Roman" w:hAnsi="Times New Roman" w:cs="Times New Roman"/>
          <w:sz w:val="20"/>
          <w:lang w:val="en-GB"/>
        </w:rPr>
        <w:t xml:space="preserve">and </w:t>
      </w:r>
      <w:r w:rsidR="000A20AD" w:rsidRPr="002777AE">
        <w:rPr>
          <w:rFonts w:ascii="Times New Roman" w:hAnsi="Times New Roman" w:cs="Times New Roman"/>
          <w:sz w:val="20"/>
          <w:lang w:val="en-GB"/>
        </w:rPr>
        <w:t>delta chains</w:t>
      </w:r>
      <w:r w:rsidR="000141A2">
        <w:rPr>
          <w:rFonts w:ascii="Times New Roman" w:hAnsi="Times New Roman" w:cs="Times New Roman"/>
          <w:sz w:val="20"/>
          <w:lang w:val="en-GB"/>
        </w:rPr>
        <w:t xml:space="preserve"> and </w:t>
      </w:r>
      <w:r w:rsidR="000141A2" w:rsidRPr="002777AE">
        <w:rPr>
          <w:rFonts w:ascii="Times New Roman" w:hAnsi="Times New Roman" w:cs="Times New Roman"/>
          <w:sz w:val="20"/>
          <w:lang w:val="en-GB"/>
        </w:rPr>
        <w:t>paired</w:t>
      </w:r>
      <w:r w:rsidR="000141A2">
        <w:rPr>
          <w:rFonts w:ascii="Times New Roman" w:hAnsi="Times New Roman" w:cs="Times New Roman"/>
          <w:sz w:val="20"/>
          <w:lang w:val="en-GB"/>
        </w:rPr>
        <w:t xml:space="preserve"> clones</w:t>
      </w:r>
      <w:r w:rsidR="000A20AD" w:rsidRPr="002777AE">
        <w:rPr>
          <w:rFonts w:ascii="Times New Roman" w:hAnsi="Times New Roman" w:cs="Times New Roman"/>
          <w:sz w:val="20"/>
          <w:lang w:val="en-GB"/>
        </w:rPr>
        <w:t>. 1 indicates identical samples and 0 no clonal overlap.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GB"/>
        </w:rPr>
        <w:t>c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Overlap of alpha and beta, chains </w:t>
      </w:r>
      <w:r w:rsidR="000141A2">
        <w:rPr>
          <w:rFonts w:ascii="Times New Roman" w:hAnsi="Times New Roman" w:cs="Times New Roman"/>
          <w:sz w:val="20"/>
          <w:lang w:val="en-GB"/>
        </w:rPr>
        <w:t xml:space="preserve">and </w:t>
      </w:r>
      <w:r w:rsidR="000141A2" w:rsidRPr="002777AE">
        <w:rPr>
          <w:rFonts w:ascii="Times New Roman" w:hAnsi="Times New Roman" w:cs="Times New Roman"/>
          <w:sz w:val="20"/>
          <w:lang w:val="en-GB"/>
        </w:rPr>
        <w:t>paired</w:t>
      </w:r>
      <w:r w:rsidR="000141A2">
        <w:rPr>
          <w:rFonts w:ascii="Times New Roman" w:hAnsi="Times New Roman" w:cs="Times New Roman"/>
          <w:sz w:val="20"/>
          <w:lang w:val="en-GB"/>
        </w:rPr>
        <w:t xml:space="preserve"> clones</w:t>
      </w:r>
      <w:r w:rsidR="000141A2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0A20AD" w:rsidRPr="002777AE">
        <w:rPr>
          <w:rFonts w:ascii="Times New Roman" w:hAnsi="Times New Roman" w:cs="Times New Roman"/>
          <w:sz w:val="20"/>
          <w:lang w:val="en-GB"/>
        </w:rPr>
        <w:t>in patients with (p1, 3, 5, 6 n= 4) and without (ctrl1, ctrl2, n=2) CMV reactivation.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d) 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Interpatient </w:t>
      </w:r>
      <w:proofErr w:type="spellStart"/>
      <w:r w:rsidR="000A20AD" w:rsidRPr="002777AE">
        <w:rPr>
          <w:rFonts w:ascii="Times New Roman" w:hAnsi="Times New Roman" w:cs="Times New Roman"/>
          <w:sz w:val="20"/>
          <w:lang w:val="en-GB"/>
        </w:rPr>
        <w:t>Morisita</w:t>
      </w:r>
      <w:proofErr w:type="spellEnd"/>
      <w:r w:rsidR="00EF367B">
        <w:rPr>
          <w:rFonts w:ascii="Times New Roman" w:hAnsi="Times New Roman" w:cs="Times New Roman"/>
          <w:sz w:val="20"/>
          <w:lang w:val="en-GB"/>
        </w:rPr>
        <w:t>-</w:t>
      </w:r>
      <w:r w:rsidR="000A20AD" w:rsidRPr="002777AE">
        <w:rPr>
          <w:rFonts w:ascii="Times New Roman" w:hAnsi="Times New Roman" w:cs="Times New Roman"/>
          <w:sz w:val="20"/>
          <w:lang w:val="en-GB"/>
        </w:rPr>
        <w:t xml:space="preserve">Horn </w:t>
      </w:r>
      <w:r w:rsidR="00EF367B" w:rsidRPr="00EF367B">
        <w:rPr>
          <w:rFonts w:ascii="Times New Roman" w:hAnsi="Times New Roman" w:cs="Times New Roman"/>
          <w:sz w:val="20"/>
          <w:highlight w:val="yellow"/>
          <w:lang w:val="en-GB"/>
        </w:rPr>
        <w:t>Index</w:t>
      </w:r>
      <w:r w:rsidR="00DC4251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DC4251" w:rsidRPr="00A11EE1">
        <w:rPr>
          <w:rFonts w:ascii="Times New Roman" w:hAnsi="Times New Roman" w:cs="Times New Roman"/>
          <w:sz w:val="20"/>
          <w:highlight w:val="yellow"/>
          <w:lang w:val="en-GB"/>
        </w:rPr>
        <w:t>for</w:t>
      </w:r>
      <w:r w:rsidR="00A11EE1" w:rsidRPr="00A11EE1">
        <w:rPr>
          <w:rFonts w:ascii="Times New Roman" w:hAnsi="Times New Roman" w:cs="Times New Roman"/>
          <w:sz w:val="20"/>
          <w:highlight w:val="yellow"/>
          <w:lang w:val="en-GB"/>
        </w:rPr>
        <w:t xml:space="preserve"> all</w:t>
      </w:r>
      <w:r w:rsidR="000A20AD" w:rsidRPr="00A11EE1">
        <w:rPr>
          <w:rFonts w:ascii="Times New Roman" w:hAnsi="Times New Roman" w:cs="Times New Roman"/>
          <w:sz w:val="20"/>
          <w:highlight w:val="yellow"/>
          <w:lang w:val="en-GB"/>
        </w:rPr>
        <w:t xml:space="preserve"> </w:t>
      </w:r>
      <w:r w:rsidR="00A11EE1" w:rsidRPr="00A11EE1">
        <w:rPr>
          <w:rFonts w:ascii="Times New Roman" w:hAnsi="Times New Roman" w:cs="Times New Roman"/>
          <w:sz w:val="20"/>
          <w:highlight w:val="yellow"/>
          <w:lang w:val="en-GB"/>
        </w:rPr>
        <w:t>alpha and beta chains</w:t>
      </w:r>
      <w:r w:rsidR="00A11EE1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A11EE1">
        <w:rPr>
          <w:rFonts w:ascii="Times New Roman" w:hAnsi="Times New Roman" w:cs="Times New Roman"/>
          <w:sz w:val="20"/>
          <w:lang w:val="en-GB"/>
        </w:rPr>
        <w:t xml:space="preserve">and </w:t>
      </w:r>
      <w:r w:rsidR="000A20AD" w:rsidRPr="002777AE">
        <w:rPr>
          <w:rFonts w:ascii="Times New Roman" w:hAnsi="Times New Roman" w:cs="Times New Roman"/>
          <w:sz w:val="20"/>
          <w:lang w:val="en-GB"/>
        </w:rPr>
        <w:t>paire</w:t>
      </w:r>
      <w:r w:rsidR="00A11EE1">
        <w:rPr>
          <w:rFonts w:ascii="Times New Roman" w:hAnsi="Times New Roman" w:cs="Times New Roman"/>
          <w:sz w:val="20"/>
          <w:lang w:val="en-GB"/>
        </w:rPr>
        <w:t xml:space="preserve">d </w:t>
      </w:r>
      <w:r w:rsidR="00A11EE1" w:rsidRPr="00A11EE1">
        <w:rPr>
          <w:rFonts w:ascii="Times New Roman" w:hAnsi="Times New Roman" w:cs="Times New Roman"/>
          <w:sz w:val="20"/>
          <w:highlight w:val="yellow"/>
          <w:lang w:val="en-GB"/>
        </w:rPr>
        <w:t>clones</w:t>
      </w:r>
      <w:r w:rsidR="000A20AD" w:rsidRPr="002777AE">
        <w:rPr>
          <w:rFonts w:ascii="Times New Roman" w:hAnsi="Times New Roman" w:cs="Times New Roman"/>
          <w:sz w:val="20"/>
          <w:lang w:val="en-GB"/>
        </w:rPr>
        <w:t>. 1 indicates identical samples and 0 no clonal overlap.</w:t>
      </w:r>
    </w:p>
    <w:p w14:paraId="53D75FD5" w14:textId="09B3CAAD" w:rsidR="009D736C" w:rsidRPr="00A244BE" w:rsidRDefault="00BB2FCD" w:rsidP="00A244BE">
      <w:pPr>
        <w:rPr>
          <w:rFonts w:ascii="Times New Roman" w:hAnsi="Times New Roman" w:cs="Times New Roman"/>
          <w:noProof/>
          <w:lang w:val="en-US"/>
        </w:rPr>
      </w:pPr>
      <w:r w:rsidRPr="002B732C">
        <w:rPr>
          <w:rFonts w:ascii="Times New Roman" w:hAnsi="Times New Roman" w:cs="Times New Roman"/>
          <w:noProof/>
          <w:lang w:val="en-US"/>
        </w:rPr>
        <w:br w:type="page"/>
      </w:r>
      <w:bookmarkStart w:id="2" w:name="_Toc224209467"/>
    </w:p>
    <w:p w14:paraId="093B554E" w14:textId="059E53C0" w:rsidR="009D736C" w:rsidRDefault="009D736C" w:rsidP="002B732C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C219971" wp14:editId="25FFA626">
            <wp:extent cx="5760720" cy="4282440"/>
            <wp:effectExtent l="0" t="0" r="0" b="3810"/>
            <wp:docPr id="139393400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A725C" w14:textId="739DD683" w:rsidR="000A20AD" w:rsidRPr="002777AE" w:rsidRDefault="000A20AD" w:rsidP="002B732C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r w:rsidRPr="002777AE">
        <w:rPr>
          <w:rFonts w:ascii="Times New Roman" w:hAnsi="Times New Roman" w:cs="Times New Roman"/>
          <w:b/>
          <w:bCs/>
          <w:noProof/>
          <w:color w:val="auto"/>
          <w:sz w:val="20"/>
          <w:szCs w:val="24"/>
        </w:rPr>
        <w:drawing>
          <wp:anchor distT="0" distB="0" distL="114300" distR="114300" simplePos="0" relativeHeight="251660288" behindDoc="0" locked="0" layoutInCell="1" allowOverlap="1" wp14:anchorId="2C96D010" wp14:editId="6F413F6C">
            <wp:simplePos x="0" y="0"/>
            <wp:positionH relativeFrom="column">
              <wp:posOffset>6977561</wp:posOffset>
            </wp:positionH>
            <wp:positionV relativeFrom="paragraph">
              <wp:posOffset>3347357</wp:posOffset>
            </wp:positionV>
            <wp:extent cx="731667" cy="1305715"/>
            <wp:effectExtent l="0" t="0" r="0" b="8890"/>
            <wp:wrapNone/>
            <wp:docPr id="25" name="Grafik 24" descr="Ein Bild, das Reihe, Diagramm, Text, Steigung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77BFECA-B7DD-C6CA-BE96-E713018421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4" descr="Ein Bild, das Reihe, Diagramm, Text, Steigung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C77BFECA-B7DD-C6CA-BE96-E713018421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09" t="26196" r="-4267" b="33494"/>
                    <a:stretch>
                      <a:fillRect/>
                    </a:stretch>
                  </pic:blipFill>
                  <pic:spPr>
                    <a:xfrm>
                      <a:off x="0" y="0"/>
                      <a:ext cx="731667" cy="130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7AE">
        <w:rPr>
          <w:rFonts w:ascii="Times New Roman" w:hAnsi="Times New Roman" w:cs="Times New Roman"/>
          <w:b/>
          <w:bCs/>
          <w:noProof/>
          <w:color w:val="auto"/>
          <w:sz w:val="20"/>
          <w:szCs w:val="24"/>
        </w:rPr>
        <w:drawing>
          <wp:anchor distT="0" distB="0" distL="114300" distR="114300" simplePos="0" relativeHeight="251661312" behindDoc="0" locked="0" layoutInCell="1" allowOverlap="1" wp14:anchorId="3B67FDD6" wp14:editId="1F81BBA2">
            <wp:simplePos x="0" y="0"/>
            <wp:positionH relativeFrom="column">
              <wp:posOffset>7026547</wp:posOffset>
            </wp:positionH>
            <wp:positionV relativeFrom="paragraph">
              <wp:posOffset>5780314</wp:posOffset>
            </wp:positionV>
            <wp:extent cx="492791" cy="664043"/>
            <wp:effectExtent l="0" t="0" r="2540" b="3175"/>
            <wp:wrapNone/>
            <wp:docPr id="18" name="Grafik 17" descr="Ein Bild, das Reihe, Diagramm, Text, Steigung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EB690F7A-AA8C-F18E-4910-A322BF33B9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7" descr="Ein Bild, das Reihe, Diagramm, Text, Steigung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EB690F7A-AA8C-F18E-4910-A322BF33B9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09" t="39443" r="649" b="40057"/>
                    <a:stretch>
                      <a:fillRect/>
                    </a:stretch>
                  </pic:blipFill>
                  <pic:spPr>
                    <a:xfrm>
                      <a:off x="0" y="0"/>
                      <a:ext cx="492791" cy="664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Supplementary Figure 3: Frequencies of γδ T cell subsets over time. Flowcytometry and scRNA analyses.</w:t>
      </w:r>
      <w:bookmarkEnd w:id="2"/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 </w:t>
      </w:r>
    </w:p>
    <w:p w14:paraId="4FBFC4E7" w14:textId="140267A5" w:rsidR="000A20AD" w:rsidRPr="00F3626B" w:rsidRDefault="000A20AD" w:rsidP="00F3626B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t>Frequency of γδ and non-Vδ2</w:t>
      </w:r>
      <w:r w:rsidRPr="002777AE">
        <w:rPr>
          <w:rFonts w:ascii="Times New Roman" w:hAnsi="Times New Roman" w:cs="Times New Roman"/>
          <w:sz w:val="20"/>
          <w:vertAlign w:val="superscript"/>
          <w:lang w:val="en-US"/>
        </w:rPr>
        <w:t>+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γδ T cells across various patient samples.</w:t>
      </w:r>
      <w:r w:rsidR="002B732C"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="00BB2FCD" w:rsidRPr="002777AE">
        <w:rPr>
          <w:rFonts w:ascii="Times New Roman" w:hAnsi="Times New Roman" w:cs="Times New Roman"/>
          <w:b/>
          <w:bCs/>
          <w:sz w:val="20"/>
          <w:lang w:val="en-US"/>
        </w:rPr>
        <w:t>a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Pr="002777AE">
        <w:rPr>
          <w:rFonts w:ascii="Times New Roman" w:hAnsi="Times New Roman" w:cs="Times New Roman"/>
          <w:sz w:val="20"/>
          <w:lang w:val="en-US"/>
        </w:rPr>
        <w:t>Percentage of γδ cells of all CD3</w:t>
      </w:r>
      <w:r w:rsidRPr="002777AE">
        <w:rPr>
          <w:rFonts w:ascii="Times New Roman" w:hAnsi="Times New Roman" w:cs="Times New Roman"/>
          <w:sz w:val="20"/>
          <w:vertAlign w:val="superscript"/>
          <w:lang w:val="en-US"/>
        </w:rPr>
        <w:t>+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T cells.</w:t>
      </w:r>
      <w:r w:rsidR="00BB2FCD" w:rsidRPr="002777AE">
        <w:rPr>
          <w:rFonts w:ascii="Times New Roman" w:hAnsi="Times New Roman" w:cs="Times New Roman"/>
          <w:b/>
          <w:bCs/>
          <w:sz w:val="20"/>
          <w:lang w:val="en-US"/>
        </w:rPr>
        <w:t xml:space="preserve"> b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Pr="002777AE">
        <w:rPr>
          <w:rFonts w:ascii="Times New Roman" w:hAnsi="Times New Roman" w:cs="Times New Roman"/>
          <w:sz w:val="20"/>
          <w:lang w:val="en-US"/>
        </w:rPr>
        <w:t>Frequency of Vδ2</w:t>
      </w:r>
      <w:r w:rsidRPr="002777AE">
        <w:rPr>
          <w:rFonts w:ascii="Times New Roman" w:hAnsi="Times New Roman" w:cs="Times New Roman"/>
          <w:sz w:val="20"/>
          <w:vertAlign w:val="superscript"/>
          <w:lang w:val="en-US"/>
        </w:rPr>
        <w:t>+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γδ T cells from sorting analysis of γδ T cells per day, focusing solely on delta chains. The right panel represents the frequency of Vδ2</w:t>
      </w:r>
      <w:r w:rsidRPr="002777AE">
        <w:rPr>
          <w:rFonts w:ascii="Times New Roman" w:hAnsi="Times New Roman" w:cs="Times New Roman"/>
          <w:sz w:val="20"/>
          <w:vertAlign w:val="superscript"/>
          <w:lang w:val="en-US"/>
        </w:rPr>
        <w:t>+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T cells from derived from single-cell sequencing from all recovered delta chains at the indicated timepoint. Each line represents a different patient, with markers indicating the respective patient samples (p1-p6 and ctrl1 and ctrl2).</w:t>
      </w:r>
      <w:r w:rsidR="000833F8">
        <w:rPr>
          <w:rFonts w:ascii="Times New Roman" w:hAnsi="Times New Roman" w:cs="Times New Roman"/>
          <w:sz w:val="20"/>
          <w:lang w:val="en-US"/>
        </w:rPr>
        <w:t xml:space="preserve"> </w:t>
      </w:r>
      <w:r w:rsidR="00F3626B" w:rsidRPr="000833F8">
        <w:rPr>
          <w:rFonts w:ascii="Times New Roman" w:hAnsi="Times New Roman" w:cs="Times New Roman"/>
          <w:sz w:val="20"/>
          <w:highlight w:val="yellow"/>
          <w:lang w:val="en-US"/>
        </w:rPr>
        <w:t>Statistical comparisons (day 30 vs. subsequent timepoints) were performed for CMV-reactivated patients using linear mixed-effects modeling with Bonferroni correction. p-values shown below the graph correspond to pairwise comparisons between day 30 and subsequent timepoints, derived from linear mixed-effects modeling with Bonferroni correction for multiple testing.</w:t>
      </w:r>
      <w:r w:rsidRPr="002B732C">
        <w:rPr>
          <w:rFonts w:ascii="Times New Roman" w:hAnsi="Times New Roman" w:cs="Times New Roman"/>
          <w:lang w:val="en-US"/>
        </w:rPr>
        <w:br w:type="page"/>
      </w:r>
    </w:p>
    <w:p w14:paraId="61A67AEE" w14:textId="5AE0F841" w:rsidR="00DC4251" w:rsidRPr="002777AE" w:rsidRDefault="003858E2" w:rsidP="002B732C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3" w:name="_Toc224209468"/>
      <w:r>
        <w:rPr>
          <w:rFonts w:ascii="Times New Roman" w:hAnsi="Times New Roman" w:cs="Times New Roman"/>
          <w:b/>
          <w:bCs/>
          <w:noProof/>
          <w:color w:val="auto"/>
          <w:sz w:val="20"/>
          <w:szCs w:val="24"/>
          <w:lang w:val="en-US"/>
        </w:rPr>
        <w:lastRenderedPageBreak/>
        <w:drawing>
          <wp:inline distT="0" distB="0" distL="0" distR="0" wp14:anchorId="2E86371D" wp14:editId="38D84996">
            <wp:extent cx="5760720" cy="4404360"/>
            <wp:effectExtent l="0" t="0" r="0" b="0"/>
            <wp:docPr id="193973230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251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Supplementary Figure 4: Monitoring γδ TCR repertoire stability within patients over 180 days.</w:t>
      </w:r>
      <w:bookmarkEnd w:id="3"/>
    </w:p>
    <w:p w14:paraId="1CB90A07" w14:textId="44C742E3" w:rsidR="00DC4251" w:rsidRPr="002777AE" w:rsidRDefault="00BB2FCD" w:rsidP="002B732C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b/>
          <w:bCs/>
          <w:sz w:val="20"/>
          <w:lang w:val="en-US"/>
        </w:rPr>
        <w:t>a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DC4251" w:rsidRPr="002777AE">
        <w:rPr>
          <w:rFonts w:ascii="Times New Roman" w:hAnsi="Times New Roman" w:cs="Times New Roman"/>
          <w:sz w:val="20"/>
          <w:lang w:val="en-US"/>
        </w:rPr>
        <w:t>Longitudinal frequency of delta chains. The x-axis represents the time points of available samples, while the y-axis shows the percentage of all delta chains available per day. The clonal development of delta chains (paired and unpaired with a gamma chain) is presented for each patient individually.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b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DC4251" w:rsidRPr="002777AE">
        <w:rPr>
          <w:rFonts w:ascii="Times New Roman" w:hAnsi="Times New Roman" w:cs="Times New Roman"/>
          <w:sz w:val="20"/>
          <w:lang w:val="en-GB"/>
        </w:rPr>
        <w:t>Intra</w:t>
      </w:r>
      <w:r w:rsidR="002B732C" w:rsidRPr="002777AE">
        <w:rPr>
          <w:rFonts w:ascii="Times New Roman" w:hAnsi="Times New Roman" w:cs="Times New Roman"/>
          <w:sz w:val="20"/>
          <w:lang w:val="en-GB"/>
        </w:rPr>
        <w:t>-</w:t>
      </w:r>
      <w:r w:rsidR="00DC4251" w:rsidRPr="002777AE">
        <w:rPr>
          <w:rFonts w:ascii="Times New Roman" w:hAnsi="Times New Roman" w:cs="Times New Roman"/>
          <w:sz w:val="20"/>
          <w:lang w:val="en-GB"/>
        </w:rPr>
        <w:t>patient Morisita</w:t>
      </w:r>
      <w:r w:rsidR="003858E2">
        <w:rPr>
          <w:rFonts w:ascii="Times New Roman" w:hAnsi="Times New Roman" w:cs="Times New Roman"/>
          <w:sz w:val="20"/>
          <w:lang w:val="en-GB"/>
        </w:rPr>
        <w:t>-</w:t>
      </w:r>
      <w:r w:rsidR="00DC4251" w:rsidRPr="002777AE">
        <w:rPr>
          <w:rFonts w:ascii="Times New Roman" w:hAnsi="Times New Roman" w:cs="Times New Roman"/>
          <w:sz w:val="20"/>
          <w:lang w:val="en-GB"/>
        </w:rPr>
        <w:t xml:space="preserve">Horn </w:t>
      </w:r>
      <w:r w:rsidR="003858E2" w:rsidRPr="003858E2">
        <w:rPr>
          <w:rFonts w:ascii="Times New Roman" w:hAnsi="Times New Roman" w:cs="Times New Roman"/>
          <w:sz w:val="20"/>
          <w:highlight w:val="yellow"/>
          <w:lang w:val="en-GB"/>
        </w:rPr>
        <w:t>indices</w:t>
      </w:r>
      <w:r w:rsidR="003858E2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DC4251" w:rsidRPr="002777AE">
        <w:rPr>
          <w:rFonts w:ascii="Times New Roman" w:hAnsi="Times New Roman" w:cs="Times New Roman"/>
          <w:sz w:val="20"/>
          <w:lang w:val="en-GB"/>
        </w:rPr>
        <w:t xml:space="preserve">for paired </w:t>
      </w:r>
      <w:r w:rsidR="00DC4251" w:rsidRPr="002777AE">
        <w:rPr>
          <w:rFonts w:ascii="Times New Roman" w:hAnsi="Times New Roman" w:cs="Times New Roman"/>
          <w:sz w:val="20"/>
          <w:lang w:val="el-GR"/>
        </w:rPr>
        <w:t>γδ</w:t>
      </w:r>
      <w:r w:rsidR="00DC4251" w:rsidRPr="002777AE">
        <w:rPr>
          <w:rFonts w:ascii="Times New Roman" w:hAnsi="Times New Roman" w:cs="Times New Roman"/>
          <w:sz w:val="20"/>
          <w:lang w:val="en-GB"/>
        </w:rPr>
        <w:t xml:space="preserve"> clones longitudinally. 1 indicates identical samples and 0 no clonal overlap.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3A022F" w:rsidRPr="000833F8">
        <w:rPr>
          <w:rFonts w:ascii="Times New Roman" w:hAnsi="Times New Roman" w:cs="Times New Roman"/>
          <w:b/>
          <w:bCs/>
          <w:sz w:val="20"/>
          <w:highlight w:val="yellow"/>
          <w:lang w:val="en-US"/>
        </w:rPr>
        <w:t>c</w:t>
      </w:r>
      <w:r w:rsidR="003A022F" w:rsidRPr="000833F8">
        <w:rPr>
          <w:rFonts w:ascii="Times New Roman" w:hAnsi="Times New Roman" w:cs="Times New Roman"/>
          <w:sz w:val="20"/>
          <w:highlight w:val="yellow"/>
          <w:lang w:val="en-US"/>
        </w:rPr>
        <w:t>) Gini Indices per patient longitudinal. Values range from 0 (perfect equality, all clones at equal frequency) to 1 (perfect inequality, single clone dominance).</w:t>
      </w:r>
      <w:r w:rsidR="003A022F"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="00DC4251" w:rsidRPr="002777AE">
        <w:rPr>
          <w:rFonts w:ascii="Times New Roman" w:hAnsi="Times New Roman" w:cs="Times New Roman"/>
          <w:sz w:val="20"/>
          <w:lang w:val="en-US"/>
        </w:rPr>
        <w:t>The black and white arrow indicates CMV reactivation</w:t>
      </w:r>
    </w:p>
    <w:p w14:paraId="7FE923F3" w14:textId="032C81BB" w:rsidR="000A20AD" w:rsidRPr="002777AE" w:rsidRDefault="000A20AD" w:rsidP="0032594B">
      <w:pPr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br w:type="page"/>
      </w:r>
    </w:p>
    <w:p w14:paraId="2C152C20" w14:textId="5F5AEB10" w:rsidR="0032594B" w:rsidRPr="002777AE" w:rsidRDefault="000819B8" w:rsidP="0032594B">
      <w:pPr>
        <w:rPr>
          <w:rFonts w:ascii="Times New Roman" w:hAnsi="Times New Roman" w:cs="Times New Roman"/>
          <w:b/>
          <w:bCs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val="en-US"/>
        </w:rPr>
        <w:lastRenderedPageBreak/>
        <w:drawing>
          <wp:anchor distT="0" distB="0" distL="114300" distR="114300" simplePos="0" relativeHeight="251662336" behindDoc="1" locked="0" layoutInCell="1" allowOverlap="1" wp14:anchorId="24178490" wp14:editId="3DF8BD86">
            <wp:simplePos x="0" y="0"/>
            <wp:positionH relativeFrom="column">
              <wp:posOffset>-183515</wp:posOffset>
            </wp:positionH>
            <wp:positionV relativeFrom="page">
              <wp:posOffset>883920</wp:posOffset>
            </wp:positionV>
            <wp:extent cx="5760720" cy="6614160"/>
            <wp:effectExtent l="0" t="0" r="0" b="0"/>
            <wp:wrapTight wrapText="bothSides">
              <wp:wrapPolygon edited="0">
                <wp:start x="0" y="0"/>
                <wp:lineTo x="0" y="21525"/>
                <wp:lineTo x="21500" y="21525"/>
                <wp:lineTo x="21500" y="0"/>
                <wp:lineTo x="0" y="0"/>
              </wp:wrapPolygon>
            </wp:wrapTight>
            <wp:docPr id="84593667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3" b="14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A58F0D" w14:textId="4AD614AE" w:rsidR="000A20AD" w:rsidRPr="002777AE" w:rsidRDefault="0032594B" w:rsidP="002777AE">
      <w:pPr>
        <w:pStyle w:val="berschrift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4" w:name="_Toc224209469"/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S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upplementary Figure 5: Monitoring γδ T cell phenotypes and TCR delta chain usage within patients over 180 days.</w:t>
      </w:r>
      <w:bookmarkEnd w:id="4"/>
    </w:p>
    <w:p w14:paraId="744D019E" w14:textId="418371E8" w:rsidR="0032594B" w:rsidRPr="002777AE" w:rsidRDefault="00BB2FCD" w:rsidP="002777AE">
      <w:pPr>
        <w:spacing w:after="0" w:line="276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b/>
          <w:bCs/>
          <w:sz w:val="20"/>
          <w:lang w:val="en-US"/>
        </w:rPr>
        <w:t>a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UMAP visualization of the integrated γδ T cell dataset shown separately for each patient.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b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Relative cluster composition (c0–c12) per patient displayed as proportional bar plots.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c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UMAP colored by patient identity.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d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>Longitudinal cluster distribution across time points for each patient; arrows indicate CMV reactivation events. Each color represents a distinct cluster identified by unsupervised clustering (Figure 2a).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e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Bar plots show the distribution of major γδ T cell subsets (based on </w:t>
      </w:r>
      <w:proofErr w:type="spellStart"/>
      <w:r w:rsidR="000A20AD" w:rsidRPr="002777AE">
        <w:rPr>
          <w:rFonts w:ascii="Times New Roman" w:hAnsi="Times New Roman" w:cs="Times New Roman"/>
          <w:sz w:val="20"/>
          <w:lang w:val="en-US"/>
        </w:rPr>
        <w:t>Vδ</w:t>
      </w:r>
      <w:proofErr w:type="spellEnd"/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 chain) across clusters for each patient and control. The black and white arrow indicates CMV reactivation. Grey bars indicate no sample available.</w:t>
      </w:r>
      <w:r w:rsidR="0032594B" w:rsidRPr="002777AE">
        <w:rPr>
          <w:rFonts w:ascii="Times New Roman" w:hAnsi="Times New Roman" w:cs="Times New Roman"/>
          <w:sz w:val="20"/>
          <w:lang w:val="en-US"/>
        </w:rPr>
        <w:br w:type="page"/>
      </w:r>
    </w:p>
    <w:p w14:paraId="426675E1" w14:textId="1372B2D0" w:rsidR="000A20AD" w:rsidRPr="002777AE" w:rsidRDefault="00FA3EFE" w:rsidP="00BB2FCD">
      <w:pPr>
        <w:spacing w:after="0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val="en-US"/>
        </w:rPr>
        <w:lastRenderedPageBreak/>
        <w:drawing>
          <wp:inline distT="0" distB="0" distL="0" distR="0" wp14:anchorId="6F550A8C" wp14:editId="750C2531">
            <wp:extent cx="5760720" cy="3261360"/>
            <wp:effectExtent l="0" t="0" r="0" b="0"/>
            <wp:docPr id="88344379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7242E" w14:textId="77777777" w:rsidR="000A20AD" w:rsidRPr="002777AE" w:rsidRDefault="000A20AD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073A406" w14:textId="31A46DB3" w:rsidR="000A20AD" w:rsidRPr="002777AE" w:rsidRDefault="000A20AD" w:rsidP="002B732C">
      <w:pPr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b/>
          <w:bCs/>
          <w:sz w:val="20"/>
          <w:lang w:val="en-US"/>
        </w:rPr>
        <w:t>Supplementary Figure 6: Monitoring γδ T cell phenotypes of adaptive-like γδ T cells within patients over 180 days.</w:t>
      </w:r>
    </w:p>
    <w:p w14:paraId="0A9B187C" w14:textId="21AD360A" w:rsidR="000A20AD" w:rsidRPr="002777AE" w:rsidRDefault="000A20AD" w:rsidP="002B732C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t>Cell distribution of all non-Vγ9Vδ2 γδ T cell clusters longitudinally for each patient individually at available time points following transplantation. Stacked bar plots show the proportion of γδ T cells per identified cluster over time (days post-transplant or post-treatment, as indicated). Each color represents a distinct cluster identified by unsupervised clustering. Each color within the bars corresponds to a specific T cell cluster described in Figure 2a.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sz w:val="20"/>
          <w:lang w:val="en-US"/>
        </w:rPr>
        <w:t>The black and white arrow indicates CMV reactivation. Grey bars indicate no sample available.</w:t>
      </w:r>
    </w:p>
    <w:p w14:paraId="18D0027A" w14:textId="77777777" w:rsidR="000A20AD" w:rsidRPr="002777AE" w:rsidRDefault="000A20AD">
      <w:pPr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br w:type="page"/>
      </w:r>
    </w:p>
    <w:p w14:paraId="715B23BB" w14:textId="455AC1B8" w:rsidR="000A20AD" w:rsidRPr="002777AE" w:rsidRDefault="00FA3EFE" w:rsidP="002B732C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5" w:name="_Toc224209470"/>
      <w:r>
        <w:rPr>
          <w:rFonts w:ascii="Times New Roman" w:hAnsi="Times New Roman" w:cs="Times New Roman"/>
          <w:b/>
          <w:bCs/>
          <w:noProof/>
          <w:sz w:val="20"/>
          <w:lang w:val="en-US"/>
        </w:rPr>
        <w:lastRenderedPageBreak/>
        <w:drawing>
          <wp:inline distT="0" distB="0" distL="0" distR="0" wp14:anchorId="45C67887" wp14:editId="0AC2FA62">
            <wp:extent cx="5760720" cy="3596640"/>
            <wp:effectExtent l="0" t="0" r="0" b="3810"/>
            <wp:docPr id="93426880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5" b="3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Supplementary Figure 7: Monitoring γδ T cell phenotypes of V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l-GR"/>
        </w:rPr>
        <w:t>γ9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V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l-GR"/>
        </w:rPr>
        <w:t>δ2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vertAlign w:val="superscript"/>
          <w:lang w:val="en-US"/>
        </w:rPr>
        <w:t>+</w:t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 T cells within patients over 180 days.</w:t>
      </w:r>
      <w:bookmarkEnd w:id="5"/>
    </w:p>
    <w:p w14:paraId="72B0A296" w14:textId="6AF4099F" w:rsidR="000A20AD" w:rsidRPr="002777AE" w:rsidRDefault="000A20AD" w:rsidP="002B732C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t xml:space="preserve">Cell distribution of a) 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γ9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δ2</w:t>
      </w:r>
      <w:r w:rsidR="002B732C" w:rsidRPr="002777AE">
        <w:rPr>
          <w:rFonts w:ascii="Times New Roman" w:hAnsi="Times New Roman" w:cs="Times New Roman"/>
          <w:bCs/>
          <w:sz w:val="20"/>
          <w:vertAlign w:val="superscript"/>
          <w:lang w:val="en-US"/>
        </w:rPr>
        <w:t>+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 xml:space="preserve"> T cells </w:t>
      </w:r>
      <w:r w:rsidRPr="002777AE">
        <w:rPr>
          <w:rFonts w:ascii="Times New Roman" w:hAnsi="Times New Roman" w:cs="Times New Roman"/>
          <w:sz w:val="20"/>
          <w:lang w:val="en-US"/>
        </w:rPr>
        <w:t>using JP VJ connection and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b), 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γ9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δ2</w:t>
      </w:r>
      <w:r w:rsidR="002B732C" w:rsidRPr="002777AE">
        <w:rPr>
          <w:rFonts w:ascii="Times New Roman" w:hAnsi="Times New Roman" w:cs="Times New Roman"/>
          <w:bCs/>
          <w:sz w:val="20"/>
          <w:vertAlign w:val="superscript"/>
          <w:lang w:val="en-US"/>
        </w:rPr>
        <w:t>+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 xml:space="preserve"> T cells</w:t>
      </w:r>
      <w:r w:rsidR="002B732C" w:rsidRPr="002777AE">
        <w:rPr>
          <w:rFonts w:ascii="Times New Roman" w:hAnsi="Times New Roman" w:cs="Times New Roman"/>
          <w:b/>
          <w:bCs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sz w:val="20"/>
          <w:lang w:val="en-US"/>
        </w:rPr>
        <w:t>using no JP VJ connection longitudinally for each patient individually at available time points following transplantation. Stacked bar plots show the proportion of γδ T cells per identified cluster over time (days post-transplant or post-treatment, as indicated). Each color represents a distinct cluster identified by unsupervised clustering (Figure 2A). Each color within the bars corresponds to a specific T cell cluster described in Figure 2a. In ctrl2</w:t>
      </w:r>
      <w:r w:rsidR="002B732C" w:rsidRPr="002777AE">
        <w:rPr>
          <w:rFonts w:ascii="Times New Roman" w:hAnsi="Times New Roman" w:cs="Times New Roman"/>
          <w:sz w:val="20"/>
          <w:lang w:val="en-US"/>
        </w:rPr>
        <w:t xml:space="preserve">, too few 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γ9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>V</w:t>
      </w:r>
      <w:r w:rsidR="002B732C" w:rsidRPr="002777AE">
        <w:rPr>
          <w:rFonts w:ascii="Times New Roman" w:hAnsi="Times New Roman" w:cs="Times New Roman"/>
          <w:bCs/>
          <w:sz w:val="20"/>
          <w:lang w:val="el-GR"/>
        </w:rPr>
        <w:t>δ2</w:t>
      </w:r>
      <w:r w:rsidR="002B732C" w:rsidRPr="002777AE">
        <w:rPr>
          <w:rFonts w:ascii="Times New Roman" w:hAnsi="Times New Roman" w:cs="Times New Roman"/>
          <w:bCs/>
          <w:sz w:val="20"/>
          <w:vertAlign w:val="superscript"/>
          <w:lang w:val="en-US"/>
        </w:rPr>
        <w:t>+</w:t>
      </w:r>
      <w:r w:rsidR="002B732C" w:rsidRPr="002777AE">
        <w:rPr>
          <w:rFonts w:ascii="Times New Roman" w:hAnsi="Times New Roman" w:cs="Times New Roman"/>
          <w:bCs/>
          <w:sz w:val="20"/>
          <w:lang w:val="en-US"/>
        </w:rPr>
        <w:t xml:space="preserve"> T cells </w:t>
      </w:r>
      <w:r w:rsidRPr="002777AE">
        <w:rPr>
          <w:rFonts w:ascii="Times New Roman" w:hAnsi="Times New Roman" w:cs="Times New Roman"/>
          <w:sz w:val="20"/>
          <w:lang w:val="en-US"/>
        </w:rPr>
        <w:t>were recovered to be analyzed</w:t>
      </w:r>
      <w:r w:rsidR="002B732C" w:rsidRPr="002777AE">
        <w:rPr>
          <w:rFonts w:ascii="Times New Roman" w:hAnsi="Times New Roman" w:cs="Times New Roman"/>
          <w:sz w:val="20"/>
          <w:lang w:val="en-US"/>
        </w:rPr>
        <w:t xml:space="preserve">. </w:t>
      </w:r>
      <w:r w:rsidRPr="002777AE">
        <w:rPr>
          <w:rFonts w:ascii="Times New Roman" w:hAnsi="Times New Roman" w:cs="Times New Roman"/>
          <w:sz w:val="20"/>
          <w:lang w:val="en-US"/>
        </w:rPr>
        <w:t>The black and white arrow indicates CMV reactivation. Grey bars indicate no sample available, a white bar with black border indicates available sample but no cell of interest detected.</w:t>
      </w:r>
    </w:p>
    <w:p w14:paraId="7D5A3AFE" w14:textId="7ED0E4E7" w:rsidR="000A20AD" w:rsidRPr="002777AE" w:rsidRDefault="000A20AD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9960EB3" w14:textId="77777777" w:rsidR="000A20AD" w:rsidRDefault="000A20AD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1B9FB30C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2978ABDE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745BFFFF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C78963D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7852BBF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267DF1CB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61FA96CB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2FEF5682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6F9E02CF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63028FD0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3603EB92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37F5F148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64E8C426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0C9F3B3E" w14:textId="77777777" w:rsidR="00FA3EF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4487DA5A" w14:textId="73AC6393" w:rsidR="00FA3EFE" w:rsidRPr="002777AE" w:rsidRDefault="00FA3EFE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5CBE9635" w14:textId="6373CC26" w:rsidR="000A20AD" w:rsidRPr="002777AE" w:rsidRDefault="00F842AF" w:rsidP="00FC3D25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6" w:name="_Toc224209471"/>
      <w:r>
        <w:rPr>
          <w:rFonts w:ascii="Times New Roman" w:hAnsi="Times New Roman" w:cs="Times New Roman"/>
          <w:noProof/>
          <w:sz w:val="20"/>
          <w:lang w:val="en-US"/>
        </w:rPr>
        <w:lastRenderedPageBreak/>
        <w:drawing>
          <wp:inline distT="0" distB="0" distL="0" distR="0" wp14:anchorId="6C6BA6D1" wp14:editId="268D3A48">
            <wp:extent cx="5760720" cy="6903720"/>
            <wp:effectExtent l="0" t="0" r="0" b="0"/>
            <wp:docPr id="123202921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GB"/>
        </w:rPr>
        <w:t>Supplementary Figure 8: Clonal expansion and phenotypic shift of individual clones</w:t>
      </w:r>
      <w:r w:rsidR="007D5937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GB"/>
        </w:rPr>
        <w:t>.</w:t>
      </w:r>
      <w:bookmarkEnd w:id="6"/>
    </w:p>
    <w:p w14:paraId="0573C117" w14:textId="1D0D01F0" w:rsidR="00B6561D" w:rsidRPr="002777AE" w:rsidRDefault="000A20AD" w:rsidP="00FC3D25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t xml:space="preserve">Phenotype of three individual clones of interest from </w:t>
      </w:r>
      <w:r w:rsidR="00BB2FCD" w:rsidRPr="002777AE">
        <w:rPr>
          <w:rFonts w:ascii="Times New Roman" w:hAnsi="Times New Roman" w:cs="Times New Roman"/>
          <w:b/>
          <w:bCs/>
          <w:sz w:val="20"/>
          <w:lang w:val="en-US"/>
        </w:rPr>
        <w:t>a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patient4, </w:t>
      </w:r>
      <w:r w:rsidR="00BB2FCD" w:rsidRPr="002777AE">
        <w:rPr>
          <w:rFonts w:ascii="Times New Roman" w:hAnsi="Times New Roman" w:cs="Times New Roman"/>
          <w:b/>
          <w:bCs/>
          <w:sz w:val="20"/>
          <w:lang w:val="en-US"/>
        </w:rPr>
        <w:t>b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patient5 and </w:t>
      </w:r>
      <w:r w:rsidR="00BB2FCD" w:rsidRPr="002777AE">
        <w:rPr>
          <w:rFonts w:ascii="Times New Roman" w:hAnsi="Times New Roman" w:cs="Times New Roman"/>
          <w:b/>
          <w:bCs/>
          <w:sz w:val="20"/>
          <w:lang w:val="en-US"/>
        </w:rPr>
        <w:t>c</w:t>
      </w:r>
      <w:r w:rsidR="00BB2FCD"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Pr="002777AE">
        <w:rPr>
          <w:rFonts w:ascii="Times New Roman" w:hAnsi="Times New Roman" w:cs="Times New Roman"/>
          <w:sz w:val="20"/>
          <w:lang w:val="en-US"/>
        </w:rPr>
        <w:t>patient</w:t>
      </w:r>
      <w:r w:rsidR="00BB2FCD" w:rsidRPr="002777AE">
        <w:rPr>
          <w:rFonts w:ascii="Times New Roman" w:hAnsi="Times New Roman" w:cs="Times New Roman"/>
          <w:sz w:val="20"/>
          <w:lang w:val="en-US"/>
        </w:rPr>
        <w:t>2</w:t>
      </w:r>
      <w:r w:rsidR="008757D4" w:rsidRPr="000833F8">
        <w:rPr>
          <w:rFonts w:ascii="Times New Roman" w:hAnsi="Times New Roman" w:cs="Times New Roman"/>
          <w:sz w:val="20"/>
          <w:highlight w:val="yellow"/>
          <w:lang w:val="en-US"/>
        </w:rPr>
        <w:t xml:space="preserve">, </w:t>
      </w:r>
      <w:r w:rsidR="008757D4" w:rsidRPr="000833F8">
        <w:rPr>
          <w:rFonts w:ascii="Times New Roman" w:hAnsi="Times New Roman" w:cs="Times New Roman"/>
          <w:b/>
          <w:sz w:val="20"/>
          <w:highlight w:val="yellow"/>
          <w:lang w:val="en-US"/>
        </w:rPr>
        <w:t>d</w:t>
      </w:r>
      <w:r w:rsidR="008757D4" w:rsidRPr="000833F8">
        <w:rPr>
          <w:rFonts w:ascii="Times New Roman" w:hAnsi="Times New Roman" w:cs="Times New Roman"/>
          <w:sz w:val="20"/>
          <w:highlight w:val="yellow"/>
          <w:lang w:val="en-US"/>
        </w:rPr>
        <w:t xml:space="preserve">) control1, </w:t>
      </w:r>
      <w:r w:rsidR="008757D4" w:rsidRPr="000833F8">
        <w:rPr>
          <w:rFonts w:ascii="Times New Roman" w:hAnsi="Times New Roman" w:cs="Times New Roman"/>
          <w:b/>
          <w:sz w:val="20"/>
          <w:highlight w:val="yellow"/>
          <w:lang w:val="en-US"/>
        </w:rPr>
        <w:t>e</w:t>
      </w:r>
      <w:r w:rsidR="008757D4" w:rsidRPr="000833F8">
        <w:rPr>
          <w:rFonts w:ascii="Times New Roman" w:hAnsi="Times New Roman" w:cs="Times New Roman"/>
          <w:sz w:val="20"/>
          <w:highlight w:val="yellow"/>
          <w:lang w:val="en-US"/>
        </w:rPr>
        <w:t>) control2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. 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Tracking the phenotype of the clone of interest longitudinally in the UMAP. Highlighted dots represent one cell of the indicated clone. All clones share the same paired </w:t>
      </w:r>
      <w:r w:rsidR="00FC3D25" w:rsidRPr="002777AE">
        <w:rPr>
          <w:rFonts w:ascii="Times New Roman" w:hAnsi="Times New Roman" w:cs="Times New Roman"/>
          <w:sz w:val="20"/>
          <w:lang w:val="en-GB"/>
        </w:rPr>
        <w:t>CDR3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sequence. The frequency of the clone of interest per patient per day is indicated above each </w:t>
      </w:r>
      <w:r w:rsidR="00FC3D25" w:rsidRPr="002777AE">
        <w:rPr>
          <w:rFonts w:ascii="Times New Roman" w:hAnsi="Times New Roman" w:cs="Times New Roman"/>
          <w:sz w:val="20"/>
          <w:lang w:val="en-GB"/>
        </w:rPr>
        <w:t>UMAP</w:t>
      </w:r>
      <w:r w:rsidRPr="002777AE">
        <w:rPr>
          <w:rFonts w:ascii="Times New Roman" w:hAnsi="Times New Roman" w:cs="Times New Roman"/>
          <w:sz w:val="20"/>
          <w:lang w:val="en-GB"/>
        </w:rPr>
        <w:t>.</w:t>
      </w:r>
      <w:r w:rsidR="007D5937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Pr="002777AE">
        <w:rPr>
          <w:rFonts w:ascii="Times New Roman" w:hAnsi="Times New Roman" w:cs="Times New Roman"/>
          <w:sz w:val="20"/>
          <w:lang w:val="en-GB"/>
        </w:rPr>
        <w:t>Bar chart representation of the phenotype of the clone of interest longitudinally (left side)</w:t>
      </w:r>
      <w:r w:rsidR="00211A7B">
        <w:rPr>
          <w:rFonts w:ascii="Times New Roman" w:hAnsi="Times New Roman" w:cs="Times New Roman"/>
          <w:sz w:val="20"/>
          <w:lang w:val="en-GB"/>
        </w:rPr>
        <w:t>.</w:t>
      </w:r>
      <w:r w:rsidR="000833F8">
        <w:rPr>
          <w:rFonts w:ascii="Times New Roman" w:hAnsi="Times New Roman" w:cs="Times New Roman"/>
          <w:sz w:val="20"/>
          <w:lang w:val="en-GB"/>
        </w:rPr>
        <w:t xml:space="preserve"> </w:t>
      </w:r>
      <w:r w:rsidR="00211A7B" w:rsidRPr="000833F8">
        <w:rPr>
          <w:rFonts w:ascii="Times New Roman" w:hAnsi="Times New Roman" w:cs="Times New Roman"/>
          <w:sz w:val="20"/>
          <w:highlight w:val="yellow"/>
          <w:lang w:val="en-GB"/>
        </w:rPr>
        <w:t>Line plots show the proportion of cells within the cluster (c01 and c07 – red or c04, c06, c08 - green) for clones of interest versus all other clones (</w:t>
      </w:r>
      <w:r w:rsidR="000833F8" w:rsidRPr="000833F8">
        <w:rPr>
          <w:rFonts w:ascii="Times New Roman" w:hAnsi="Times New Roman" w:cs="Times New Roman"/>
          <w:sz w:val="20"/>
          <w:highlight w:val="yellow"/>
          <w:lang w:val="en-GB"/>
        </w:rPr>
        <w:t>grey</w:t>
      </w:r>
      <w:r w:rsidR="00211A7B" w:rsidRPr="000833F8">
        <w:rPr>
          <w:rFonts w:ascii="Times New Roman" w:hAnsi="Times New Roman" w:cs="Times New Roman"/>
          <w:sz w:val="20"/>
          <w:highlight w:val="yellow"/>
          <w:lang w:val="en-GB"/>
        </w:rPr>
        <w:t>) across post-transplant timepoints. Significance stars indicate Bonferroni-adjusted Fisher's exact test p-values (*p&lt;0.05)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(right side). Cells are coloured base</w:t>
      </w:r>
      <w:r w:rsidR="00FC3D25" w:rsidRPr="002777AE">
        <w:rPr>
          <w:rFonts w:ascii="Times New Roman" w:hAnsi="Times New Roman" w:cs="Times New Roman"/>
          <w:sz w:val="20"/>
          <w:lang w:val="en-GB"/>
        </w:rPr>
        <w:t>d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on the </w:t>
      </w:r>
      <w:r w:rsidR="00FC3D25" w:rsidRPr="002777AE">
        <w:rPr>
          <w:rFonts w:ascii="Times New Roman" w:hAnsi="Times New Roman" w:cs="Times New Roman"/>
          <w:sz w:val="20"/>
          <w:lang w:val="en-GB"/>
        </w:rPr>
        <w:t xml:space="preserve">associated UMAP </w:t>
      </w:r>
      <w:r w:rsidRPr="002777AE">
        <w:rPr>
          <w:rFonts w:ascii="Times New Roman" w:hAnsi="Times New Roman" w:cs="Times New Roman"/>
          <w:sz w:val="20"/>
          <w:lang w:val="en-GB"/>
        </w:rPr>
        <w:t>cluster</w:t>
      </w:r>
      <w:r w:rsidR="00FC3D25" w:rsidRPr="002777AE">
        <w:rPr>
          <w:rFonts w:ascii="Times New Roman" w:hAnsi="Times New Roman" w:cs="Times New Roman"/>
          <w:sz w:val="20"/>
          <w:lang w:val="en-GB"/>
        </w:rPr>
        <w:t>s</w:t>
      </w:r>
      <w:r w:rsidRPr="002777AE">
        <w:rPr>
          <w:rFonts w:ascii="Times New Roman" w:hAnsi="Times New Roman" w:cs="Times New Roman"/>
          <w:sz w:val="20"/>
          <w:lang w:val="en-GB"/>
        </w:rPr>
        <w:t xml:space="preserve"> (Figure 2a). </w:t>
      </w:r>
      <w:r w:rsidRPr="002777AE">
        <w:rPr>
          <w:rFonts w:ascii="Times New Roman" w:hAnsi="Times New Roman" w:cs="Times New Roman"/>
          <w:sz w:val="20"/>
          <w:lang w:val="en-US"/>
        </w:rPr>
        <w:t>The black and white arrow indicates CMV reactivation. Grey bars indicate no sample available.</w:t>
      </w:r>
    </w:p>
    <w:p w14:paraId="396507CF" w14:textId="77777777" w:rsidR="00B6561D" w:rsidRPr="002777AE" w:rsidRDefault="00B6561D">
      <w:pPr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br w:type="page"/>
      </w:r>
    </w:p>
    <w:p w14:paraId="103A1573" w14:textId="523C75D7" w:rsidR="000A20AD" w:rsidRPr="002777AE" w:rsidRDefault="003F4444" w:rsidP="00FC3D25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7" w:name="_Toc224209472"/>
      <w:r>
        <w:rPr>
          <w:rFonts w:ascii="Times New Roman" w:hAnsi="Times New Roman" w:cs="Times New Roman"/>
          <w:noProof/>
          <w:sz w:val="20"/>
          <w:lang w:val="en-US"/>
        </w:rPr>
        <w:lastRenderedPageBreak/>
        <w:drawing>
          <wp:inline distT="0" distB="0" distL="0" distR="0" wp14:anchorId="748197E3" wp14:editId="79F47E2E">
            <wp:extent cx="5760720" cy="2392680"/>
            <wp:effectExtent l="0" t="0" r="0" b="7620"/>
            <wp:docPr id="2438832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0AD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Supplementary Figure 9: Monitoring αβ T cell phenotypes within patients over 180 days.</w:t>
      </w:r>
      <w:bookmarkEnd w:id="7"/>
    </w:p>
    <w:p w14:paraId="33493FBB" w14:textId="05699956" w:rsidR="000A20AD" w:rsidRPr="002777AE" w:rsidRDefault="000A20AD" w:rsidP="00FC3D25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t>Cell distribution of all αβ T cell clusters longitudinally for each patient individually at available time points following transplantation. Stacked bar plots show the proportion of αβ T cells per identified cluster over time (days post-transplant or post-treatment, as indicated). Each color represents a distinct cluster identified by unsupervised clustering (Figure 6a). Each color within the bars corresponds to a specific T cell cluster described in Figure 6</w:t>
      </w:r>
      <w:r w:rsidR="007D5937" w:rsidRPr="002777AE">
        <w:rPr>
          <w:rFonts w:ascii="Times New Roman" w:hAnsi="Times New Roman" w:cs="Times New Roman"/>
          <w:sz w:val="20"/>
          <w:lang w:val="en-US"/>
        </w:rPr>
        <w:t>a. The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black and white arrow indicates CMV reactivation. Grey bars indicate no sample available.</w:t>
      </w:r>
    </w:p>
    <w:p w14:paraId="1C1EBA3C" w14:textId="004EDEF5" w:rsidR="00B6561D" w:rsidRPr="002777AE" w:rsidRDefault="00B6561D" w:rsidP="00FC3D25">
      <w:pPr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sz w:val="20"/>
          <w:lang w:val="en-US"/>
        </w:rPr>
        <w:br w:type="page"/>
      </w:r>
      <w:r w:rsidR="003858E2">
        <w:rPr>
          <w:rFonts w:ascii="Times New Roman" w:hAnsi="Times New Roman" w:cs="Times New Roman"/>
          <w:noProof/>
          <w:sz w:val="20"/>
          <w:lang w:val="en-US"/>
        </w:rPr>
        <w:lastRenderedPageBreak/>
        <w:drawing>
          <wp:inline distT="0" distB="0" distL="0" distR="0" wp14:anchorId="6D7D9EF9" wp14:editId="0D7411B7">
            <wp:extent cx="5760720" cy="6629400"/>
            <wp:effectExtent l="0" t="0" r="0" b="0"/>
            <wp:docPr id="8020239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7AA3F" w14:textId="17C22271" w:rsidR="000A20AD" w:rsidRPr="002777AE" w:rsidRDefault="000A20AD" w:rsidP="000A20AD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61DB4658" w14:textId="44DFACFA" w:rsidR="000A20AD" w:rsidRPr="002777AE" w:rsidRDefault="000A20AD" w:rsidP="00FC3D25">
      <w:pPr>
        <w:pStyle w:val="berschrift2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</w:pPr>
      <w:bookmarkStart w:id="8" w:name="_Toc224209473"/>
      <w:r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 xml:space="preserve">Supplementary Figure 10: </w:t>
      </w:r>
      <w:r w:rsidR="00E56C09" w:rsidRPr="002777AE">
        <w:rPr>
          <w:rFonts w:ascii="Times New Roman" w:hAnsi="Times New Roman" w:cs="Times New Roman"/>
          <w:b/>
          <w:bCs/>
          <w:color w:val="auto"/>
          <w:sz w:val="20"/>
          <w:szCs w:val="24"/>
          <w:lang w:val="en-US"/>
        </w:rPr>
        <w:t>Monitoring αβ TCR repertoire stability within patients over 180 days.</w:t>
      </w:r>
      <w:bookmarkEnd w:id="8"/>
    </w:p>
    <w:p w14:paraId="4C9D1015" w14:textId="4A7F372A" w:rsidR="000A20AD" w:rsidRPr="002777AE" w:rsidRDefault="007D5937" w:rsidP="00A244BE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2777AE">
        <w:rPr>
          <w:rFonts w:ascii="Times New Roman" w:hAnsi="Times New Roman" w:cs="Times New Roman"/>
          <w:b/>
          <w:bCs/>
          <w:sz w:val="20"/>
          <w:lang w:val="en-US"/>
        </w:rPr>
        <w:t>a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>Intra</w:t>
      </w:r>
      <w:r w:rsidR="00FC3D25" w:rsidRPr="002777AE">
        <w:rPr>
          <w:rFonts w:ascii="Times New Roman" w:hAnsi="Times New Roman" w:cs="Times New Roman"/>
          <w:sz w:val="20"/>
          <w:lang w:val="en-US"/>
        </w:rPr>
        <w:t>-</w:t>
      </w:r>
      <w:r w:rsidR="000A20AD" w:rsidRPr="002777AE">
        <w:rPr>
          <w:rFonts w:ascii="Times New Roman" w:hAnsi="Times New Roman" w:cs="Times New Roman"/>
          <w:sz w:val="20"/>
          <w:lang w:val="en-US"/>
        </w:rPr>
        <w:t>patient Morisita</w:t>
      </w:r>
      <w:r w:rsidR="00EF367B">
        <w:rPr>
          <w:rFonts w:ascii="Times New Roman" w:hAnsi="Times New Roman" w:cs="Times New Roman"/>
          <w:sz w:val="20"/>
          <w:lang w:val="en-US"/>
        </w:rPr>
        <w:t>-</w:t>
      </w:r>
      <w:r w:rsidR="000A20AD" w:rsidRPr="002777AE">
        <w:rPr>
          <w:rFonts w:ascii="Times New Roman" w:hAnsi="Times New Roman" w:cs="Times New Roman"/>
          <w:sz w:val="20"/>
          <w:lang w:val="en-US"/>
        </w:rPr>
        <w:t xml:space="preserve">Horn </w:t>
      </w:r>
      <w:r w:rsidR="003858E2" w:rsidRPr="003858E2">
        <w:rPr>
          <w:rFonts w:ascii="Times New Roman" w:hAnsi="Times New Roman" w:cs="Times New Roman"/>
          <w:sz w:val="20"/>
          <w:highlight w:val="yellow"/>
          <w:lang w:val="en-GB"/>
        </w:rPr>
        <w:t>indices</w:t>
      </w:r>
      <w:r w:rsidR="003858E2" w:rsidRPr="002777AE">
        <w:rPr>
          <w:rFonts w:ascii="Times New Roman" w:hAnsi="Times New Roman" w:cs="Times New Roman"/>
          <w:sz w:val="20"/>
          <w:lang w:val="en-GB"/>
        </w:rPr>
        <w:t xml:space="preserve"> </w:t>
      </w:r>
      <w:r w:rsidR="000A20AD" w:rsidRPr="002777AE">
        <w:rPr>
          <w:rFonts w:ascii="Times New Roman" w:hAnsi="Times New Roman" w:cs="Times New Roman"/>
          <w:sz w:val="20"/>
          <w:lang w:val="en-US"/>
        </w:rPr>
        <w:t>for paired αβ clones longitudinally. 1 indicates identical samples and 0 no clonal overlap.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b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>Longitudinal frequency of beta clones. The x-axis represents the time points of available samples, while the y-axis shows the percentage of all beta chains available per day. The clonal development of beta chains (paired and unpaired with an alpha chain) is presented for each patient individually.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 </w:t>
      </w:r>
      <w:r w:rsidRPr="002777AE">
        <w:rPr>
          <w:rFonts w:ascii="Times New Roman" w:hAnsi="Times New Roman" w:cs="Times New Roman"/>
          <w:b/>
          <w:bCs/>
          <w:sz w:val="20"/>
          <w:lang w:val="en-US"/>
        </w:rPr>
        <w:t>c</w:t>
      </w:r>
      <w:r w:rsidRPr="002777AE">
        <w:rPr>
          <w:rFonts w:ascii="Times New Roman" w:hAnsi="Times New Roman" w:cs="Times New Roman"/>
          <w:sz w:val="20"/>
          <w:lang w:val="en-US"/>
        </w:rPr>
        <w:t xml:space="preserve">) </w:t>
      </w:r>
      <w:r w:rsidR="000A20AD" w:rsidRPr="002777AE">
        <w:rPr>
          <w:rFonts w:ascii="Times New Roman" w:hAnsi="Times New Roman" w:cs="Times New Roman"/>
          <w:sz w:val="20"/>
          <w:lang w:val="en-US"/>
        </w:rPr>
        <w:t>Frequency of individual TRBV beta chains per patient longitudinally. The x-axis represents the time points of available samples, while the y-axis shows the percentage of all beta chains available per day. Overlap of beta chains (paired and unpaired with an alpha chain) is presented for each patient individually</w:t>
      </w:r>
      <w:r w:rsidR="00FC3D25" w:rsidRPr="002777AE">
        <w:rPr>
          <w:rFonts w:ascii="Times New Roman" w:hAnsi="Times New Roman" w:cs="Times New Roman"/>
          <w:sz w:val="20"/>
          <w:lang w:val="en-US"/>
        </w:rPr>
        <w:t xml:space="preserve">. </w:t>
      </w:r>
      <w:r w:rsidR="000A20AD" w:rsidRPr="002777AE">
        <w:rPr>
          <w:rFonts w:ascii="Times New Roman" w:hAnsi="Times New Roman" w:cs="Times New Roman"/>
          <w:sz w:val="20"/>
          <w:lang w:val="en-US"/>
        </w:rPr>
        <w:t>The black and white arrow indicates CMV reactivation.</w:t>
      </w:r>
      <w:r w:rsidR="003042A1">
        <w:rPr>
          <w:rFonts w:ascii="Times New Roman" w:hAnsi="Times New Roman" w:cs="Times New Roman"/>
          <w:sz w:val="20"/>
          <w:lang w:val="en-US"/>
        </w:rPr>
        <w:t xml:space="preserve"> </w:t>
      </w:r>
      <w:r w:rsidR="003042A1" w:rsidRPr="000833F8">
        <w:rPr>
          <w:rFonts w:ascii="Times New Roman" w:hAnsi="Times New Roman" w:cs="Times New Roman"/>
          <w:b/>
          <w:bCs/>
          <w:sz w:val="20"/>
          <w:highlight w:val="yellow"/>
          <w:lang w:val="en-US"/>
        </w:rPr>
        <w:t>d</w:t>
      </w:r>
      <w:r w:rsidR="003042A1" w:rsidRPr="000833F8">
        <w:rPr>
          <w:rFonts w:ascii="Times New Roman" w:hAnsi="Times New Roman" w:cs="Times New Roman"/>
          <w:sz w:val="20"/>
          <w:highlight w:val="yellow"/>
          <w:lang w:val="en-US"/>
        </w:rPr>
        <w:t>) Gini Indices per patient longitudinal. Values range from 0 (perfect equality, all clones at equal frequency) to 1 (perfect inequality, single clone dominance).</w:t>
      </w:r>
    </w:p>
    <w:sectPr w:rsidR="000A20AD" w:rsidRPr="002777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196"/>
    <w:multiLevelType w:val="hybridMultilevel"/>
    <w:tmpl w:val="A95EED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4889"/>
    <w:multiLevelType w:val="hybridMultilevel"/>
    <w:tmpl w:val="F9387EA8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34551D"/>
    <w:multiLevelType w:val="hybridMultilevel"/>
    <w:tmpl w:val="D6CC086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316AEF"/>
    <w:multiLevelType w:val="hybridMultilevel"/>
    <w:tmpl w:val="0D385A4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017A3C"/>
    <w:multiLevelType w:val="hybridMultilevel"/>
    <w:tmpl w:val="CA628AF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AF3C4C"/>
    <w:multiLevelType w:val="hybridMultilevel"/>
    <w:tmpl w:val="460A5082"/>
    <w:lvl w:ilvl="0" w:tplc="EBC43F68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D61047"/>
    <w:multiLevelType w:val="hybridMultilevel"/>
    <w:tmpl w:val="F1A61A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D66E6"/>
    <w:multiLevelType w:val="hybridMultilevel"/>
    <w:tmpl w:val="94B09828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upperLetter"/>
      <w:lvlText w:val="(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upperLetter"/>
      <w:lvlText w:val="(%3)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upperLetter"/>
      <w:lvlText w:val="(%4)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upperLetter"/>
      <w:lvlText w:val="(%5)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upperLetter"/>
      <w:lvlText w:val="(%6)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upperLetter"/>
      <w:lvlText w:val="(%7)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upperLetter"/>
      <w:lvlText w:val="(%8)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upperLetter"/>
      <w:lvlText w:val="(%9)"/>
      <w:lvlJc w:val="left"/>
      <w:pPr>
        <w:tabs>
          <w:tab w:val="num" w:pos="6120"/>
        </w:tabs>
        <w:ind w:left="6120" w:hanging="360"/>
      </w:pPr>
    </w:lvl>
  </w:abstractNum>
  <w:num w:numId="1" w16cid:durableId="109326773">
    <w:abstractNumId w:val="7"/>
  </w:num>
  <w:num w:numId="2" w16cid:durableId="1655522348">
    <w:abstractNumId w:val="5"/>
  </w:num>
  <w:num w:numId="3" w16cid:durableId="897664115">
    <w:abstractNumId w:val="1"/>
  </w:num>
  <w:num w:numId="4" w16cid:durableId="1745687176">
    <w:abstractNumId w:val="0"/>
  </w:num>
  <w:num w:numId="5" w16cid:durableId="1607075109">
    <w:abstractNumId w:val="4"/>
  </w:num>
  <w:num w:numId="6" w16cid:durableId="1518958578">
    <w:abstractNumId w:val="3"/>
  </w:num>
  <w:num w:numId="7" w16cid:durableId="265236265">
    <w:abstractNumId w:val="6"/>
  </w:num>
  <w:num w:numId="8" w16cid:durableId="1883054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AD"/>
    <w:rsid w:val="000141A2"/>
    <w:rsid w:val="0001635E"/>
    <w:rsid w:val="000819B8"/>
    <w:rsid w:val="000833F8"/>
    <w:rsid w:val="000A20AD"/>
    <w:rsid w:val="00155227"/>
    <w:rsid w:val="001778AA"/>
    <w:rsid w:val="001945EF"/>
    <w:rsid w:val="00211A7B"/>
    <w:rsid w:val="002777AE"/>
    <w:rsid w:val="002B732C"/>
    <w:rsid w:val="003042A1"/>
    <w:rsid w:val="0032594B"/>
    <w:rsid w:val="003310A7"/>
    <w:rsid w:val="003858E2"/>
    <w:rsid w:val="003A022F"/>
    <w:rsid w:val="003F4444"/>
    <w:rsid w:val="004B1C0F"/>
    <w:rsid w:val="004C6754"/>
    <w:rsid w:val="00502E07"/>
    <w:rsid w:val="00512AC5"/>
    <w:rsid w:val="00526891"/>
    <w:rsid w:val="005B2172"/>
    <w:rsid w:val="00673ABF"/>
    <w:rsid w:val="007D5937"/>
    <w:rsid w:val="008757D4"/>
    <w:rsid w:val="00934A09"/>
    <w:rsid w:val="009B6167"/>
    <w:rsid w:val="009D736C"/>
    <w:rsid w:val="00A11EE1"/>
    <w:rsid w:val="00A244BE"/>
    <w:rsid w:val="00A41858"/>
    <w:rsid w:val="00AF2A49"/>
    <w:rsid w:val="00B62CA4"/>
    <w:rsid w:val="00B6561D"/>
    <w:rsid w:val="00B77479"/>
    <w:rsid w:val="00BA58B6"/>
    <w:rsid w:val="00BB2FCD"/>
    <w:rsid w:val="00CB5483"/>
    <w:rsid w:val="00D15662"/>
    <w:rsid w:val="00D30D67"/>
    <w:rsid w:val="00DC3798"/>
    <w:rsid w:val="00DC4251"/>
    <w:rsid w:val="00E438DF"/>
    <w:rsid w:val="00E56C09"/>
    <w:rsid w:val="00E81190"/>
    <w:rsid w:val="00EB43A7"/>
    <w:rsid w:val="00EF367B"/>
    <w:rsid w:val="00F3626B"/>
    <w:rsid w:val="00F842AF"/>
    <w:rsid w:val="00FA3EFE"/>
    <w:rsid w:val="00FB37B3"/>
    <w:rsid w:val="00FC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CA9E"/>
  <w15:chartTrackingRefBased/>
  <w15:docId w15:val="{4B4D1326-C603-46DA-8F30-D5C99C31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20AD"/>
  </w:style>
  <w:style w:type="paragraph" w:styleId="berschrift1">
    <w:name w:val="heading 1"/>
    <w:basedOn w:val="Standard"/>
    <w:next w:val="Standard"/>
    <w:link w:val="berschrift1Zchn"/>
    <w:uiPriority w:val="9"/>
    <w:qFormat/>
    <w:rsid w:val="000A2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A2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2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2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2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2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2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2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2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2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A2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2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20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20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20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20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20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20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2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2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2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2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20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20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20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0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20AD"/>
    <w:rPr>
      <w:b/>
      <w:bCs/>
      <w:smallCaps/>
      <w:color w:val="0F4761" w:themeColor="accent1" w:themeShade="BF"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2594B"/>
    <w:pPr>
      <w:spacing w:before="240" w:after="0" w:line="259" w:lineRule="auto"/>
      <w:outlineLvl w:val="9"/>
    </w:pPr>
    <w:rPr>
      <w:kern w:val="0"/>
      <w:sz w:val="32"/>
      <w:szCs w:val="32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32594B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32594B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211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7E88-E792-4536-BA51-572D97BF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1298</Words>
  <Characters>8179</Characters>
  <Application>Microsoft Office Word</Application>
  <DocSecurity>0</DocSecurity>
  <Lines>68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Sibbertsen</dc:creator>
  <cp:keywords/>
  <dc:description/>
  <cp:lastModifiedBy>Freya Sibbertsen</cp:lastModifiedBy>
  <cp:revision>15</cp:revision>
  <dcterms:created xsi:type="dcterms:W3CDTF">2026-06-25T07:44:00Z</dcterms:created>
  <dcterms:modified xsi:type="dcterms:W3CDTF">2026-06-25T14:00:00Z</dcterms:modified>
</cp:coreProperties>
</file>