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245" w:rsidRPr="003C1B6D" w:rsidRDefault="00BB62B4" w:rsidP="003E12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proofErr w:type="spellStart"/>
      <w:r>
        <w:rPr>
          <w:rFonts w:asciiTheme="minorHAnsi" w:hAnsiTheme="minorHAnsi" w:cstheme="minorHAnsi"/>
          <w:b/>
          <w:sz w:val="22"/>
          <w:szCs w:val="22"/>
        </w:rPr>
        <w:t>eTabelle</w:t>
      </w:r>
      <w:proofErr w:type="spellEnd"/>
      <w:r w:rsidR="003E1245" w:rsidRPr="003C1B6D">
        <w:rPr>
          <w:rFonts w:asciiTheme="minorHAnsi" w:hAnsiTheme="minorHAnsi" w:cstheme="minorHAnsi"/>
          <w:b/>
          <w:sz w:val="22"/>
          <w:szCs w:val="22"/>
        </w:rPr>
        <w:t xml:space="preserve"> 1:</w:t>
      </w:r>
      <w:r w:rsidR="003E1245" w:rsidRPr="003C1B6D">
        <w:rPr>
          <w:rFonts w:asciiTheme="minorHAnsi" w:hAnsiTheme="minorHAnsi" w:cstheme="minorHAnsi"/>
          <w:sz w:val="22"/>
          <w:szCs w:val="22"/>
        </w:rPr>
        <w:t xml:space="preserve"> Subgruppenanalyse: Soziodemografische und klinische Gruppenunterschiede zwischen Teilnehmer*Innen ohne Schulden und Kredite über 1000 € (ausgeschlossen Teilnehmer*Innen mit Schulden und Krediten zwischen 1-1.000 €)</w:t>
      </w:r>
    </w:p>
    <w:bookmarkEnd w:id="0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2410"/>
        <w:gridCol w:w="1985"/>
        <w:gridCol w:w="2409"/>
      </w:tblGrid>
      <w:tr w:rsidR="003E1245" w:rsidRPr="003C1B6D" w:rsidTr="00914687">
        <w:tc>
          <w:tcPr>
            <w:tcW w:w="7366" w:type="dxa"/>
            <w:shd w:val="clear" w:color="auto" w:fill="D9D9D9" w:themeFill="background1" w:themeFillShade="D9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N=412*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 xml:space="preserve">Keine Schulden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 xml:space="preserve">Schulden oder Kredite &gt; 1.000 Euro 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 xml:space="preserve">Statistik 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Anzahl Teilnehmer*Innen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229 (55,6%)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183 (44,4%)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>Anzahl männliche Teilnehmer**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116 (50,9%)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120 (65,6%)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b/>
                <w:sz w:val="18"/>
                <w:szCs w:val="18"/>
              </w:rPr>
              <w:t>X²(1)=8,97; p=0,002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>Alter (M±SD)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44,25 (±16,80</w:t>
            </w:r>
            <w:r w:rsidRPr="003C1B6D">
              <w:rPr>
                <w:rFonts w:asciiTheme="minorHAnsi" w:eastAsia="MS Gothic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39,73 (±10,84)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b/>
                <w:sz w:val="18"/>
                <w:szCs w:val="18"/>
              </w:rPr>
              <w:t>T=3,30; p=0,001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>Bildungsjahre (Median (IQR))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14,0 (12,0-17,0)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13,5 (11,6-16,0)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Z=-1,59; p=0,112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Wohnstatus*** 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b/>
                <w:sz w:val="18"/>
                <w:szCs w:val="18"/>
              </w:rPr>
              <w:t>X²(3)=8,52; p=0,036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      Eigene Wohnung  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147 (64,8%)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101 (56,1%)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      Gesundheitsbezogene Einrichtungen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37 (16,3%)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33 (18,3%)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      Wohnungslos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16 (7,0%)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28 (15,6%)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      Bei Freunden/Familie 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27 (11,9%)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18 (10,0%)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Einkommen 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b/>
                <w:sz w:val="18"/>
                <w:szCs w:val="18"/>
              </w:rPr>
              <w:t>X²(2)=23,50; p&lt;0,000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      Gehalt (Voll- oder Teilzeitarbeit, Ausbildung, BAföG Bezug, Erspartes) 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51 (24,4%)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32 (18,7%)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      Sozialleistungen 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130 (62,2%)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137 (80,1%)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      Altersrente 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 xml:space="preserve">28 (13,4%) 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2 (1,2%)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Verheiratet oder in fester Partnerschaft   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170 (74,9%)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126 (69,6%)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X²(1)=0,207; p=0,362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Im Ausland geboren  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57 (25,1%)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55 (30,4%)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X²(1)=1,41; p=0,141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widowControl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Psychische Erkrankungen  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49 (21,5%)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40 (22,0%)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X²(1)=0,01; p=0,500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widowControl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       Organische psychische Störungen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16 (7,0%)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4 (2,2%)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b/>
                <w:sz w:val="18"/>
                <w:szCs w:val="18"/>
              </w:rPr>
              <w:t>X²(1)=5,08; p=0,019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widowControl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       Psychotische Erkrankungen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69 (30,1%)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39 (21,3%)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b/>
                <w:sz w:val="18"/>
                <w:szCs w:val="18"/>
              </w:rPr>
              <w:t>X²(1)=4,09; p=0,028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widowControl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       Substanzabhängigkeit (außer Nikotin)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69 (30,1%)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113 (61,7%)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b/>
                <w:sz w:val="18"/>
                <w:szCs w:val="18"/>
              </w:rPr>
              <w:t>X²(1)=41,23; p&lt;0,000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widowControl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       Schädlicher Gebrauch einer Substanz (außer Nikotin)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34 (14,8%)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45 (24,6%)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b/>
                <w:sz w:val="18"/>
                <w:szCs w:val="18"/>
              </w:rPr>
              <w:t>X²(1)=6,23; p=0,009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widowControl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       Affektive Störungen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88 (38,4%)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52 (28,4%)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b/>
                <w:sz w:val="18"/>
                <w:szCs w:val="18"/>
              </w:rPr>
              <w:t>X²(1)=4,55; p=0,021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widowControl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       Angststörungen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9 (3,9%)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8 (4,4%)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X²(1)=0,05; p=0,507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widowControl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       Persönlichkeitsstörungen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37 (16,2%)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47 (25,7%)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b/>
                <w:sz w:val="18"/>
                <w:szCs w:val="18"/>
              </w:rPr>
              <w:t>X²(1)=4,66; p=0,012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widowControl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 xml:space="preserve">       Intelligenzminderungen 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10 (4,4%)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2 (1,1%)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b/>
                <w:sz w:val="18"/>
                <w:szCs w:val="18"/>
              </w:rPr>
              <w:t>X²(1)=3,86; p=0,044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widowControl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>Anzahl psychiatrischer Diagnosen nach ICD-10 (außer Nikotin) (Median (IQR))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1,4 (1-2)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1,6 (1-2)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b/>
                <w:sz w:val="18"/>
                <w:szCs w:val="18"/>
              </w:rPr>
              <w:t>Z=-2,63 p=0,009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widowControl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t>Alter der ersten psychiatrischen Behandlung (Median (IQR))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27,0 (19,5-40,0)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27,0 (21,0-35,0)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Z=-0,39; p=0,0698</w:t>
            </w:r>
          </w:p>
        </w:tc>
      </w:tr>
      <w:tr w:rsidR="003E1245" w:rsidRPr="003C1B6D" w:rsidTr="00914687">
        <w:tc>
          <w:tcPr>
            <w:tcW w:w="7366" w:type="dxa"/>
            <w:shd w:val="clear" w:color="auto" w:fill="F2F2F2" w:themeFill="background1" w:themeFillShade="F2"/>
          </w:tcPr>
          <w:p w:rsidR="003E1245" w:rsidRPr="003C1B6D" w:rsidRDefault="003E1245" w:rsidP="00914687">
            <w:pPr>
              <w:widowControl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Anzahl der Teilnehmer*Innen mit einem Suizidversuch in der Vorgeschichte</w:t>
            </w:r>
          </w:p>
        </w:tc>
        <w:tc>
          <w:tcPr>
            <w:tcW w:w="2410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64 (27,9%)</w:t>
            </w:r>
          </w:p>
        </w:tc>
        <w:tc>
          <w:tcPr>
            <w:tcW w:w="1985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62 (33,9%)</w:t>
            </w:r>
          </w:p>
        </w:tc>
        <w:tc>
          <w:tcPr>
            <w:tcW w:w="2409" w:type="dxa"/>
          </w:tcPr>
          <w:p w:rsidR="003E1245" w:rsidRPr="003C1B6D" w:rsidRDefault="003E1245" w:rsidP="00914687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C1B6D">
              <w:rPr>
                <w:rFonts w:asciiTheme="minorHAnsi" w:hAnsiTheme="minorHAnsi" w:cstheme="minorHAnsi"/>
                <w:sz w:val="18"/>
                <w:szCs w:val="18"/>
              </w:rPr>
              <w:t>X²(1)=1,69; p=0,117</w:t>
            </w:r>
          </w:p>
        </w:tc>
      </w:tr>
    </w:tbl>
    <w:p w:rsidR="003E1245" w:rsidRPr="003C1B6D" w:rsidRDefault="003E1245" w:rsidP="003E1245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3C1B6D">
        <w:rPr>
          <w:rFonts w:asciiTheme="minorHAnsi" w:hAnsiTheme="minorHAnsi" w:cstheme="minorHAnsi"/>
          <w:sz w:val="18"/>
          <w:szCs w:val="18"/>
        </w:rPr>
        <w:t xml:space="preserve">* n=128 fehlend oder ausgeschlossen; </w:t>
      </w:r>
    </w:p>
    <w:p w:rsidR="003E1245" w:rsidRPr="003C1B6D" w:rsidRDefault="003E1245" w:rsidP="003E1245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3C1B6D">
        <w:rPr>
          <w:rFonts w:asciiTheme="minorHAnsi" w:hAnsiTheme="minorHAnsi" w:cstheme="minorHAnsi"/>
          <w:sz w:val="18"/>
          <w:szCs w:val="18"/>
        </w:rPr>
        <w:t>**1 Teilnehmer mit dem Geschlecht Transgender wurde bei Geschlecht nicht berücksichtigt;</w:t>
      </w:r>
    </w:p>
    <w:p w:rsidR="003E1245" w:rsidRPr="003C1B6D" w:rsidRDefault="003E1245" w:rsidP="003E1245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3C1B6D">
        <w:rPr>
          <w:rFonts w:asciiTheme="minorHAnsi" w:hAnsiTheme="minorHAnsi" w:cstheme="minorHAnsi"/>
          <w:sz w:val="18"/>
          <w:szCs w:val="18"/>
        </w:rPr>
        <w:t>***</w:t>
      </w:r>
      <w:r w:rsidRPr="003C1B6D">
        <w:rPr>
          <w:rFonts w:asciiTheme="minorHAnsi" w:hAnsiTheme="minorHAnsi" w:cstheme="minorHAnsi"/>
        </w:rPr>
        <w:t xml:space="preserve"> </w:t>
      </w:r>
      <w:r w:rsidRPr="003C1B6D">
        <w:rPr>
          <w:rFonts w:asciiTheme="minorHAnsi" w:hAnsiTheme="minorHAnsi" w:cstheme="minorHAnsi"/>
          <w:sz w:val="18"/>
          <w:szCs w:val="18"/>
        </w:rPr>
        <w:t>Der Wohnstatus wurde in vier Gruppen eingeteilt: wohnungslose Teilnehmer*Innen (einschließlich Menschen, die direkt auf der Straße oder in sonstigen Verschlägen leben, in Notunterkünften oder sonstigen Einrichtungen der Wohnungslosenhilfe unterkommen, in Flüchtlingsheimen oder Frauenhäusern); Teilnehmer*Innen in einer eigenen Wohnung oder Wohneigentum; Teilnehmer*Innen in Einrichtungen des Gesundheitswesens bzw. der Eingliederungshilfe (therapeutischen Wohngemeinschaften, Trägerwohnungen des betreuten Einzelwohnens, Übergangswohnheime, Krankenheime etc.); Teilnehmer*Innen, die bei Freunden, Bekannten oder Familie lebten.</w:t>
      </w:r>
    </w:p>
    <w:p w:rsidR="003E1245" w:rsidRPr="003C1B6D" w:rsidRDefault="003E1245" w:rsidP="003E1245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3C1B6D">
        <w:rPr>
          <w:rFonts w:asciiTheme="minorHAnsi" w:hAnsiTheme="minorHAnsi" w:cstheme="minorHAnsi"/>
          <w:sz w:val="18"/>
          <w:szCs w:val="18"/>
        </w:rPr>
        <w:t>IQR = Interquartilsabstand</w:t>
      </w:r>
    </w:p>
    <w:p w:rsidR="00BE1D5E" w:rsidRDefault="00BB62B4"/>
    <w:sectPr w:rsidR="00BE1D5E" w:rsidSect="000E3A3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0F1"/>
    <w:rsid w:val="000E3A39"/>
    <w:rsid w:val="003E1245"/>
    <w:rsid w:val="004B44F0"/>
    <w:rsid w:val="00B4147E"/>
    <w:rsid w:val="00BB62B4"/>
    <w:rsid w:val="00D5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7442B"/>
  <w15:chartTrackingRefBased/>
  <w15:docId w15:val="{747A0C0B-9014-4BBB-83FC-0D2882D4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E1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E12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Weber</dc:creator>
  <cp:keywords/>
  <dc:description/>
  <cp:lastModifiedBy>Sara Weber</cp:lastModifiedBy>
  <cp:revision>3</cp:revision>
  <dcterms:created xsi:type="dcterms:W3CDTF">2020-09-16T07:35:00Z</dcterms:created>
  <dcterms:modified xsi:type="dcterms:W3CDTF">2020-09-18T07:00:00Z</dcterms:modified>
</cp:coreProperties>
</file>