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4EDF0" w14:textId="105196F9" w:rsidR="00F950FD" w:rsidRPr="00587356" w:rsidRDefault="008F5EF3" w:rsidP="00F950FD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</w:t>
      </w:r>
      <w:r w:rsidR="00F950FD" w:rsidRPr="00587356">
        <w:rPr>
          <w:rFonts w:ascii="Arial" w:hAnsi="Arial" w:cs="Arial"/>
          <w:sz w:val="24"/>
          <w:szCs w:val="24"/>
        </w:rPr>
        <w:t>Tabelle</w:t>
      </w:r>
      <w:proofErr w:type="spellEnd"/>
      <w:r w:rsidR="00F950FD" w:rsidRPr="00587356">
        <w:rPr>
          <w:rFonts w:ascii="Arial" w:hAnsi="Arial" w:cs="Arial"/>
          <w:sz w:val="24"/>
          <w:szCs w:val="24"/>
        </w:rPr>
        <w:t xml:space="preserve"> 4: Behandlungsempfehlung</w:t>
      </w:r>
      <w:r w:rsidR="00F950FD">
        <w:rPr>
          <w:rFonts w:ascii="Arial" w:hAnsi="Arial" w:cs="Arial"/>
          <w:sz w:val="24"/>
          <w:szCs w:val="24"/>
        </w:rPr>
        <w:t xml:space="preserve"> (</w:t>
      </w:r>
      <w:r w:rsidR="00F950FD" w:rsidRPr="000D0102">
        <w:rPr>
          <w:rFonts w:ascii="Arial" w:hAnsi="Arial" w:cs="Arial"/>
          <w:color w:val="0070C0"/>
          <w:sz w:val="24"/>
          <w:szCs w:val="24"/>
        </w:rPr>
        <w:t>5,</w:t>
      </w:r>
      <w:r w:rsidR="00F950FD">
        <w:rPr>
          <w:rFonts w:ascii="Arial" w:hAnsi="Arial" w:cs="Arial"/>
          <w:color w:val="0070C0"/>
          <w:sz w:val="24"/>
          <w:szCs w:val="24"/>
        </w:rPr>
        <w:t>6,</w:t>
      </w:r>
      <w:r w:rsidR="00F950FD" w:rsidRPr="000D0102">
        <w:rPr>
          <w:rFonts w:ascii="Arial" w:hAnsi="Arial" w:cs="Arial"/>
          <w:color w:val="0070C0"/>
          <w:sz w:val="24"/>
          <w:szCs w:val="24"/>
        </w:rPr>
        <w:t>13,14,21,25</w:t>
      </w:r>
      <w:r w:rsidR="00F950FD">
        <w:rPr>
          <w:rFonts w:ascii="Arial" w:hAnsi="Arial" w:cs="Arial"/>
          <w:sz w:val="24"/>
          <w:szCs w:val="24"/>
        </w:rPr>
        <w:t>)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950FD" w:rsidRPr="00587356" w14:paraId="4CB1E978" w14:textId="77777777" w:rsidTr="006B038A">
        <w:tc>
          <w:tcPr>
            <w:tcW w:w="9062" w:type="dxa"/>
          </w:tcPr>
          <w:p w14:paraId="6848D21F" w14:textId="77777777" w:rsidR="00F950FD" w:rsidRPr="00587356" w:rsidRDefault="00F950FD" w:rsidP="006B038A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87356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A:</w:t>
            </w:r>
            <w:r w:rsidRPr="00587356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ab/>
            </w:r>
            <w:r w:rsidRPr="0058735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Akutmaßnahmen</w:t>
            </w:r>
          </w:p>
        </w:tc>
      </w:tr>
      <w:tr w:rsidR="00F950FD" w:rsidRPr="00587356" w14:paraId="721C550D" w14:textId="77777777" w:rsidTr="006B038A">
        <w:tc>
          <w:tcPr>
            <w:tcW w:w="9062" w:type="dxa"/>
          </w:tcPr>
          <w:p w14:paraId="6056843F" w14:textId="25197A71" w:rsidR="00F950FD" w:rsidRPr="00587356" w:rsidRDefault="00F950FD" w:rsidP="00F950FD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87356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Flüssigkeits- und Elektrolyt-Substitution</w:t>
            </w:r>
          </w:p>
        </w:tc>
      </w:tr>
      <w:tr w:rsidR="00F950FD" w:rsidRPr="00587356" w14:paraId="63DF21A8" w14:textId="77777777" w:rsidTr="006B038A">
        <w:trPr>
          <w:trHeight w:val="2494"/>
        </w:trPr>
        <w:tc>
          <w:tcPr>
            <w:tcW w:w="9062" w:type="dxa"/>
          </w:tcPr>
          <w:p w14:paraId="43F7D0B4" w14:textId="3B8913FC" w:rsidR="00F950FD" w:rsidRPr="00587356" w:rsidRDefault="00F950FD" w:rsidP="00F950FD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87356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Bei refraktärer Übelkeit und Erbrechen 0.05 mg/kg </w:t>
            </w:r>
            <w:proofErr w:type="spellStart"/>
            <w:r w:rsidRPr="00587356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Halperidol</w:t>
            </w:r>
            <w:proofErr w:type="spellEnd"/>
            <w:r w:rsidRPr="00587356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587356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i.m</w:t>
            </w:r>
            <w:proofErr w:type="spellEnd"/>
            <w:r w:rsidRPr="00587356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. (maximal 5 mg</w:t>
            </w:r>
            <w:r w:rsidRPr="00587356"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 xml:space="preserve">); </w:t>
            </w:r>
            <w:r w:rsidRPr="00587356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vorher Aufklärung die mögliche Entwicklung akuter Dystonien</w:t>
            </w:r>
          </w:p>
          <w:p w14:paraId="150E6255" w14:textId="77777777" w:rsidR="00F950FD" w:rsidRPr="00587356" w:rsidRDefault="00F950FD" w:rsidP="006B038A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</w:pPr>
            <w:r w:rsidRPr="00587356"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 xml:space="preserve">Cave: vorher EKG zum Ausschluss einer </w:t>
            </w:r>
            <w:proofErr w:type="spellStart"/>
            <w:r w:rsidRPr="00587356"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>QTc</w:t>
            </w:r>
            <w:proofErr w:type="spellEnd"/>
            <w:r w:rsidRPr="00587356"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 xml:space="preserve">-Verlängerung, bei </w:t>
            </w:r>
            <w:proofErr w:type="spellStart"/>
            <w:r w:rsidRPr="00587356"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>QTc</w:t>
            </w:r>
            <w:proofErr w:type="spellEnd"/>
            <w:r w:rsidRPr="00587356"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 xml:space="preserve">-Verlängerung keine Haloperidol-Gabe wegen besonderer Vorsicht bei noch vulnerablen Elektrolytverhältnissen bei schwerem Erbrechen; zunächst Ausgleich der </w:t>
            </w:r>
            <w:proofErr w:type="spellStart"/>
            <w:r w:rsidRPr="00587356"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>Elektrolystörungen</w:t>
            </w:r>
            <w:proofErr w:type="spellEnd"/>
            <w:r w:rsidRPr="00587356"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 xml:space="preserve"> inklusive </w:t>
            </w:r>
            <w:proofErr w:type="spellStart"/>
            <w:r w:rsidRPr="00587356"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>Kalium</w:t>
            </w:r>
            <w:proofErr w:type="spellEnd"/>
            <w:r w:rsidRPr="00587356"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 xml:space="preserve"> und Magnesium</w:t>
            </w:r>
          </w:p>
        </w:tc>
      </w:tr>
      <w:tr w:rsidR="00F950FD" w:rsidRPr="00587356" w14:paraId="3AFB1F74" w14:textId="77777777" w:rsidTr="006B038A">
        <w:trPr>
          <w:trHeight w:val="2090"/>
        </w:trPr>
        <w:tc>
          <w:tcPr>
            <w:tcW w:w="9062" w:type="dxa"/>
          </w:tcPr>
          <w:p w14:paraId="021B0E84" w14:textId="77777777" w:rsidR="00F950FD" w:rsidRPr="00587356" w:rsidRDefault="00F950FD" w:rsidP="00F950FD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</w:pPr>
            <w:r w:rsidRPr="00587356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Alternativ </w:t>
            </w:r>
          </w:p>
          <w:p w14:paraId="63088151" w14:textId="77777777" w:rsidR="00F950FD" w:rsidRPr="00587356" w:rsidRDefault="00F950FD" w:rsidP="006B038A">
            <w:pPr>
              <w:spacing w:line="360" w:lineRule="auto"/>
              <w:ind w:left="720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87356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zunächst heiße Dusche oder Bad in Betracht ziehen </w:t>
            </w:r>
          </w:p>
          <w:p w14:paraId="5855F670" w14:textId="77777777" w:rsidR="00F950FD" w:rsidRPr="00587356" w:rsidRDefault="00F950FD" w:rsidP="006B038A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</w:pPr>
            <w:r w:rsidRPr="00587356"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>oder/und</w:t>
            </w:r>
          </w:p>
          <w:p w14:paraId="74DC1AC0" w14:textId="77777777" w:rsidR="00F950FD" w:rsidRPr="00587356" w:rsidRDefault="00F950FD" w:rsidP="006B038A">
            <w:pPr>
              <w:spacing w:line="360" w:lineRule="auto"/>
              <w:ind w:left="720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87356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Capsaicin-Creme: bis zu 5 g 0.1% am Körperstamm (nach</w:t>
            </w:r>
            <w:r w:rsidRPr="005873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Korn et al</w:t>
            </w:r>
            <w:r w:rsidRPr="00587356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 w:rsidRPr="000D010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(</w:t>
            </w:r>
            <w:r>
              <w:rPr>
                <w:rFonts w:ascii="Arial" w:eastAsia="Times New Roman" w:hAnsi="Arial" w:cs="Arial"/>
                <w:color w:val="0070C0"/>
                <w:sz w:val="24"/>
                <w:szCs w:val="24"/>
                <w:lang w:eastAsia="de-DE"/>
              </w:rPr>
              <w:t>13</w:t>
            </w:r>
            <w:r w:rsidRPr="000D010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)</w:t>
            </w:r>
            <w:r w:rsidRPr="00587356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auch 1.Wahl)</w:t>
            </w:r>
          </w:p>
        </w:tc>
      </w:tr>
      <w:tr w:rsidR="00F950FD" w:rsidRPr="00587356" w14:paraId="186D8110" w14:textId="77777777" w:rsidTr="006B038A">
        <w:trPr>
          <w:trHeight w:val="1252"/>
        </w:trPr>
        <w:tc>
          <w:tcPr>
            <w:tcW w:w="9062" w:type="dxa"/>
          </w:tcPr>
          <w:p w14:paraId="4EF2679A" w14:textId="77777777" w:rsidR="00F950FD" w:rsidRPr="00587356" w:rsidRDefault="00F950FD" w:rsidP="00F950FD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</w:pPr>
            <w:r w:rsidRPr="00587356"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 xml:space="preserve">zusätzlich </w:t>
            </w:r>
          </w:p>
          <w:p w14:paraId="447D5D35" w14:textId="77777777" w:rsidR="00F950FD" w:rsidRPr="00587356" w:rsidRDefault="00F950FD" w:rsidP="006B038A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87356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Lorazepam 1mg oder 5-10 mg Diazepam </w:t>
            </w:r>
            <w:proofErr w:type="spellStart"/>
            <w:r w:rsidRPr="00587356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i.v.</w:t>
            </w:r>
            <w:proofErr w:type="spellEnd"/>
            <w:r w:rsidRPr="00587356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(nach 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Korn et al </w:t>
            </w:r>
            <w:r w:rsidRPr="000D010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(</w:t>
            </w:r>
            <w:r>
              <w:rPr>
                <w:rFonts w:ascii="Arial" w:eastAsia="Times New Roman" w:hAnsi="Arial" w:cs="Arial"/>
                <w:color w:val="0070C0"/>
                <w:sz w:val="24"/>
                <w:szCs w:val="24"/>
                <w:lang w:eastAsia="de-DE"/>
              </w:rPr>
              <w:t>13</w:t>
            </w:r>
            <w:r w:rsidRPr="000D010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)</w:t>
            </w:r>
            <w:r w:rsidRPr="00587356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zur Beruhigung und dadurch ggf. zur Symptomlinderung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)</w:t>
            </w:r>
          </w:p>
        </w:tc>
      </w:tr>
      <w:tr w:rsidR="00F950FD" w:rsidRPr="00587356" w14:paraId="56144C91" w14:textId="77777777" w:rsidTr="006B038A">
        <w:trPr>
          <w:trHeight w:val="853"/>
        </w:trPr>
        <w:tc>
          <w:tcPr>
            <w:tcW w:w="9062" w:type="dxa"/>
          </w:tcPr>
          <w:p w14:paraId="3BFD0F3D" w14:textId="77777777" w:rsidR="00F950FD" w:rsidRPr="00587356" w:rsidRDefault="00F950FD" w:rsidP="00F950FD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</w:pPr>
            <w:r w:rsidRPr="00587356"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>zusätzlich</w:t>
            </w:r>
          </w:p>
          <w:p w14:paraId="763E7B7C" w14:textId="77777777" w:rsidR="00F950FD" w:rsidRPr="00587356" w:rsidRDefault="00F950FD" w:rsidP="006B038A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</w:pPr>
            <w:r w:rsidRPr="00587356"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>bei Refluxösophagitis/Gastritis: Protonenpumpenhemmer</w:t>
            </w:r>
          </w:p>
        </w:tc>
      </w:tr>
      <w:tr w:rsidR="00F950FD" w:rsidRPr="00587356" w14:paraId="5E6F0CBA" w14:textId="77777777" w:rsidTr="006B038A">
        <w:tc>
          <w:tcPr>
            <w:tcW w:w="9062" w:type="dxa"/>
          </w:tcPr>
          <w:p w14:paraId="63CA2EB7" w14:textId="77777777" w:rsidR="00F950FD" w:rsidRPr="00587356" w:rsidRDefault="00F950FD" w:rsidP="006B038A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de-DE"/>
              </w:rPr>
            </w:pPr>
            <w:r w:rsidRPr="0058735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de-DE"/>
              </w:rPr>
              <w:t>B. Psychoedukation</w:t>
            </w:r>
          </w:p>
        </w:tc>
      </w:tr>
      <w:tr w:rsidR="00F950FD" w:rsidRPr="00587356" w14:paraId="1CABC950" w14:textId="77777777" w:rsidTr="006B038A">
        <w:tc>
          <w:tcPr>
            <w:tcW w:w="9062" w:type="dxa"/>
          </w:tcPr>
          <w:p w14:paraId="65482B23" w14:textId="77777777" w:rsidR="00F950FD" w:rsidRPr="00587356" w:rsidRDefault="00F950FD" w:rsidP="006B038A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</w:pPr>
            <w:r w:rsidRPr="00587356"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>-</w:t>
            </w:r>
            <w:r w:rsidRPr="00587356"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ab/>
              <w:t>Empathische und vorurteilsfreie Gesprächsführung über den Cannabiskonsum (Berücksichtigung, dass die Betroffenen den Cannabiskonsum lieber verheimlichen wollen, Anbieten eines Drogentests)</w:t>
            </w:r>
          </w:p>
        </w:tc>
      </w:tr>
      <w:tr w:rsidR="00F950FD" w:rsidRPr="00587356" w14:paraId="6F4D8973" w14:textId="77777777" w:rsidTr="006B038A">
        <w:tc>
          <w:tcPr>
            <w:tcW w:w="9062" w:type="dxa"/>
          </w:tcPr>
          <w:p w14:paraId="0556D59D" w14:textId="77777777" w:rsidR="00F950FD" w:rsidRPr="00587356" w:rsidRDefault="00F950FD" w:rsidP="006B038A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</w:pPr>
            <w:r w:rsidRPr="00587356"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>-</w:t>
            </w:r>
            <w:r w:rsidRPr="00587356"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ab/>
              <w:t xml:space="preserve">Aufklärung über die kausale Rolle von Cannabis und die anhaltende Cannabisabstinenz als einzige Möglichkeit zur </w:t>
            </w:r>
            <w:r w:rsidR="008D2798"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 xml:space="preserve">Vollremission bzw. </w:t>
            </w:r>
            <w:r w:rsidRPr="00587356"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 xml:space="preserve">Heilung des CHS </w:t>
            </w:r>
          </w:p>
        </w:tc>
      </w:tr>
      <w:tr w:rsidR="00F950FD" w:rsidRPr="00587356" w14:paraId="4B06AE27" w14:textId="77777777" w:rsidTr="006B038A">
        <w:tc>
          <w:tcPr>
            <w:tcW w:w="9062" w:type="dxa"/>
          </w:tcPr>
          <w:p w14:paraId="0C9F016F" w14:textId="77777777" w:rsidR="00F950FD" w:rsidRPr="00587356" w:rsidRDefault="00F950FD" w:rsidP="006B038A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</w:pPr>
            <w:r w:rsidRPr="00587356"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>-</w:t>
            </w:r>
            <w:r w:rsidRPr="00587356"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ab/>
              <w:t xml:space="preserve">Motivationsgespräch zur Abstinenzeinleitung, Vermittlung an eine regionale Suchtberatungsstelle </w:t>
            </w:r>
          </w:p>
        </w:tc>
      </w:tr>
    </w:tbl>
    <w:p w14:paraId="5A53FC29" w14:textId="77777777" w:rsidR="00F950FD" w:rsidRPr="00587356" w:rsidRDefault="00F950FD" w:rsidP="00F950FD"/>
    <w:p w14:paraId="62FDA39C" w14:textId="77777777" w:rsidR="00B83A4F" w:rsidRDefault="00B83A4F"/>
    <w:sectPr w:rsidR="00B83A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409F3"/>
    <w:multiLevelType w:val="hybridMultilevel"/>
    <w:tmpl w:val="FE127C10"/>
    <w:lvl w:ilvl="0" w:tplc="AE9AF1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503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D"/>
    <w:rsid w:val="00547C57"/>
    <w:rsid w:val="007A6FE7"/>
    <w:rsid w:val="008D2798"/>
    <w:rsid w:val="008F5EF3"/>
    <w:rsid w:val="00B83A4F"/>
    <w:rsid w:val="00ED7EFC"/>
    <w:rsid w:val="00F9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C5E03"/>
  <w15:chartTrackingRefBased/>
  <w15:docId w15:val="{6BEA8002-4721-4E83-8621-36E8A65C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50F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39"/>
    <w:rsid w:val="00F95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F95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a10cf-e067-4f9c-87ec-f8ebada5459f" xsi:nil="true"/>
    <lcf76f155ced4ddcb4097134ff3c332f xmlns="6fda7565-9723-4d47-8f37-db120daa01b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33D54D48312343B250141AD60E42EA" ma:contentTypeVersion="13" ma:contentTypeDescription="Create a new document." ma:contentTypeScope="" ma:versionID="5fca036b0f8d83b213bcea11c6acd935">
  <xsd:schema xmlns:xsd="http://www.w3.org/2001/XMLSchema" xmlns:xs="http://www.w3.org/2001/XMLSchema" xmlns:p="http://schemas.microsoft.com/office/2006/metadata/properties" xmlns:ns2="6fda7565-9723-4d47-8f37-db120daa01b8" xmlns:ns3="bd2a10cf-e067-4f9c-87ec-f8ebada5459f" targetNamespace="http://schemas.microsoft.com/office/2006/metadata/properties" ma:root="true" ma:fieldsID="a978d8eaa48f81cadc9a9e852a2da706" ns2:_="" ns3:_="">
    <xsd:import namespace="6fda7565-9723-4d47-8f37-db120daa01b8"/>
    <xsd:import namespace="bd2a10cf-e067-4f9c-87ec-f8ebada54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a7565-9723-4d47-8f37-db120daa0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0cf-e067-4f9c-87ec-f8ebada545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f9c5ac-e38b-4001-aaed-b18c4088ec75}" ma:internalName="TaxCatchAll" ma:showField="CatchAllData" ma:web="bd2a10cf-e067-4f9c-87ec-f8ebada54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3F932B-1A10-4C70-B8AB-B185428D97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DA31D8-1B78-4E83-8DC2-C9F3C6FE4CEF}">
  <ds:schemaRefs>
    <ds:schemaRef ds:uri="6fda7565-9723-4d47-8f37-db120daa01b8"/>
    <ds:schemaRef ds:uri="bd2a10cf-e067-4f9c-87ec-f8ebada5459f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678C0D6F-C529-426B-8727-E62ECE9F5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a7565-9723-4d47-8f37-db120daa01b8"/>
    <ds:schemaRef ds:uri="bd2a10cf-e067-4f9c-87ec-f8ebada54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</dc:creator>
  <cp:keywords/>
  <dc:description/>
  <cp:lastModifiedBy>Sara Weber</cp:lastModifiedBy>
  <cp:revision>5</cp:revision>
  <dcterms:created xsi:type="dcterms:W3CDTF">2025-06-12T15:47:00Z</dcterms:created>
  <dcterms:modified xsi:type="dcterms:W3CDTF">2025-06-27T12:13:00Z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0x0101007733D54D48312343B250141AD60E42EA</vt:lpwstr>
  </property>
  <property fmtid="{D5CDD505-2E9C-101B-9397-08002B2CF9AE}" pid="3" name="MediaServiceImageTags">
    <vt:lpwstr/>
  </property>
</Properties>
</file>