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FA" w:rsidRPr="008324FE" w:rsidRDefault="009E63FA" w:rsidP="008324FE">
      <w:pPr>
        <w:pStyle w:val="NoSpacing"/>
        <w:rPr>
          <w:rFonts w:ascii="Times New Roman" w:hAnsi="Times New Roman" w:cs="Times New Roman"/>
        </w:rPr>
      </w:pPr>
      <w:r w:rsidRPr="008324FE">
        <w:rPr>
          <w:rFonts w:ascii="Times New Roman" w:hAnsi="Times New Roman" w:cs="Times New Roman"/>
        </w:rPr>
        <w:t>Supplementary Table 1. Matrix of phenotypic correlations for all traits averaged across M10,</w:t>
      </w:r>
    </w:p>
    <w:p w:rsidR="009E63FA" w:rsidRDefault="009E63FA" w:rsidP="008324FE">
      <w:pPr>
        <w:pStyle w:val="NoSpacing"/>
        <w:rPr>
          <w:rFonts w:ascii="Times New Roman" w:hAnsi="Times New Roman" w:cs="Times New Roman"/>
        </w:rPr>
      </w:pPr>
      <w:r w:rsidRPr="008324FE">
        <w:rPr>
          <w:rFonts w:ascii="Times New Roman" w:hAnsi="Times New Roman" w:cs="Times New Roman"/>
        </w:rPr>
        <w:t>H05, H11, I06 and I13 heat-stressed, irrigated environments</w:t>
      </w:r>
    </w:p>
    <w:p w:rsidR="008324FE" w:rsidRPr="008324FE" w:rsidRDefault="008324FE" w:rsidP="008324FE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p w:rsidR="009E63FA" w:rsidRDefault="009E63FA">
      <w:pPr>
        <w:rPr>
          <w:lang w:val="es-MX"/>
        </w:rPr>
      </w:pPr>
      <w:r w:rsidRPr="009E63FA">
        <w:rPr>
          <w:noProof/>
          <w:lang w:eastAsia="en-AU"/>
        </w:rPr>
        <w:drawing>
          <wp:inline distT="0" distB="0" distL="0" distR="0" wp14:anchorId="57E1A60D" wp14:editId="06AC1672">
            <wp:extent cx="5731510" cy="4319464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FA" w:rsidRPr="009E63FA" w:rsidRDefault="009E63FA" w:rsidP="009E63FA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15"/>
          <w:szCs w:val="15"/>
        </w:rPr>
        <w:t xml:space="preserve">Stg: staygreen at physiological maturity; RS: rate of senescence; TotalAUC: total area under the curve with starting points at crop establishment; StgAUC: staygreen area under the curve with starting points at maximum NDVI; Gdecay: percentage of greenness lost at mid grainfilling; KN: kernel number; TGW: thousand grain weight; GFR: grainfilling rate; GFD: grainfilling duration. NDVIv: normalized difference vegetative index during vegetative stage; NDVIg: normalized difference vegetative index during grainfilling; Chlv: chlorophyll content at vegetative stage (SPAD); </w:t>
      </w:r>
      <w:proofErr w:type="spellStart"/>
      <w:r>
        <w:rPr>
          <w:rFonts w:ascii="Times New Roman" w:hAnsi="Times New Roman" w:cs="Times New Roman"/>
          <w:sz w:val="15"/>
          <w:szCs w:val="15"/>
        </w:rPr>
        <w:t>Chlg</w:t>
      </w:r>
      <w:proofErr w:type="spellEnd"/>
      <w:r>
        <w:rPr>
          <w:rFonts w:ascii="Times New Roman" w:hAnsi="Times New Roman" w:cs="Times New Roman"/>
          <w:sz w:val="15"/>
          <w:szCs w:val="15"/>
        </w:rPr>
        <w:t>: chlorophyll content at grainfilling (SPAD); CTv: canopy temperature at vegetative stage; CTg: canopy temperature at grainfilling.</w:t>
      </w:r>
    </w:p>
    <w:sectPr w:rsidR="009E63FA" w:rsidRPr="009E6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FA"/>
    <w:rsid w:val="00387C24"/>
    <w:rsid w:val="007C6514"/>
    <w:rsid w:val="008324FE"/>
    <w:rsid w:val="009E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3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324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3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32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 Pinto Gonzalez</dc:creator>
  <cp:lastModifiedBy>Reyna Pinto Gonzalez</cp:lastModifiedBy>
  <cp:revision>2</cp:revision>
  <dcterms:created xsi:type="dcterms:W3CDTF">2016-03-23T05:24:00Z</dcterms:created>
  <dcterms:modified xsi:type="dcterms:W3CDTF">2016-07-15T00:46:00Z</dcterms:modified>
</cp:coreProperties>
</file>