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4B933" w14:textId="6EF0B30D" w:rsidR="007A13B3" w:rsidRDefault="007A13B3" w:rsidP="007A13B3">
      <w:pPr>
        <w:spacing w:line="276" w:lineRule="auto"/>
        <w:rPr>
          <w:rFonts w:ascii="Times New Roman" w:hAnsi="Times New Roman"/>
        </w:rPr>
      </w:pPr>
    </w:p>
    <w:p w14:paraId="7C0F1F2F" w14:textId="77777777" w:rsidR="007A13B3" w:rsidRDefault="007A13B3" w:rsidP="007A13B3">
      <w:pPr>
        <w:jc w:val="center"/>
        <w:rPr>
          <w:rFonts w:cs="Arial"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1D22D2C9" wp14:editId="50B34FB8">
            <wp:extent cx="4037330" cy="3368097"/>
            <wp:effectExtent l="0" t="0" r="127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282" cy="338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C4A14" w14:textId="7D3E1D49" w:rsidR="007A13B3" w:rsidRPr="00553274" w:rsidRDefault="007A13B3" w:rsidP="007A13B3">
      <w:pPr>
        <w:rPr>
          <w:rFonts w:cs="Arial"/>
          <w:lang w:val="en-US"/>
        </w:rPr>
      </w:pPr>
      <w:r>
        <w:rPr>
          <w:b/>
        </w:rPr>
        <w:t xml:space="preserve">Supplementary </w:t>
      </w:r>
      <w:r w:rsidRPr="00CC299C">
        <w:rPr>
          <w:b/>
        </w:rPr>
        <w:t xml:space="preserve">Figure </w:t>
      </w:r>
      <w:r>
        <w:rPr>
          <w:b/>
        </w:rPr>
        <w:t>S1</w:t>
      </w:r>
      <w:r w:rsidRPr="00CC299C">
        <w:rPr>
          <w:b/>
        </w:rPr>
        <w:t>.</w:t>
      </w:r>
      <w:r>
        <w:rPr>
          <w:b/>
        </w:rPr>
        <w:t xml:space="preserve"> </w:t>
      </w:r>
      <w:r>
        <w:t>Correlation of grain yield with area under Striga number progress curve (AUSNPC</w:t>
      </w:r>
      <w:r w:rsidR="00450CD8">
        <w:t>, in red circle</w:t>
      </w:r>
      <w:r>
        <w:t>) and Striga damage rating (SDR</w:t>
      </w:r>
      <w:r w:rsidR="00450CD8">
        <w:t xml:space="preserve"> in blue circle</w:t>
      </w:r>
      <w:r>
        <w:t>).</w:t>
      </w:r>
    </w:p>
    <w:p w14:paraId="40839223" w14:textId="77777777" w:rsidR="000C31A9" w:rsidRDefault="000C31A9" w:rsidP="000C31A9">
      <w:pPr>
        <w:spacing w:line="276" w:lineRule="auto"/>
        <w:rPr>
          <w:rFonts w:ascii="Times New Roman" w:hAnsi="Times New Roman"/>
        </w:rPr>
      </w:pPr>
      <w:r>
        <w:rPr>
          <w:noProof/>
          <w:lang w:val="en-US" w:eastAsia="en-US"/>
        </w:rPr>
        <w:drawing>
          <wp:inline distT="0" distB="0" distL="0" distR="0" wp14:anchorId="57E0D8D1" wp14:editId="67EABB11">
            <wp:extent cx="5296586" cy="3406705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161" cy="340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A1F56" w14:textId="3EC42B92" w:rsidR="000C31A9" w:rsidRDefault="000C31A9" w:rsidP="000C31A9">
      <w:r>
        <w:rPr>
          <w:b/>
        </w:rPr>
        <w:lastRenderedPageBreak/>
        <w:t xml:space="preserve">Supplementary </w:t>
      </w:r>
      <w:r w:rsidRPr="00CC299C">
        <w:rPr>
          <w:b/>
        </w:rPr>
        <w:t xml:space="preserve">Figure </w:t>
      </w:r>
      <w:r>
        <w:rPr>
          <w:b/>
        </w:rPr>
        <w:t>S</w:t>
      </w:r>
      <w:r>
        <w:rPr>
          <w:b/>
        </w:rPr>
        <w:t>2</w:t>
      </w:r>
      <w:r w:rsidRPr="00CC299C">
        <w:rPr>
          <w:b/>
        </w:rPr>
        <w:t>.</w:t>
      </w:r>
      <w:r>
        <w:t xml:space="preserve"> Linkage disequilibrium (LD) plot representing the average genome-wide LD decay in the IMAS panel. </w:t>
      </w:r>
      <w:r>
        <w:rPr>
          <w:rFonts w:cs="Arial"/>
        </w:rPr>
        <w:t>Y axis represents the squared correlation coefficient r</w:t>
      </w:r>
      <w:r w:rsidRPr="008E4E59">
        <w:rPr>
          <w:rFonts w:cs="Arial"/>
          <w:vertAlign w:val="superscript"/>
        </w:rPr>
        <w:t>2</w:t>
      </w:r>
      <w:r>
        <w:rPr>
          <w:rFonts w:cs="Arial"/>
          <w:vertAlign w:val="superscript"/>
        </w:rPr>
        <w:t xml:space="preserve"> </w:t>
      </w:r>
      <w:r>
        <w:rPr>
          <w:rFonts w:cs="Arial"/>
        </w:rPr>
        <w:t>while the X axis represents the physical distance on the chromosome.</w:t>
      </w:r>
    </w:p>
    <w:p w14:paraId="481F152E" w14:textId="388C302F" w:rsidR="007A13B3" w:rsidRDefault="007A13B3" w:rsidP="007A13B3">
      <w:pPr>
        <w:spacing w:line="276" w:lineRule="auto"/>
        <w:rPr>
          <w:rFonts w:ascii="Times New Roman" w:hAnsi="Times New Roman"/>
        </w:rPr>
      </w:pPr>
    </w:p>
    <w:p w14:paraId="29472099" w14:textId="77777777" w:rsidR="007A13B3" w:rsidRDefault="007A13B3" w:rsidP="007A13B3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55E47F4A" wp14:editId="39F40F27">
            <wp:extent cx="4128837" cy="5161280"/>
            <wp:effectExtent l="0" t="0" r="508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960" cy="516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350F7" w14:textId="4D5E133B" w:rsidR="00A328A5" w:rsidRDefault="007A13B3" w:rsidP="007A13B3">
      <w:r w:rsidRPr="0064762E">
        <w:rPr>
          <w:b/>
        </w:rPr>
        <w:t>Supplementary Figure S</w:t>
      </w:r>
      <w:r w:rsidR="000C31A9">
        <w:rPr>
          <w:b/>
        </w:rPr>
        <w:t>3</w:t>
      </w:r>
      <w:r>
        <w:t xml:space="preserve">. Quantile-quantile plots for </w:t>
      </w:r>
      <w:r w:rsidRPr="003A0F63">
        <w:rPr>
          <w:i/>
        </w:rPr>
        <w:t>Striga</w:t>
      </w:r>
      <w:r>
        <w:t xml:space="preserve"> </w:t>
      </w:r>
      <w:r w:rsidRPr="00452FE4">
        <w:rPr>
          <w:i/>
        </w:rPr>
        <w:t xml:space="preserve">hermonthica </w:t>
      </w:r>
      <w:r>
        <w:t xml:space="preserve">resistance related traits in the IMAS association panel. </w:t>
      </w:r>
      <w:bookmarkStart w:id="0" w:name="_GoBack"/>
      <w:bookmarkEnd w:id="0"/>
    </w:p>
    <w:sectPr w:rsidR="00A328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B3"/>
    <w:rsid w:val="000C31A9"/>
    <w:rsid w:val="000F4C82"/>
    <w:rsid w:val="00330BE2"/>
    <w:rsid w:val="00450CD8"/>
    <w:rsid w:val="007A13B3"/>
    <w:rsid w:val="00C66546"/>
    <w:rsid w:val="00FD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8BE52"/>
  <w15:chartTrackingRefBased/>
  <w15:docId w15:val="{EBD2FF9E-174F-43D2-85AD-0ADACC03C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3B3"/>
    <w:pPr>
      <w:suppressAutoHyphens/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val="de-DE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6546"/>
    <w:pPr>
      <w:keepNext/>
      <w:keepLines/>
      <w:suppressAutoHyphens w:val="0"/>
      <w:spacing w:before="120" w:after="120"/>
      <w:outlineLvl w:val="0"/>
    </w:pPr>
    <w:rPr>
      <w:rFonts w:eastAsiaTheme="majorEastAsia" w:cstheme="majorBidi"/>
      <w:b/>
      <w:sz w:val="28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546"/>
    <w:rPr>
      <w:rFonts w:ascii="Arial" w:eastAsiaTheme="majorEastAsia" w:hAnsi="Arial" w:cstheme="majorBidi"/>
      <w:b/>
      <w:sz w:val="28"/>
      <w:szCs w:val="32"/>
    </w:rPr>
  </w:style>
  <w:style w:type="character" w:styleId="LineNumber">
    <w:name w:val="line number"/>
    <w:basedOn w:val="DefaultParagraphFont"/>
    <w:uiPriority w:val="99"/>
    <w:semiHidden/>
    <w:unhideWhenUsed/>
    <w:rsid w:val="007A13B3"/>
  </w:style>
  <w:style w:type="paragraph" w:styleId="BalloonText">
    <w:name w:val="Balloon Text"/>
    <w:basedOn w:val="Normal"/>
    <w:link w:val="BalloonTextChar"/>
    <w:uiPriority w:val="99"/>
    <w:semiHidden/>
    <w:unhideWhenUsed/>
    <w:rsid w:val="007A13B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3B3"/>
    <w:rPr>
      <w:rFonts w:ascii="Segoe UI" w:eastAsia="Times New Roman" w:hAnsi="Segoe UI" w:cs="Segoe UI"/>
      <w:sz w:val="18"/>
      <w:szCs w:val="18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Gowda, Manje (CIMMYT)</dc:creator>
  <cp:keywords/>
  <dc:description/>
  <cp:lastModifiedBy>Gowda, Manje (CIMMYT)</cp:lastModifiedBy>
  <cp:revision>4</cp:revision>
  <dcterms:created xsi:type="dcterms:W3CDTF">2020-04-15T10:30:00Z</dcterms:created>
  <dcterms:modified xsi:type="dcterms:W3CDTF">2020-04-15T11:38:00Z</dcterms:modified>
</cp:coreProperties>
</file>