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4C673" w14:textId="14AD2344" w:rsidR="00067C51" w:rsidRDefault="00526E60">
      <w:r>
        <w:rPr>
          <w:noProof/>
        </w:rPr>
        <w:drawing>
          <wp:inline distT="0" distB="0" distL="0" distR="0" wp14:anchorId="1D5F1F3A" wp14:editId="4E7707B9">
            <wp:extent cx="5731510" cy="7014845"/>
            <wp:effectExtent l="0" t="0" r="254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7014845"/>
                    </a:xfrm>
                    <a:prstGeom prst="rect">
                      <a:avLst/>
                    </a:prstGeom>
                  </pic:spPr>
                </pic:pic>
              </a:graphicData>
            </a:graphic>
          </wp:inline>
        </w:drawing>
      </w:r>
    </w:p>
    <w:p w14:paraId="6794991F" w14:textId="77777777" w:rsidR="00526E60" w:rsidRDefault="00526E60" w:rsidP="00526E60">
      <w:pPr>
        <w:spacing w:after="0" w:line="360" w:lineRule="auto"/>
        <w:jc w:val="both"/>
        <w:rPr>
          <w:rFonts w:ascii="Times New Roman" w:hAnsi="Times New Roman" w:cs="Times New Roman"/>
          <w:b/>
          <w:sz w:val="24"/>
          <w:szCs w:val="24"/>
        </w:rPr>
      </w:pPr>
    </w:p>
    <w:p w14:paraId="4AE3F27A" w14:textId="494B44A0" w:rsidR="00526E60" w:rsidRPr="00EC1377" w:rsidRDefault="00526E60" w:rsidP="00526E60">
      <w:pPr>
        <w:spacing w:after="0" w:line="360" w:lineRule="auto"/>
        <w:jc w:val="both"/>
        <w:rPr>
          <w:rFonts w:ascii="Times New Roman" w:hAnsi="Times New Roman" w:cs="Times New Roman"/>
          <w:bCs/>
          <w:sz w:val="24"/>
          <w:szCs w:val="24"/>
        </w:rPr>
      </w:pPr>
      <w:r w:rsidRPr="00EC1377">
        <w:rPr>
          <w:rFonts w:ascii="Times New Roman" w:hAnsi="Times New Roman" w:cs="Times New Roman"/>
          <w:b/>
          <w:sz w:val="24"/>
          <w:szCs w:val="24"/>
        </w:rPr>
        <w:t xml:space="preserve">Supplementary Figure 3. </w:t>
      </w:r>
      <w:r w:rsidRPr="00EC1377">
        <w:rPr>
          <w:rFonts w:ascii="Times New Roman" w:hAnsi="Times New Roman" w:cs="Times New Roman"/>
          <w:bCs/>
          <w:sz w:val="24"/>
          <w:szCs w:val="24"/>
        </w:rPr>
        <w:t xml:space="preserve">Details of the multi-trait </w:t>
      </w:r>
      <w:r>
        <w:rPr>
          <w:rFonts w:ascii="Times New Roman" w:hAnsi="Times New Roman" w:cs="Times New Roman"/>
          <w:bCs/>
          <w:sz w:val="24"/>
          <w:szCs w:val="24"/>
        </w:rPr>
        <w:t>quantitative trait locus (</w:t>
      </w:r>
      <w:r w:rsidRPr="00EC1377">
        <w:rPr>
          <w:rFonts w:ascii="Times New Roman" w:hAnsi="Times New Roman" w:cs="Times New Roman"/>
          <w:bCs/>
          <w:sz w:val="24"/>
          <w:szCs w:val="24"/>
        </w:rPr>
        <w:t>QTL</w:t>
      </w:r>
      <w:r>
        <w:rPr>
          <w:rFonts w:ascii="Times New Roman" w:hAnsi="Times New Roman" w:cs="Times New Roman"/>
          <w:bCs/>
          <w:sz w:val="24"/>
          <w:szCs w:val="24"/>
        </w:rPr>
        <w:t>)</w:t>
      </w:r>
      <w:r w:rsidRPr="00EC1377">
        <w:rPr>
          <w:rFonts w:ascii="Times New Roman" w:hAnsi="Times New Roman" w:cs="Times New Roman"/>
          <w:bCs/>
          <w:sz w:val="24"/>
          <w:szCs w:val="24"/>
        </w:rPr>
        <w:t xml:space="preserve"> </w:t>
      </w:r>
      <w:r w:rsidRPr="00EC1377">
        <w:rPr>
          <w:rFonts w:ascii="Times New Roman" w:hAnsi="Times New Roman" w:cs="Times New Roman"/>
          <w:bCs/>
          <w:i/>
          <w:iCs/>
          <w:sz w:val="24"/>
          <w:szCs w:val="24"/>
        </w:rPr>
        <w:t xml:space="preserve">QMtqtl.lfl-7A.1 </w:t>
      </w:r>
      <w:r w:rsidRPr="00EC1377">
        <w:rPr>
          <w:rFonts w:ascii="Times New Roman" w:hAnsi="Times New Roman" w:cs="Times New Roman"/>
          <w:bCs/>
          <w:sz w:val="24"/>
          <w:szCs w:val="24"/>
        </w:rPr>
        <w:t xml:space="preserve">and the underlying candidate gene </w:t>
      </w:r>
      <w:r w:rsidRPr="00EC1377">
        <w:rPr>
          <w:rFonts w:ascii="Times New Roman" w:hAnsi="Times New Roman" w:cs="Times New Roman"/>
          <w:bCs/>
          <w:i/>
          <w:iCs/>
          <w:sz w:val="24"/>
          <w:szCs w:val="24"/>
        </w:rPr>
        <w:t>WAPO-A1</w:t>
      </w:r>
      <w:r w:rsidRPr="00EC1377">
        <w:rPr>
          <w:rFonts w:ascii="Times New Roman" w:hAnsi="Times New Roman" w:cs="Times New Roman"/>
          <w:bCs/>
          <w:sz w:val="24"/>
          <w:szCs w:val="24"/>
        </w:rPr>
        <w:t>. (A) Composite interval mapping (CIM) results for chromosome 7A for traits ‘total number of spikelets’ (</w:t>
      </w:r>
      <w:proofErr w:type="spellStart"/>
      <w:r w:rsidRPr="00EC1377">
        <w:rPr>
          <w:rFonts w:ascii="Times New Roman" w:hAnsi="Times New Roman" w:cs="Times New Roman"/>
          <w:bCs/>
          <w:sz w:val="24"/>
          <w:szCs w:val="24"/>
        </w:rPr>
        <w:t>totNFSP</w:t>
      </w:r>
      <w:proofErr w:type="spellEnd"/>
      <w:r w:rsidRPr="00EC1377">
        <w:rPr>
          <w:rFonts w:ascii="Times New Roman" w:hAnsi="Times New Roman" w:cs="Times New Roman"/>
          <w:bCs/>
          <w:sz w:val="24"/>
          <w:szCs w:val="24"/>
        </w:rPr>
        <w:t xml:space="preserve">), ‘number of fertile spikelets’ (NFSP), ‘number of infertile spikelets’ (NISP), as well as closely linked QTL for ‘number of seed per ear’ (NS.NE) and ‘ear length’ (EL). Presented here are the meta-analysis </w:t>
      </w:r>
      <w:r w:rsidRPr="00EC1377">
        <w:rPr>
          <w:rFonts w:ascii="Times New Roman" w:hAnsi="Times New Roman" w:cs="Times New Roman"/>
          <w:bCs/>
          <w:sz w:val="24"/>
          <w:szCs w:val="24"/>
        </w:rPr>
        <w:lastRenderedPageBreak/>
        <w:t xml:space="preserve">predicted means analysed using CIM with inclusion of five covariates (CIM-cov5). (B) As for A, but excluding the highly significant QTL for </w:t>
      </w:r>
      <w:proofErr w:type="spellStart"/>
      <w:r w:rsidRPr="00EC1377">
        <w:rPr>
          <w:rFonts w:ascii="Times New Roman" w:hAnsi="Times New Roman" w:cs="Times New Roman"/>
          <w:bCs/>
          <w:sz w:val="24"/>
          <w:szCs w:val="24"/>
        </w:rPr>
        <w:t>totNSP</w:t>
      </w:r>
      <w:proofErr w:type="spellEnd"/>
      <w:r w:rsidRPr="00EC1377">
        <w:rPr>
          <w:rFonts w:ascii="Times New Roman" w:hAnsi="Times New Roman" w:cs="Times New Roman"/>
          <w:bCs/>
          <w:sz w:val="24"/>
          <w:szCs w:val="24"/>
        </w:rPr>
        <w:t xml:space="preserve"> and NFSP, </w:t>
      </w:r>
      <w:r>
        <w:rPr>
          <w:rFonts w:ascii="Times New Roman" w:hAnsi="Times New Roman" w:cs="Times New Roman"/>
          <w:bCs/>
          <w:sz w:val="24"/>
          <w:szCs w:val="24"/>
        </w:rPr>
        <w:t xml:space="preserve">allowing inspection of </w:t>
      </w:r>
      <w:r w:rsidRPr="00EC1377">
        <w:rPr>
          <w:rFonts w:ascii="Times New Roman" w:hAnsi="Times New Roman" w:cs="Times New Roman"/>
          <w:bCs/>
          <w:sz w:val="24"/>
          <w:szCs w:val="24"/>
        </w:rPr>
        <w:t xml:space="preserve">the non-significant peak for NISP (in grey) that coincides with the peak for </w:t>
      </w:r>
      <w:proofErr w:type="spellStart"/>
      <w:r w:rsidRPr="00EC1377">
        <w:rPr>
          <w:rFonts w:ascii="Times New Roman" w:hAnsi="Times New Roman" w:cs="Times New Roman"/>
          <w:bCs/>
          <w:sz w:val="24"/>
          <w:szCs w:val="24"/>
        </w:rPr>
        <w:t>totNSP</w:t>
      </w:r>
      <w:proofErr w:type="spellEnd"/>
      <w:r w:rsidRPr="00EC1377">
        <w:rPr>
          <w:rFonts w:ascii="Times New Roman" w:hAnsi="Times New Roman" w:cs="Times New Roman"/>
          <w:bCs/>
          <w:sz w:val="24"/>
          <w:szCs w:val="24"/>
        </w:rPr>
        <w:t xml:space="preserve"> and NFSP, the additional significant QTL for NISP spanning the region of low genetic recombination spanning the centromere (QTL peak at ~165 cM) and the closely linked, but potentially separate, QTL for NS.NE and EL. (C) </w:t>
      </w:r>
      <w:r w:rsidRPr="00EC1377">
        <w:rPr>
          <w:rFonts w:ascii="Times New Roman" w:hAnsi="Times New Roman" w:cs="Times New Roman"/>
          <w:bCs/>
          <w:i/>
          <w:iCs/>
          <w:sz w:val="24"/>
          <w:szCs w:val="24"/>
        </w:rPr>
        <w:t xml:space="preserve">WAPO-A1 </w:t>
      </w:r>
      <w:r w:rsidRPr="00EC1377">
        <w:rPr>
          <w:rFonts w:ascii="Times New Roman" w:hAnsi="Times New Roman" w:cs="Times New Roman"/>
          <w:bCs/>
          <w:sz w:val="24"/>
          <w:szCs w:val="24"/>
        </w:rPr>
        <w:t xml:space="preserve">haplotypes, based on the DNA variants identified by comparing </w:t>
      </w:r>
      <w:r w:rsidRPr="00EC1377">
        <w:rPr>
          <w:rFonts w:ascii="Times New Roman" w:hAnsi="Times New Roman" w:cs="Times New Roman"/>
          <w:bCs/>
          <w:i/>
          <w:iCs/>
          <w:sz w:val="24"/>
          <w:szCs w:val="24"/>
        </w:rPr>
        <w:t xml:space="preserve">WAPO-A1 </w:t>
      </w:r>
      <w:r w:rsidRPr="00EC1377">
        <w:rPr>
          <w:rFonts w:ascii="Times New Roman" w:hAnsi="Times New Roman" w:cs="Times New Roman"/>
          <w:bCs/>
          <w:sz w:val="24"/>
          <w:szCs w:val="24"/>
        </w:rPr>
        <w:t xml:space="preserve">sequences (including 1,000 bp up- and down-stream of the start and stop codons, respectively) from the wheat reference genome assembly </w:t>
      </w:r>
      <w:r>
        <w:rPr>
          <w:rFonts w:ascii="Times New Roman" w:hAnsi="Times New Roman" w:cs="Times New Roman"/>
          <w:bCs/>
          <w:sz w:val="24"/>
          <w:szCs w:val="24"/>
        </w:rPr>
        <w:t xml:space="preserve">(RefSeqv1.0. </w:t>
      </w:r>
      <w:r w:rsidRPr="00EC1377">
        <w:rPr>
          <w:rFonts w:ascii="Times New Roman" w:hAnsi="Times New Roman" w:cs="Times New Roman"/>
          <w:bCs/>
          <w:sz w:val="24"/>
          <w:szCs w:val="24"/>
        </w:rPr>
        <w:t>IWGSC 2018) with those from 15 additional hexaploid wheat lines with sequenced genomes (</w:t>
      </w:r>
      <w:proofErr w:type="spellStart"/>
      <w:r w:rsidRPr="00EC1377">
        <w:rPr>
          <w:rFonts w:ascii="Times New Roman" w:hAnsi="Times New Roman" w:cs="Times New Roman"/>
          <w:bCs/>
          <w:sz w:val="24"/>
          <w:szCs w:val="24"/>
        </w:rPr>
        <w:t>Walkowiak</w:t>
      </w:r>
      <w:proofErr w:type="spellEnd"/>
      <w:r w:rsidRPr="00EC1377">
        <w:rPr>
          <w:rFonts w:ascii="Times New Roman" w:hAnsi="Times New Roman" w:cs="Times New Roman"/>
          <w:bCs/>
          <w:sz w:val="24"/>
          <w:szCs w:val="24"/>
        </w:rPr>
        <w:t xml:space="preserve"> et al. 2020). The positions of the DNA variants that define the haplotypes are as detailed in Supplementary Table 8a</w:t>
      </w:r>
      <w:r>
        <w:rPr>
          <w:rFonts w:ascii="Times New Roman" w:hAnsi="Times New Roman" w:cs="Times New Roman"/>
          <w:bCs/>
          <w:sz w:val="24"/>
          <w:szCs w:val="24"/>
        </w:rPr>
        <w:t xml:space="preserve">, and their locations are numbered in relation to the </w:t>
      </w:r>
      <w:r>
        <w:rPr>
          <w:rFonts w:ascii="Times New Roman" w:hAnsi="Times New Roman" w:cs="Times New Roman"/>
          <w:bCs/>
          <w:i/>
          <w:iCs/>
          <w:sz w:val="24"/>
          <w:szCs w:val="24"/>
        </w:rPr>
        <w:t xml:space="preserve">WAPO-A1 </w:t>
      </w:r>
      <w:r>
        <w:rPr>
          <w:rFonts w:ascii="Times New Roman" w:hAnsi="Times New Roman" w:cs="Times New Roman"/>
          <w:bCs/>
          <w:sz w:val="24"/>
          <w:szCs w:val="24"/>
        </w:rPr>
        <w:t xml:space="preserve">start codon in the </w:t>
      </w:r>
      <w:proofErr w:type="spellStart"/>
      <w:r>
        <w:rPr>
          <w:rFonts w:ascii="Times New Roman" w:hAnsi="Times New Roman" w:cs="Times New Roman"/>
          <w:bCs/>
          <w:sz w:val="24"/>
          <w:szCs w:val="24"/>
        </w:rPr>
        <w:t>RefSeq</w:t>
      </w:r>
      <w:proofErr w:type="spellEnd"/>
      <w:r>
        <w:rPr>
          <w:rFonts w:ascii="Times New Roman" w:hAnsi="Times New Roman" w:cs="Times New Roman"/>
          <w:bCs/>
          <w:sz w:val="24"/>
          <w:szCs w:val="24"/>
        </w:rPr>
        <w:t xml:space="preserve"> v1.0 assembly</w:t>
      </w:r>
      <w:r w:rsidRPr="00EC1377">
        <w:rPr>
          <w:rFonts w:ascii="Times New Roman" w:hAnsi="Times New Roman" w:cs="Times New Roman"/>
          <w:bCs/>
          <w:sz w:val="24"/>
          <w:szCs w:val="24"/>
        </w:rPr>
        <w:t xml:space="preserve">. </w:t>
      </w:r>
      <w:r w:rsidRPr="00DF259F">
        <w:rPr>
          <w:rFonts w:ascii="Times New Roman" w:hAnsi="Times New Roman" w:cs="Times New Roman"/>
          <w:bCs/>
          <w:sz w:val="24"/>
          <w:szCs w:val="24"/>
        </w:rPr>
        <w:t xml:space="preserve">Haplotype </w:t>
      </w:r>
      <w:r w:rsidRPr="00EC1377">
        <w:rPr>
          <w:rFonts w:ascii="Times New Roman" w:hAnsi="Times New Roman" w:cs="Times New Roman"/>
          <w:bCs/>
          <w:i/>
          <w:iCs/>
          <w:sz w:val="24"/>
          <w:szCs w:val="24"/>
        </w:rPr>
        <w:t>WAPO-A</w:t>
      </w:r>
      <w:proofErr w:type="gramStart"/>
      <w:r w:rsidRPr="00EC1377">
        <w:rPr>
          <w:rFonts w:ascii="Times New Roman" w:hAnsi="Times New Roman" w:cs="Times New Roman"/>
          <w:bCs/>
          <w:i/>
          <w:iCs/>
          <w:sz w:val="24"/>
          <w:szCs w:val="24"/>
        </w:rPr>
        <w:t>1.hap</w:t>
      </w:r>
      <w:proofErr w:type="gramEnd"/>
      <w:r w:rsidRPr="00EC1377">
        <w:rPr>
          <w:rFonts w:ascii="Times New Roman" w:hAnsi="Times New Roman" w:cs="Times New Roman"/>
          <w:bCs/>
          <w:i/>
          <w:iCs/>
          <w:sz w:val="24"/>
          <w:szCs w:val="24"/>
        </w:rPr>
        <w:t xml:space="preserve">1 </w:t>
      </w:r>
      <w:r w:rsidRPr="00EC1377">
        <w:rPr>
          <w:rFonts w:ascii="Times New Roman" w:hAnsi="Times New Roman" w:cs="Times New Roman"/>
          <w:bCs/>
          <w:sz w:val="24"/>
          <w:szCs w:val="24"/>
        </w:rPr>
        <w:t xml:space="preserve">and </w:t>
      </w:r>
      <w:r w:rsidRPr="00EC1377">
        <w:rPr>
          <w:rFonts w:ascii="Times New Roman" w:hAnsi="Times New Roman" w:cs="Times New Roman"/>
          <w:bCs/>
          <w:i/>
          <w:iCs/>
          <w:sz w:val="24"/>
          <w:szCs w:val="24"/>
        </w:rPr>
        <w:t xml:space="preserve">WAPO-hap2 </w:t>
      </w:r>
      <w:r w:rsidRPr="00EC1377">
        <w:rPr>
          <w:rFonts w:ascii="Times New Roman" w:hAnsi="Times New Roman" w:cs="Times New Roman"/>
          <w:bCs/>
          <w:sz w:val="24"/>
          <w:szCs w:val="24"/>
        </w:rPr>
        <w:t xml:space="preserve">have previously been shown to represent alleles conferring low (allele </w:t>
      </w:r>
      <w:r w:rsidRPr="00EC1377">
        <w:rPr>
          <w:rFonts w:ascii="Times New Roman" w:hAnsi="Times New Roman" w:cs="Times New Roman"/>
          <w:bCs/>
          <w:i/>
          <w:iCs/>
          <w:sz w:val="24"/>
          <w:szCs w:val="24"/>
        </w:rPr>
        <w:t>WAPO-A1a</w:t>
      </w:r>
      <w:r w:rsidRPr="00EC1377">
        <w:rPr>
          <w:rFonts w:ascii="Times New Roman" w:hAnsi="Times New Roman" w:cs="Times New Roman"/>
          <w:bCs/>
          <w:sz w:val="24"/>
          <w:szCs w:val="24"/>
        </w:rPr>
        <w:t>) and high (</w:t>
      </w:r>
      <w:r w:rsidRPr="00EC1377">
        <w:rPr>
          <w:rFonts w:ascii="Times New Roman" w:hAnsi="Times New Roman" w:cs="Times New Roman"/>
          <w:bCs/>
          <w:i/>
          <w:iCs/>
          <w:sz w:val="24"/>
          <w:szCs w:val="24"/>
        </w:rPr>
        <w:t>WAPO-A1b</w:t>
      </w:r>
      <w:r w:rsidRPr="00EC1377">
        <w:rPr>
          <w:rFonts w:ascii="Times New Roman" w:hAnsi="Times New Roman" w:cs="Times New Roman"/>
          <w:bCs/>
          <w:sz w:val="24"/>
          <w:szCs w:val="24"/>
        </w:rPr>
        <w:t xml:space="preserve">) spikelet number, respectively. The </w:t>
      </w:r>
      <w:r w:rsidRPr="00EC1377">
        <w:rPr>
          <w:rFonts w:ascii="Times New Roman" w:hAnsi="Times New Roman" w:cs="Times New Roman"/>
          <w:bCs/>
          <w:i/>
          <w:iCs/>
          <w:sz w:val="24"/>
          <w:szCs w:val="24"/>
        </w:rPr>
        <w:t xml:space="preserve">WAPO-A1 </w:t>
      </w:r>
      <w:r w:rsidRPr="00EC1377">
        <w:rPr>
          <w:rFonts w:ascii="Times New Roman" w:hAnsi="Times New Roman" w:cs="Times New Roman"/>
          <w:bCs/>
          <w:sz w:val="24"/>
          <w:szCs w:val="24"/>
        </w:rPr>
        <w:t>H3</w:t>
      </w:r>
      <w:r w:rsidRPr="00EC1377">
        <w:rPr>
          <w:rFonts w:ascii="Times New Roman" w:hAnsi="Times New Roman" w:cs="Times New Roman"/>
          <w:bCs/>
          <w:i/>
          <w:iCs/>
          <w:sz w:val="24"/>
          <w:szCs w:val="24"/>
        </w:rPr>
        <w:t xml:space="preserve"> </w:t>
      </w:r>
      <w:r w:rsidRPr="00EC1377">
        <w:rPr>
          <w:rFonts w:ascii="Times New Roman" w:hAnsi="Times New Roman" w:cs="Times New Roman"/>
          <w:bCs/>
          <w:sz w:val="24"/>
          <w:szCs w:val="24"/>
        </w:rPr>
        <w:t xml:space="preserve">haplotype identified predominantly in wild and cultivated tetraploid emmer wheat by </w:t>
      </w:r>
      <w:proofErr w:type="spellStart"/>
      <w:r w:rsidRPr="00EC1377">
        <w:rPr>
          <w:rFonts w:ascii="Times New Roman" w:hAnsi="Times New Roman" w:cs="Times New Roman"/>
          <w:bCs/>
          <w:sz w:val="24"/>
          <w:szCs w:val="24"/>
        </w:rPr>
        <w:t>Kuzay</w:t>
      </w:r>
      <w:proofErr w:type="spellEnd"/>
      <w:r w:rsidRPr="00EC1377">
        <w:rPr>
          <w:rFonts w:ascii="Times New Roman" w:hAnsi="Times New Roman" w:cs="Times New Roman"/>
          <w:bCs/>
          <w:sz w:val="24"/>
          <w:szCs w:val="24"/>
        </w:rPr>
        <w:t xml:space="preserve"> et al. (2019) was not identified in the sequences analysed here</w:t>
      </w:r>
      <w:r>
        <w:rPr>
          <w:rFonts w:ascii="Times New Roman" w:hAnsi="Times New Roman" w:cs="Times New Roman"/>
          <w:bCs/>
          <w:sz w:val="24"/>
          <w:szCs w:val="24"/>
        </w:rPr>
        <w:t xml:space="preserve">, and so is not included in the figure. </w:t>
      </w:r>
      <w:r w:rsidRPr="00EC1377">
        <w:rPr>
          <w:rFonts w:ascii="Times New Roman" w:hAnsi="Times New Roman" w:cs="Times New Roman"/>
          <w:bCs/>
          <w:sz w:val="24"/>
          <w:szCs w:val="24"/>
        </w:rPr>
        <w:t xml:space="preserve">Sequencing a </w:t>
      </w:r>
      <w:r w:rsidRPr="00EC1377">
        <w:rPr>
          <w:rFonts w:ascii="Times New Roman" w:hAnsi="Times New Roman" w:cs="Times New Roman"/>
          <w:sz w:val="24"/>
          <w:szCs w:val="24"/>
        </w:rPr>
        <w:t xml:space="preserve">1,719 </w:t>
      </w:r>
      <w:r w:rsidRPr="00EC1377">
        <w:rPr>
          <w:rFonts w:ascii="Times New Roman" w:hAnsi="Times New Roman" w:cs="Times New Roman"/>
          <w:bCs/>
          <w:sz w:val="24"/>
          <w:szCs w:val="24"/>
        </w:rPr>
        <w:t xml:space="preserve">bp region indicated by the dashed black line in the eight </w:t>
      </w:r>
      <w:proofErr w:type="spellStart"/>
      <w:r w:rsidRPr="00EC1377">
        <w:rPr>
          <w:rFonts w:ascii="Times New Roman" w:hAnsi="Times New Roman" w:cs="Times New Roman"/>
          <w:bCs/>
          <w:sz w:val="24"/>
          <w:szCs w:val="24"/>
        </w:rPr>
        <w:t>BMWpop</w:t>
      </w:r>
      <w:proofErr w:type="spellEnd"/>
      <w:r w:rsidRPr="00EC1377">
        <w:rPr>
          <w:rFonts w:ascii="Times New Roman" w:hAnsi="Times New Roman" w:cs="Times New Roman"/>
          <w:bCs/>
          <w:sz w:val="24"/>
          <w:szCs w:val="24"/>
        </w:rPr>
        <w:t xml:space="preserve"> founders allowed allocation as </w:t>
      </w:r>
      <w:r w:rsidRPr="00EC1377">
        <w:rPr>
          <w:rFonts w:ascii="Times New Roman" w:hAnsi="Times New Roman" w:cs="Times New Roman"/>
          <w:bCs/>
          <w:i/>
          <w:iCs/>
          <w:sz w:val="24"/>
          <w:szCs w:val="24"/>
        </w:rPr>
        <w:t>WAPO-A</w:t>
      </w:r>
      <w:proofErr w:type="gramStart"/>
      <w:r w:rsidRPr="00EC1377">
        <w:rPr>
          <w:rFonts w:ascii="Times New Roman" w:hAnsi="Times New Roman" w:cs="Times New Roman"/>
          <w:bCs/>
          <w:i/>
          <w:iCs/>
          <w:sz w:val="24"/>
          <w:szCs w:val="24"/>
        </w:rPr>
        <w:t>1.hap</w:t>
      </w:r>
      <w:proofErr w:type="gramEnd"/>
      <w:r w:rsidRPr="00EC1377">
        <w:rPr>
          <w:rFonts w:ascii="Times New Roman" w:hAnsi="Times New Roman" w:cs="Times New Roman"/>
          <w:bCs/>
          <w:i/>
          <w:iCs/>
          <w:sz w:val="24"/>
          <w:szCs w:val="24"/>
        </w:rPr>
        <w:t xml:space="preserve">1 </w:t>
      </w:r>
      <w:r w:rsidRPr="00EC1377">
        <w:rPr>
          <w:rFonts w:ascii="Times New Roman" w:hAnsi="Times New Roman" w:cs="Times New Roman"/>
          <w:bCs/>
          <w:sz w:val="24"/>
          <w:szCs w:val="24"/>
        </w:rPr>
        <w:t xml:space="preserve">(Ambition, BAY4535, Firl3565 and Julius) or </w:t>
      </w:r>
      <w:r w:rsidRPr="00EC1377">
        <w:rPr>
          <w:rFonts w:ascii="Times New Roman" w:hAnsi="Times New Roman" w:cs="Times New Roman"/>
          <w:bCs/>
          <w:i/>
          <w:iCs/>
          <w:sz w:val="24"/>
          <w:szCs w:val="24"/>
        </w:rPr>
        <w:t xml:space="preserve">WAPO-A1.hap2 </w:t>
      </w:r>
      <w:r w:rsidRPr="00EC1377">
        <w:rPr>
          <w:rFonts w:ascii="Times New Roman" w:hAnsi="Times New Roman" w:cs="Times New Roman"/>
          <w:bCs/>
          <w:sz w:val="24"/>
          <w:szCs w:val="24"/>
        </w:rPr>
        <w:t xml:space="preserve">(Bussard, Event, Format and </w:t>
      </w:r>
      <w:proofErr w:type="spellStart"/>
      <w:r w:rsidRPr="00EC1377">
        <w:rPr>
          <w:rFonts w:ascii="Times New Roman" w:hAnsi="Times New Roman" w:cs="Times New Roman"/>
          <w:bCs/>
          <w:sz w:val="24"/>
          <w:szCs w:val="24"/>
        </w:rPr>
        <w:t>Potenzial</w:t>
      </w:r>
      <w:proofErr w:type="spellEnd"/>
      <w:r w:rsidRPr="00EC1377">
        <w:rPr>
          <w:rFonts w:ascii="Times New Roman" w:hAnsi="Times New Roman" w:cs="Times New Roman"/>
          <w:bCs/>
          <w:sz w:val="24"/>
          <w:szCs w:val="24"/>
        </w:rPr>
        <w:t xml:space="preserve">). </w:t>
      </w:r>
      <w:r w:rsidRPr="00EC1377">
        <w:rPr>
          <w:rFonts w:ascii="Times New Roman" w:hAnsi="Times New Roman" w:cs="Times New Roman"/>
          <w:bCs/>
          <w:i/>
          <w:iCs/>
          <w:sz w:val="24"/>
          <w:szCs w:val="24"/>
        </w:rPr>
        <w:t>WAPO-A</w:t>
      </w:r>
      <w:proofErr w:type="gramStart"/>
      <w:r w:rsidRPr="00EC1377">
        <w:rPr>
          <w:rFonts w:ascii="Times New Roman" w:hAnsi="Times New Roman" w:cs="Times New Roman"/>
          <w:bCs/>
          <w:i/>
          <w:iCs/>
          <w:sz w:val="24"/>
          <w:szCs w:val="24"/>
        </w:rPr>
        <w:t>1.hap</w:t>
      </w:r>
      <w:proofErr w:type="gramEnd"/>
      <w:r w:rsidRPr="00EC1377">
        <w:rPr>
          <w:rFonts w:ascii="Times New Roman" w:hAnsi="Times New Roman" w:cs="Times New Roman"/>
          <w:bCs/>
          <w:i/>
          <w:iCs/>
          <w:sz w:val="24"/>
          <w:szCs w:val="24"/>
        </w:rPr>
        <w:t xml:space="preserve">1 </w:t>
      </w:r>
      <w:r w:rsidRPr="00EC1377">
        <w:rPr>
          <w:rFonts w:ascii="Times New Roman" w:hAnsi="Times New Roman" w:cs="Times New Roman"/>
          <w:bCs/>
          <w:sz w:val="24"/>
          <w:szCs w:val="24"/>
        </w:rPr>
        <w:t xml:space="preserve">and </w:t>
      </w:r>
      <w:r w:rsidRPr="00EC1377">
        <w:rPr>
          <w:rFonts w:ascii="Times New Roman" w:hAnsi="Times New Roman" w:cs="Times New Roman"/>
          <w:bCs/>
          <w:i/>
          <w:iCs/>
          <w:sz w:val="24"/>
          <w:szCs w:val="24"/>
        </w:rPr>
        <w:t xml:space="preserve">WAPO-A1.hap2 </w:t>
      </w:r>
      <w:r w:rsidRPr="00EC1377">
        <w:rPr>
          <w:rFonts w:ascii="Times New Roman" w:hAnsi="Times New Roman" w:cs="Times New Roman"/>
          <w:bCs/>
          <w:sz w:val="24"/>
          <w:szCs w:val="24"/>
        </w:rPr>
        <w:t xml:space="preserve">were associated with the low and high spikelet number allele at </w:t>
      </w:r>
      <w:r w:rsidRPr="00EC1377">
        <w:rPr>
          <w:rFonts w:ascii="Times New Roman" w:hAnsi="Times New Roman" w:cs="Times New Roman"/>
          <w:bCs/>
          <w:i/>
          <w:iCs/>
          <w:sz w:val="24"/>
          <w:szCs w:val="24"/>
        </w:rPr>
        <w:t>QMtqtl-lfl.7A.1</w:t>
      </w:r>
      <w:r w:rsidRPr="00EC1377">
        <w:rPr>
          <w:rFonts w:ascii="Times New Roman" w:hAnsi="Times New Roman" w:cs="Times New Roman"/>
          <w:bCs/>
          <w:sz w:val="24"/>
          <w:szCs w:val="24"/>
        </w:rPr>
        <w:t xml:space="preserve">, </w:t>
      </w:r>
      <w:r>
        <w:rPr>
          <w:rFonts w:ascii="Times New Roman" w:hAnsi="Times New Roman" w:cs="Times New Roman"/>
          <w:bCs/>
          <w:sz w:val="24"/>
          <w:szCs w:val="24"/>
        </w:rPr>
        <w:t xml:space="preserve">respectively, </w:t>
      </w:r>
      <w:r w:rsidRPr="00EC1377">
        <w:rPr>
          <w:rFonts w:ascii="Times New Roman" w:hAnsi="Times New Roman" w:cs="Times New Roman"/>
          <w:bCs/>
          <w:sz w:val="24"/>
          <w:szCs w:val="24"/>
        </w:rPr>
        <w:t xml:space="preserve">and so are termed here as alleles </w:t>
      </w:r>
      <w:r w:rsidRPr="00EC1377">
        <w:rPr>
          <w:rFonts w:ascii="Times New Roman" w:hAnsi="Times New Roman" w:cs="Times New Roman"/>
          <w:bCs/>
          <w:i/>
          <w:iCs/>
          <w:sz w:val="24"/>
          <w:szCs w:val="24"/>
        </w:rPr>
        <w:t xml:space="preserve">WAPO-A1a </w:t>
      </w:r>
      <w:r w:rsidRPr="00EC1377">
        <w:rPr>
          <w:rFonts w:ascii="Times New Roman" w:hAnsi="Times New Roman" w:cs="Times New Roman"/>
          <w:bCs/>
          <w:sz w:val="24"/>
          <w:szCs w:val="24"/>
        </w:rPr>
        <w:t xml:space="preserve">and </w:t>
      </w:r>
      <w:r w:rsidRPr="00EC1377">
        <w:rPr>
          <w:rFonts w:ascii="Times New Roman" w:hAnsi="Times New Roman" w:cs="Times New Roman"/>
          <w:bCs/>
          <w:i/>
          <w:iCs/>
          <w:sz w:val="24"/>
          <w:szCs w:val="24"/>
        </w:rPr>
        <w:t>WAPO-A1b</w:t>
      </w:r>
      <w:r w:rsidRPr="00EC1377">
        <w:rPr>
          <w:rFonts w:ascii="Times New Roman" w:hAnsi="Times New Roman" w:cs="Times New Roman"/>
          <w:bCs/>
          <w:sz w:val="24"/>
          <w:szCs w:val="24"/>
        </w:rPr>
        <w:t>.</w:t>
      </w:r>
      <w:r w:rsidRPr="00EC1377">
        <w:rPr>
          <w:rFonts w:ascii="Times New Roman" w:hAnsi="Times New Roman" w:cs="Times New Roman"/>
          <w:bCs/>
          <w:i/>
          <w:iCs/>
          <w:sz w:val="24"/>
          <w:szCs w:val="24"/>
        </w:rPr>
        <w:t xml:space="preserve"> </w:t>
      </w:r>
      <w:r w:rsidRPr="00EC1377">
        <w:rPr>
          <w:rFonts w:ascii="Times New Roman" w:hAnsi="Times New Roman" w:cs="Times New Roman"/>
          <w:bCs/>
          <w:sz w:val="24"/>
          <w:szCs w:val="24"/>
        </w:rPr>
        <w:t xml:space="preserve">Of the seven SNPs that differentiated these two haplotypes in the </w:t>
      </w:r>
      <w:r w:rsidRPr="00EC1377">
        <w:rPr>
          <w:rFonts w:ascii="Times New Roman" w:hAnsi="Times New Roman" w:cs="Times New Roman"/>
          <w:bCs/>
          <w:i/>
          <w:iCs/>
          <w:sz w:val="24"/>
          <w:szCs w:val="24"/>
        </w:rPr>
        <w:t xml:space="preserve">WAPO-A1 </w:t>
      </w:r>
      <w:r w:rsidRPr="00EC1377">
        <w:rPr>
          <w:rFonts w:ascii="Times New Roman" w:hAnsi="Times New Roman" w:cs="Times New Roman"/>
          <w:bCs/>
          <w:sz w:val="24"/>
          <w:szCs w:val="24"/>
        </w:rPr>
        <w:t xml:space="preserve">region sequenced in the </w:t>
      </w:r>
      <w:proofErr w:type="spellStart"/>
      <w:r w:rsidRPr="00EC1377">
        <w:rPr>
          <w:rFonts w:ascii="Times New Roman" w:hAnsi="Times New Roman" w:cs="Times New Roman"/>
          <w:bCs/>
          <w:sz w:val="24"/>
          <w:szCs w:val="24"/>
        </w:rPr>
        <w:t>BMWpop</w:t>
      </w:r>
      <w:proofErr w:type="spellEnd"/>
      <w:r w:rsidRPr="00EC1377">
        <w:rPr>
          <w:rFonts w:ascii="Times New Roman" w:hAnsi="Times New Roman" w:cs="Times New Roman"/>
          <w:bCs/>
          <w:sz w:val="24"/>
          <w:szCs w:val="24"/>
        </w:rPr>
        <w:t xml:space="preserve"> founders, two lead to alterations of the predicted protein. The first was a T+140/G SNP that resulted in a F47/C amino acid substitution in a </w:t>
      </w:r>
      <w:r>
        <w:rPr>
          <w:rFonts w:ascii="Times New Roman" w:hAnsi="Times New Roman" w:cs="Times New Roman"/>
          <w:bCs/>
          <w:sz w:val="24"/>
          <w:szCs w:val="24"/>
        </w:rPr>
        <w:t xml:space="preserve">highly </w:t>
      </w:r>
      <w:r w:rsidRPr="00EC1377">
        <w:rPr>
          <w:rFonts w:ascii="Times New Roman" w:hAnsi="Times New Roman" w:cs="Times New Roman"/>
          <w:bCs/>
          <w:sz w:val="24"/>
          <w:szCs w:val="24"/>
        </w:rPr>
        <w:t xml:space="preserve">conserved region of the protein based on alignment of 57 proteins from 54 plant species. The second was a G+1284/A SNP resulting in an D384/N amino acid substitution located towards the C-terminus. (D) </w:t>
      </w:r>
      <w:proofErr w:type="spellStart"/>
      <w:r w:rsidRPr="00EC1377">
        <w:rPr>
          <w:rFonts w:ascii="Times New Roman" w:hAnsi="Times New Roman" w:cs="Times New Roman"/>
          <w:bCs/>
          <w:sz w:val="24"/>
          <w:szCs w:val="24"/>
        </w:rPr>
        <w:t>Weblogo</w:t>
      </w:r>
      <w:proofErr w:type="spellEnd"/>
      <w:r w:rsidRPr="00EC1377">
        <w:rPr>
          <w:rFonts w:ascii="Times New Roman" w:hAnsi="Times New Roman" w:cs="Times New Roman"/>
          <w:bCs/>
          <w:sz w:val="24"/>
          <w:szCs w:val="24"/>
        </w:rPr>
        <w:t xml:space="preserve"> plots illustrating amino acid conservation at the two locations for which DNA variants lead to amino acid substitutions in the predicted </w:t>
      </w:r>
      <w:r w:rsidRPr="00DF259F">
        <w:rPr>
          <w:rFonts w:ascii="Times New Roman" w:hAnsi="Times New Roman" w:cs="Times New Roman"/>
          <w:bCs/>
          <w:sz w:val="24"/>
          <w:szCs w:val="24"/>
        </w:rPr>
        <w:t>WAPO-A1</w:t>
      </w:r>
      <w:r w:rsidRPr="00EC1377">
        <w:rPr>
          <w:rFonts w:ascii="Times New Roman" w:hAnsi="Times New Roman" w:cs="Times New Roman"/>
          <w:bCs/>
          <w:i/>
          <w:iCs/>
          <w:sz w:val="24"/>
          <w:szCs w:val="24"/>
        </w:rPr>
        <w:t xml:space="preserve"> </w:t>
      </w:r>
      <w:r w:rsidRPr="00EC1377">
        <w:rPr>
          <w:rFonts w:ascii="Times New Roman" w:hAnsi="Times New Roman" w:cs="Times New Roman"/>
          <w:bCs/>
          <w:sz w:val="24"/>
          <w:szCs w:val="24"/>
        </w:rPr>
        <w:t xml:space="preserve">protein, based on the alignment of the </w:t>
      </w:r>
      <w:r>
        <w:rPr>
          <w:rFonts w:ascii="Times New Roman" w:hAnsi="Times New Roman" w:cs="Times New Roman"/>
          <w:bCs/>
          <w:sz w:val="24"/>
          <w:szCs w:val="24"/>
        </w:rPr>
        <w:t xml:space="preserve">57 </w:t>
      </w:r>
      <w:r w:rsidRPr="00EC1377">
        <w:rPr>
          <w:rFonts w:ascii="Times New Roman" w:hAnsi="Times New Roman" w:cs="Times New Roman"/>
          <w:bCs/>
          <w:sz w:val="24"/>
          <w:szCs w:val="24"/>
        </w:rPr>
        <w:t xml:space="preserve">protein accessions listed in Supplementary Table 3. </w:t>
      </w:r>
    </w:p>
    <w:p w14:paraId="512EA691" w14:textId="77777777" w:rsidR="00526E60" w:rsidRDefault="00526E60"/>
    <w:sectPr w:rsidR="00526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26E60"/>
    <w:rsid w:val="00067C51"/>
    <w:rsid w:val="00526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A0829"/>
  <w15:chartTrackingRefBased/>
  <w15:docId w15:val="{AE2E75E9-C71E-4E80-B86E-BE8A08563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2535</Characters>
  <Application>Microsoft Office Word</Application>
  <DocSecurity>0</DocSecurity>
  <Lines>21</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Cockram</dc:creator>
  <cp:keywords/>
  <dc:description/>
  <cp:lastModifiedBy>James Cockram</cp:lastModifiedBy>
  <cp:revision>1</cp:revision>
  <dcterms:created xsi:type="dcterms:W3CDTF">2021-03-09T11:55:00Z</dcterms:created>
  <dcterms:modified xsi:type="dcterms:W3CDTF">2021-03-09T11:57:00Z</dcterms:modified>
</cp:coreProperties>
</file>