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F4BB8" w14:textId="3FF9547D" w:rsidR="00F77EDB" w:rsidRDefault="00F77EDB" w:rsidP="00F77EDB">
      <w:pPr>
        <w:jc w:val="both"/>
        <w:rPr>
          <w:b/>
        </w:rPr>
      </w:pPr>
      <w:r>
        <w:rPr>
          <w:b/>
        </w:rPr>
        <w:t>Supplementary Text</w:t>
      </w:r>
      <w:r w:rsidR="00836139">
        <w:rPr>
          <w:b/>
        </w:rPr>
        <w:t xml:space="preserve"> S1</w:t>
      </w:r>
    </w:p>
    <w:p w14:paraId="0D68AE29" w14:textId="77777777" w:rsidR="00F77EDB" w:rsidRDefault="00F77EDB" w:rsidP="00F77EDB">
      <w:pPr>
        <w:jc w:val="both"/>
      </w:pPr>
    </w:p>
    <w:p w14:paraId="03EE05FB" w14:textId="77777777" w:rsidR="00F77EDB" w:rsidRDefault="00F77EDB" w:rsidP="00F77EDB">
      <w:pPr>
        <w:jc w:val="both"/>
        <w:rPr>
          <w:i/>
        </w:rPr>
      </w:pPr>
      <w:r>
        <w:rPr>
          <w:i/>
        </w:rPr>
        <w:t>Additional candidate genes for QFt.niab-1B.05 and QFt.niab-1D.03</w:t>
      </w:r>
    </w:p>
    <w:p w14:paraId="5D6832AB" w14:textId="69822087" w:rsidR="00F77EDB" w:rsidRDefault="00F77EDB" w:rsidP="00F77EDB">
      <w:pPr>
        <w:jc w:val="both"/>
      </w:pPr>
      <w:r>
        <w:t xml:space="preserve">Additional candidate genes for our MAGIC QTL </w:t>
      </w:r>
      <w:r>
        <w:rPr>
          <w:i/>
        </w:rPr>
        <w:t>QFt.niab-1B.05</w:t>
      </w:r>
      <w:r>
        <w:t xml:space="preserve"> (</w:t>
      </w:r>
      <w:r>
        <w:rPr>
          <w:i/>
        </w:rPr>
        <w:t>Eps-B1</w:t>
      </w:r>
      <w:r>
        <w:t xml:space="preserve">) and </w:t>
      </w:r>
      <w:r>
        <w:rPr>
          <w:i/>
        </w:rPr>
        <w:t>QFt.niab-1D.03</w:t>
      </w:r>
      <w:r>
        <w:t xml:space="preserve"> (</w:t>
      </w:r>
      <w:r>
        <w:rPr>
          <w:i/>
        </w:rPr>
        <w:t>Eps-D1</w:t>
      </w:r>
      <w:r>
        <w:t xml:space="preserve">) were identified in the reference wheat genome assembly of Chinese Spring. These include: (1) </w:t>
      </w:r>
      <w:r>
        <w:rPr>
          <w:i/>
        </w:rPr>
        <w:t>CO</w:t>
      </w:r>
      <w:r>
        <w:t xml:space="preserve">-like genes: like other Clade 4 CMF genes (Cockram </w:t>
      </w:r>
      <w:r w:rsidRPr="006A3A0A">
        <w:rPr>
          <w:iCs/>
        </w:rPr>
        <w:t>et al</w:t>
      </w:r>
      <w:r>
        <w:t xml:space="preserve">. 2012), the </w:t>
      </w:r>
      <w:r>
        <w:rPr>
          <w:i/>
        </w:rPr>
        <w:t>CO</w:t>
      </w:r>
      <w:r>
        <w:t>-like genes identified at the homoeologous 1B (</w:t>
      </w:r>
      <w:r>
        <w:rPr>
          <w:i/>
        </w:rPr>
        <w:t>TaCMF6-A1</w:t>
      </w:r>
      <w:r>
        <w:t xml:space="preserve">, </w:t>
      </w:r>
      <w:r>
        <w:rPr>
          <w:i/>
        </w:rPr>
        <w:t>-A2</w:t>
      </w:r>
      <w:r>
        <w:t xml:space="preserve"> and </w:t>
      </w:r>
      <w:r>
        <w:rPr>
          <w:i/>
        </w:rPr>
        <w:t>–A3</w:t>
      </w:r>
      <w:r>
        <w:t>) and 1D (</w:t>
      </w:r>
      <w:r>
        <w:rPr>
          <w:i/>
        </w:rPr>
        <w:t>TaCMF-D1</w:t>
      </w:r>
      <w:r>
        <w:t xml:space="preserve">, </w:t>
      </w:r>
      <w:r>
        <w:rPr>
          <w:i/>
        </w:rPr>
        <w:t>-D2</w:t>
      </w:r>
      <w:r>
        <w:t xml:space="preserve">) loci contain four exons, with intron III located within the CCT protein domain. CCT domain genes play a well-documented role in the control of flowering time in many monocot and dicot species (reviewed by Li </w:t>
      </w:r>
      <w:r w:rsidR="006A3A0A">
        <w:t>and</w:t>
      </w:r>
      <w:r>
        <w:t xml:space="preserve"> Xu 2017). However, </w:t>
      </w:r>
      <w:r>
        <w:rPr>
          <w:i/>
        </w:rPr>
        <w:t>OsCCT01</w:t>
      </w:r>
      <w:r>
        <w:t xml:space="preserve"> (</w:t>
      </w:r>
      <w:r>
        <w:rPr>
          <w:i/>
        </w:rPr>
        <w:t>OsCMF1</w:t>
      </w:r>
      <w:r>
        <w:t xml:space="preserve">) form rice is the only characterized Clade 4 member to date, with overexpression delaying flowering under short day (SD) and long day (LD) </w:t>
      </w:r>
      <w:proofErr w:type="gramStart"/>
      <w:r>
        <w:t>photoperiods</w:t>
      </w:r>
      <w:proofErr w:type="gramEnd"/>
      <w:r>
        <w:t xml:space="preserve"> (Zhang et al. 2015). (2) Also in the QTL region is a Zinc finger CCCH domain gene. This gene family is known to play a role in many developmental and environmental response </w:t>
      </w:r>
      <w:proofErr w:type="gramStart"/>
      <w:r>
        <w:t>pathways, and</w:t>
      </w:r>
      <w:proofErr w:type="gramEnd"/>
      <w:r>
        <w:t xml:space="preserve"> are known to affect flowering in </w:t>
      </w:r>
      <w:r w:rsidR="00CB7227">
        <w:t>A</w:t>
      </w:r>
      <w:r>
        <w:t xml:space="preserve">rabidopsis (Seok </w:t>
      </w:r>
      <w:r w:rsidRPr="006A3A0A">
        <w:rPr>
          <w:iCs/>
        </w:rPr>
        <w:t>et al.</w:t>
      </w:r>
      <w:r>
        <w:t xml:space="preserve"> 2016). The rice </w:t>
      </w:r>
      <w:r>
        <w:rPr>
          <w:i/>
        </w:rPr>
        <w:t>Early heading date 4</w:t>
      </w:r>
      <w:r>
        <w:t xml:space="preserve"> (</w:t>
      </w:r>
      <w:r>
        <w:rPr>
          <w:i/>
        </w:rPr>
        <w:t>Edh4</w:t>
      </w:r>
      <w:r>
        <w:t xml:space="preserve">) locus, which controls LD and SD photoperiod response independent of the pathway mediated by the CO homologue </w:t>
      </w:r>
      <w:r>
        <w:rPr>
          <w:i/>
        </w:rPr>
        <w:t>Heading date 1</w:t>
      </w:r>
      <w:r>
        <w:t xml:space="preserve"> (</w:t>
      </w:r>
      <w:r>
        <w:rPr>
          <w:i/>
        </w:rPr>
        <w:t>Hd1</w:t>
      </w:r>
      <w:r>
        <w:t xml:space="preserve">), encodes a CCCH-type zinc finger protein (Gao </w:t>
      </w:r>
      <w:r w:rsidRPr="006A3A0A">
        <w:rPr>
          <w:iCs/>
        </w:rPr>
        <w:t>et al</w:t>
      </w:r>
      <w:r>
        <w:t xml:space="preserve">. 2013). </w:t>
      </w:r>
    </w:p>
    <w:p w14:paraId="016CA4B7" w14:textId="77777777" w:rsidR="00F77EDB" w:rsidRDefault="00F77EDB" w:rsidP="00F77ED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</w:pPr>
    </w:p>
    <w:p w14:paraId="3FF7A4BF" w14:textId="77777777" w:rsidR="00F77EDB" w:rsidRDefault="00F77EDB" w:rsidP="00F77EDB">
      <w:pPr>
        <w:jc w:val="both"/>
        <w:rPr>
          <w:i/>
        </w:rPr>
      </w:pPr>
      <w:r>
        <w:rPr>
          <w:i/>
        </w:rPr>
        <w:t>Additional candidate genes for QFt.niab-4A.03 and QFt.niab-4B.01</w:t>
      </w:r>
    </w:p>
    <w:p w14:paraId="1A7809EF" w14:textId="6723547F" w:rsidR="00F77EDB" w:rsidRDefault="00F77EDB" w:rsidP="00F77EDB">
      <w:pPr>
        <w:jc w:val="both"/>
      </w:pPr>
      <w:r>
        <w:t xml:space="preserve">Three additional candidate genes are considered here: (1) Two tandemly duplicated </w:t>
      </w:r>
      <w:r>
        <w:rPr>
          <w:i/>
        </w:rPr>
        <w:t>FLOWERING PROMOTOR FACTOR 1</w:t>
      </w:r>
      <w:r>
        <w:t xml:space="preserve"> (</w:t>
      </w:r>
      <w:r>
        <w:rPr>
          <w:i/>
        </w:rPr>
        <w:t>FPF1</w:t>
      </w:r>
      <w:r>
        <w:t xml:space="preserve">) genes. Transgenic studies have shown that </w:t>
      </w:r>
      <w:r>
        <w:rPr>
          <w:i/>
        </w:rPr>
        <w:t>FPF1</w:t>
      </w:r>
      <w:r>
        <w:t xml:space="preserve"> promotes flowering in Arabidopsis (Kania </w:t>
      </w:r>
      <w:r w:rsidRPr="006A3A0A">
        <w:rPr>
          <w:iCs/>
        </w:rPr>
        <w:t>et al</w:t>
      </w:r>
      <w:r>
        <w:t xml:space="preserve">. 1997; Melzer </w:t>
      </w:r>
      <w:r w:rsidRPr="006A3A0A">
        <w:rPr>
          <w:iCs/>
        </w:rPr>
        <w:t>et al</w:t>
      </w:r>
      <w:r>
        <w:t xml:space="preserve">. 2002) and that heterologous constitutive expression of </w:t>
      </w:r>
      <w:r>
        <w:rPr>
          <w:i/>
        </w:rPr>
        <w:t>FPF1</w:t>
      </w:r>
      <w:r>
        <w:t xml:space="preserve"> in rice reduces time to flowering (Xu et al. 2005). (2) MADS box transcription factor </w:t>
      </w:r>
      <w:r>
        <w:rPr>
          <w:i/>
        </w:rPr>
        <w:t>TraesCS4B02G302600</w:t>
      </w:r>
      <w:r>
        <w:t xml:space="preserve"> was found to belong to the </w:t>
      </w:r>
      <w:r>
        <w:rPr>
          <w:i/>
        </w:rPr>
        <w:t>SHORT VEGETATIVE PHASE</w:t>
      </w:r>
      <w:r>
        <w:t xml:space="preserve"> (</w:t>
      </w:r>
      <w:r>
        <w:rPr>
          <w:i/>
        </w:rPr>
        <w:t>SVP</w:t>
      </w:r>
      <w:r>
        <w:t xml:space="preserve">) family. In </w:t>
      </w:r>
      <w:r w:rsidR="00CB7227">
        <w:t>A</w:t>
      </w:r>
      <w:r>
        <w:t xml:space="preserve">rabidopsis, the SVP family genes </w:t>
      </w:r>
      <w:r>
        <w:rPr>
          <w:i/>
        </w:rPr>
        <w:t>AGAMOUS LIKE 24</w:t>
      </w:r>
      <w:r>
        <w:t xml:space="preserve"> (</w:t>
      </w:r>
      <w:r>
        <w:rPr>
          <w:i/>
        </w:rPr>
        <w:t>AGL24</w:t>
      </w:r>
      <w:r>
        <w:t xml:space="preserve">) and SVP regulate floral transition and floral meristem identity via modulation of the MADS-box genes </w:t>
      </w:r>
      <w:r>
        <w:rPr>
          <w:i/>
        </w:rPr>
        <w:t>APETALA 1</w:t>
      </w:r>
      <w:r>
        <w:t xml:space="preserve"> (</w:t>
      </w:r>
      <w:r>
        <w:rPr>
          <w:i/>
        </w:rPr>
        <w:t>AP1</w:t>
      </w:r>
      <w:r>
        <w:t xml:space="preserve">), </w:t>
      </w:r>
      <w:r>
        <w:rPr>
          <w:i/>
        </w:rPr>
        <w:t>CAULIFLOWER</w:t>
      </w:r>
      <w:r>
        <w:t xml:space="preserve"> (</w:t>
      </w:r>
      <w:r>
        <w:rPr>
          <w:i/>
        </w:rPr>
        <w:t>CAL</w:t>
      </w:r>
      <w:r>
        <w:t xml:space="preserve">) and </w:t>
      </w:r>
      <w:r>
        <w:rPr>
          <w:i/>
        </w:rPr>
        <w:t>FRUITFUL</w:t>
      </w:r>
      <w:r>
        <w:t xml:space="preserve"> (</w:t>
      </w:r>
      <w:r>
        <w:rPr>
          <w:i/>
        </w:rPr>
        <w:t>FUL</w:t>
      </w:r>
      <w:r>
        <w:t>) (</w:t>
      </w:r>
      <w:proofErr w:type="spellStart"/>
      <w:r>
        <w:t>Ferrandiz</w:t>
      </w:r>
      <w:proofErr w:type="spellEnd"/>
      <w:r>
        <w:t xml:space="preserve"> </w:t>
      </w:r>
      <w:r w:rsidRPr="006A3A0A">
        <w:rPr>
          <w:iCs/>
        </w:rPr>
        <w:t>et al.</w:t>
      </w:r>
      <w:r>
        <w:t xml:space="preserve"> 2000; Wigge </w:t>
      </w:r>
      <w:r w:rsidRPr="006A3A0A">
        <w:rPr>
          <w:iCs/>
        </w:rPr>
        <w:t>et al</w:t>
      </w:r>
      <w:r>
        <w:t xml:space="preserve">. 2005; Grandi </w:t>
      </w:r>
      <w:r w:rsidRPr="006A3A0A">
        <w:rPr>
          <w:iCs/>
        </w:rPr>
        <w:t>et al</w:t>
      </w:r>
      <w:r>
        <w:t xml:space="preserve">. 2012; Jaeger </w:t>
      </w:r>
      <w:r w:rsidRPr="006A3A0A">
        <w:rPr>
          <w:iCs/>
        </w:rPr>
        <w:t>et al</w:t>
      </w:r>
      <w:r>
        <w:t xml:space="preserve">. 2013). The wheat gene is orthologous to </w:t>
      </w:r>
      <w:r>
        <w:rPr>
          <w:i/>
        </w:rPr>
        <w:t>OsMADS47</w:t>
      </w:r>
      <w:r>
        <w:t xml:space="preserve">, which together with </w:t>
      </w:r>
      <w:r>
        <w:rPr>
          <w:i/>
        </w:rPr>
        <w:t>OsMADS22</w:t>
      </w:r>
      <w:r>
        <w:t xml:space="preserve"> and </w:t>
      </w:r>
      <w:r>
        <w:rPr>
          <w:i/>
        </w:rPr>
        <w:t>OsMADS55</w:t>
      </w:r>
      <w:r>
        <w:t xml:space="preserve">, belong to the SPV family in rice. Overexpression of </w:t>
      </w:r>
      <w:r>
        <w:rPr>
          <w:i/>
        </w:rPr>
        <w:t xml:space="preserve">OsMADS22 </w:t>
      </w:r>
      <w:r>
        <w:t>induces spikelet meristem indeterminacy (</w:t>
      </w:r>
      <w:proofErr w:type="spellStart"/>
      <w:r>
        <w:t>Sentoku</w:t>
      </w:r>
      <w:proofErr w:type="spellEnd"/>
      <w:r>
        <w:t xml:space="preserve"> </w:t>
      </w:r>
      <w:r w:rsidRPr="006A3A0A">
        <w:rPr>
          <w:iCs/>
        </w:rPr>
        <w:t>et al</w:t>
      </w:r>
      <w:r>
        <w:t xml:space="preserve">. 2005), while heterologous constitutive expression of </w:t>
      </w:r>
      <w:r>
        <w:rPr>
          <w:i/>
        </w:rPr>
        <w:t>OsMADS47</w:t>
      </w:r>
      <w:r>
        <w:t xml:space="preserve"> and </w:t>
      </w:r>
      <w:r>
        <w:rPr>
          <w:i/>
        </w:rPr>
        <w:t>OsMADS55</w:t>
      </w:r>
      <w:r>
        <w:t xml:space="preserve"> in </w:t>
      </w:r>
      <w:r w:rsidR="00CB7227">
        <w:t>A</w:t>
      </w:r>
      <w:r>
        <w:t xml:space="preserve">rabidopsis promotes vegetative development (Fornara </w:t>
      </w:r>
      <w:r w:rsidRPr="006A3A0A">
        <w:rPr>
          <w:iCs/>
        </w:rPr>
        <w:t>et al</w:t>
      </w:r>
      <w:r>
        <w:t xml:space="preserve">. 2008). </w:t>
      </w:r>
    </w:p>
    <w:p w14:paraId="0A21CCE6" w14:textId="77777777" w:rsidR="00F77EDB" w:rsidRDefault="00F77EDB" w:rsidP="00F77ED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b/>
        </w:rPr>
      </w:pPr>
    </w:p>
    <w:p w14:paraId="4DBE5A70" w14:textId="77777777" w:rsidR="00F77EDB" w:rsidRDefault="00F77EDB" w:rsidP="00F77ED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/>
        <w:ind w:left="280"/>
        <w:jc w:val="both"/>
        <w:rPr>
          <w:b/>
        </w:rPr>
      </w:pPr>
      <w:r>
        <w:rPr>
          <w:b/>
        </w:rPr>
        <w:t>Supplementary references</w:t>
      </w:r>
    </w:p>
    <w:p w14:paraId="1AA04E16" w14:textId="77777777" w:rsidR="00F77EDB" w:rsidRDefault="00F77EDB" w:rsidP="00F77EDB">
      <w:pPr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/>
        <w:ind w:left="280"/>
        <w:jc w:val="both"/>
      </w:pPr>
      <w:proofErr w:type="spellStart"/>
      <w:r>
        <w:t>Ferrandiz</w:t>
      </w:r>
      <w:proofErr w:type="spellEnd"/>
      <w:r>
        <w:t xml:space="preserve"> C, Gu Q, </w:t>
      </w:r>
      <w:proofErr w:type="spellStart"/>
      <w:r>
        <w:t>Martienssen</w:t>
      </w:r>
      <w:proofErr w:type="spellEnd"/>
      <w:r>
        <w:t xml:space="preserve"> R, Yanofsky MF (2000) Redundant regulation of meristem identity and plant architecture by </w:t>
      </w:r>
      <w:r>
        <w:rPr>
          <w:i/>
        </w:rPr>
        <w:t>FRUITFULL</w:t>
      </w:r>
      <w:r>
        <w:t xml:space="preserve">, </w:t>
      </w:r>
      <w:r>
        <w:rPr>
          <w:i/>
        </w:rPr>
        <w:t xml:space="preserve">APETALA1 </w:t>
      </w:r>
      <w:r>
        <w:t xml:space="preserve">and </w:t>
      </w:r>
      <w:r>
        <w:rPr>
          <w:i/>
        </w:rPr>
        <w:t>CAULIFLOWER</w:t>
      </w:r>
      <w:r>
        <w:t xml:space="preserve">. </w:t>
      </w:r>
      <w:r w:rsidRPr="006A3A0A">
        <w:t>Development</w:t>
      </w:r>
      <w:r>
        <w:t xml:space="preserve"> 127: 725-734.</w:t>
      </w:r>
    </w:p>
    <w:p w14:paraId="12E05BD7" w14:textId="77777777" w:rsidR="00F77EDB" w:rsidRDefault="00F77EDB" w:rsidP="00F77EDB">
      <w:pPr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/>
        <w:ind w:left="280"/>
        <w:jc w:val="both"/>
      </w:pPr>
      <w:r>
        <w:t xml:space="preserve">Fornara F, Gregis V, </w:t>
      </w:r>
      <w:proofErr w:type="spellStart"/>
      <w:r>
        <w:t>Pelucchi</w:t>
      </w:r>
      <w:proofErr w:type="spellEnd"/>
      <w:r>
        <w:t xml:space="preserve"> N, Colombo L, Kater M (2008) The rice </w:t>
      </w:r>
      <w:r>
        <w:rPr>
          <w:i/>
        </w:rPr>
        <w:t>StMADS11-</w:t>
      </w:r>
      <w:r>
        <w:t xml:space="preserve">like genes </w:t>
      </w:r>
      <w:r>
        <w:rPr>
          <w:i/>
        </w:rPr>
        <w:t xml:space="preserve">OsMADS22 </w:t>
      </w:r>
      <w:r>
        <w:t xml:space="preserve">and </w:t>
      </w:r>
      <w:r>
        <w:rPr>
          <w:i/>
        </w:rPr>
        <w:t xml:space="preserve">OsMADS47 </w:t>
      </w:r>
      <w:r>
        <w:t xml:space="preserve">cause floral reversions in </w:t>
      </w:r>
      <w:r>
        <w:rPr>
          <w:i/>
        </w:rPr>
        <w:t xml:space="preserve">Arabidopsis </w:t>
      </w:r>
      <w:r>
        <w:t xml:space="preserve">without complementing the </w:t>
      </w:r>
      <w:proofErr w:type="spellStart"/>
      <w:r>
        <w:rPr>
          <w:i/>
        </w:rPr>
        <w:t>svp</w:t>
      </w:r>
      <w:proofErr w:type="spellEnd"/>
      <w:r>
        <w:t xml:space="preserve"> and </w:t>
      </w:r>
      <w:r>
        <w:rPr>
          <w:i/>
        </w:rPr>
        <w:t>agl24</w:t>
      </w:r>
      <w:r>
        <w:t xml:space="preserve"> mutants. </w:t>
      </w:r>
      <w:r w:rsidRPr="006A3A0A">
        <w:t>Journal of Experimental Botany</w:t>
      </w:r>
      <w:r>
        <w:t xml:space="preserve"> 59: 2191-2190.</w:t>
      </w:r>
    </w:p>
    <w:p w14:paraId="44300346" w14:textId="77777777" w:rsidR="00F77EDB" w:rsidRDefault="00F77EDB" w:rsidP="00F77EDB">
      <w:pPr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/>
        <w:ind w:left="280"/>
        <w:jc w:val="both"/>
      </w:pPr>
      <w:r>
        <w:t xml:space="preserve">Gao H, Zheng X-M, Fei G, Chen J, Jin M, Ren Y, Wu W, Zhou K, Sheng P, Zhou F, Jiang L, Wang J, Zhang X, Guo X, Wang J-L, Cheng Z, Wu C, Wang H, Wan J-M (2013) </w:t>
      </w:r>
      <w:r>
        <w:rPr>
          <w:i/>
        </w:rPr>
        <w:t xml:space="preserve">Edh4 </w:t>
      </w:r>
      <w:r>
        <w:t xml:space="preserve">encodes a novel and </w:t>
      </w:r>
      <w:r>
        <w:rPr>
          <w:i/>
        </w:rPr>
        <w:t>Oryza</w:t>
      </w:r>
      <w:r>
        <w:t xml:space="preserve">-genus specific regulator of photoperiodic flowering in rice. </w:t>
      </w:r>
      <w:proofErr w:type="spellStart"/>
      <w:r w:rsidRPr="006A3A0A">
        <w:t>PLoS</w:t>
      </w:r>
      <w:proofErr w:type="spellEnd"/>
      <w:r w:rsidRPr="006A3A0A">
        <w:t xml:space="preserve"> Genetic</w:t>
      </w:r>
      <w:r w:rsidRPr="00CB7227">
        <w:rPr>
          <w:i/>
          <w:iCs/>
        </w:rPr>
        <w:t>s</w:t>
      </w:r>
      <w:r>
        <w:t xml:space="preserve"> 9: e1003281.</w:t>
      </w:r>
    </w:p>
    <w:p w14:paraId="00FA68CE" w14:textId="77777777" w:rsidR="00F77EDB" w:rsidRDefault="00F77EDB" w:rsidP="00F77EDB">
      <w:pPr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/>
        <w:ind w:left="280"/>
        <w:jc w:val="both"/>
      </w:pPr>
      <w:r>
        <w:lastRenderedPageBreak/>
        <w:t xml:space="preserve">Grandi V, Gregis V, Kater MM (2012) Uncovering genetic and molecular interactions among floral meristem identity genes in </w:t>
      </w:r>
      <w:r>
        <w:rPr>
          <w:i/>
        </w:rPr>
        <w:t>Arabidopsis thaliana</w:t>
      </w:r>
      <w:r>
        <w:t xml:space="preserve">. </w:t>
      </w:r>
      <w:r w:rsidRPr="006A3A0A">
        <w:t>Plant Journal</w:t>
      </w:r>
      <w:r>
        <w:t xml:space="preserve"> 69: 881-893.</w:t>
      </w:r>
    </w:p>
    <w:p w14:paraId="2193482E" w14:textId="77777777" w:rsidR="00F77EDB" w:rsidRDefault="00F77EDB" w:rsidP="00F77EDB">
      <w:pPr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/>
        <w:ind w:left="280"/>
        <w:jc w:val="both"/>
      </w:pPr>
      <w:r>
        <w:t xml:space="preserve">Jaeger KE, Pullen N, </w:t>
      </w:r>
      <w:proofErr w:type="spellStart"/>
      <w:r>
        <w:t>Lamzin</w:t>
      </w:r>
      <w:proofErr w:type="spellEnd"/>
      <w:r>
        <w:t xml:space="preserve"> S, Morris RJ, Wigge PA (2013) Interlocking feedback loops govern the dynamic behavior of the floral transition in </w:t>
      </w:r>
      <w:r>
        <w:rPr>
          <w:i/>
        </w:rPr>
        <w:t>Arabidopsis</w:t>
      </w:r>
      <w:r>
        <w:t xml:space="preserve">. </w:t>
      </w:r>
      <w:r w:rsidRPr="006A3A0A">
        <w:t>Plant Cell</w:t>
      </w:r>
      <w:r>
        <w:t xml:space="preserve"> 25: 820-833. </w:t>
      </w:r>
    </w:p>
    <w:p w14:paraId="2A44E009" w14:textId="77777777" w:rsidR="00F77EDB" w:rsidRDefault="00F77EDB" w:rsidP="00F77EDB">
      <w:pPr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/>
        <w:ind w:left="280"/>
        <w:jc w:val="both"/>
      </w:pPr>
      <w:r>
        <w:t xml:space="preserve">Kania T, Russenberger D, Peng S, Melzer S (1997) </w:t>
      </w:r>
      <w:r>
        <w:rPr>
          <w:i/>
        </w:rPr>
        <w:t xml:space="preserve">FPP1 </w:t>
      </w:r>
      <w:r>
        <w:t xml:space="preserve">promotes flowering in Arabidopsis. </w:t>
      </w:r>
      <w:r w:rsidRPr="006A3A0A">
        <w:t>Plant Cell</w:t>
      </w:r>
      <w:r>
        <w:t xml:space="preserve"> 9: 1327-1338.</w:t>
      </w:r>
    </w:p>
    <w:p w14:paraId="2F5377A6" w14:textId="77777777" w:rsidR="00F77EDB" w:rsidRDefault="00F77EDB" w:rsidP="00F77EDB">
      <w:pPr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/>
        <w:ind w:left="280"/>
        <w:jc w:val="both"/>
      </w:pPr>
      <w:r>
        <w:t xml:space="preserve">Li Y, Xu M (2017) CCT family genes in cereal crops: a current overview. </w:t>
      </w:r>
      <w:r w:rsidRPr="006A3A0A">
        <w:t>The Crop Journal</w:t>
      </w:r>
      <w:r>
        <w:t xml:space="preserve"> 6: 449-458.</w:t>
      </w:r>
    </w:p>
    <w:p w14:paraId="3021EA3E" w14:textId="77777777" w:rsidR="00F77EDB" w:rsidRDefault="00F77EDB" w:rsidP="00F77EDB">
      <w:pPr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/>
        <w:ind w:left="280"/>
        <w:jc w:val="both"/>
      </w:pPr>
      <w:r>
        <w:t xml:space="preserve">Melzer S, Kampmann G, Chandler J, Apel K (2002) </w:t>
      </w:r>
      <w:r>
        <w:rPr>
          <w:i/>
        </w:rPr>
        <w:t xml:space="preserve">FPP1 </w:t>
      </w:r>
      <w:r>
        <w:t xml:space="preserve">modulates the competence to flowering in </w:t>
      </w:r>
      <w:r>
        <w:rPr>
          <w:i/>
        </w:rPr>
        <w:t>Arabidopsis</w:t>
      </w:r>
      <w:r>
        <w:t xml:space="preserve">. </w:t>
      </w:r>
      <w:r w:rsidRPr="006A3A0A">
        <w:t>The Plant Journal</w:t>
      </w:r>
      <w:r>
        <w:t xml:space="preserve"> 18: 395-405.</w:t>
      </w:r>
    </w:p>
    <w:p w14:paraId="202420EF" w14:textId="77777777" w:rsidR="00F77EDB" w:rsidRDefault="00F77EDB" w:rsidP="00F77EDB">
      <w:pPr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/>
        <w:ind w:left="280"/>
        <w:jc w:val="both"/>
      </w:pPr>
      <w:r>
        <w:t xml:space="preserve">Seok H-Y, Woo D-H, Park H-Y, Lee S-Y, Tran HT, Lee E-H, Nguyen LV, Moon Y-H (2016) AtC3H17, a non-tandem CCCH zinc finger protein, functions as a nuclear transcriptional activator and has pleiotropic effects on vegetative development, flowering and seed development in Arabidopsis. </w:t>
      </w:r>
      <w:r w:rsidRPr="006A3A0A">
        <w:t>Plant Cell and Physiology</w:t>
      </w:r>
      <w:r>
        <w:t xml:space="preserve"> 57: 603-615.</w:t>
      </w:r>
    </w:p>
    <w:p w14:paraId="251028D6" w14:textId="77777777" w:rsidR="00F77EDB" w:rsidRDefault="00F77EDB" w:rsidP="00F77EDB">
      <w:pPr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/>
        <w:ind w:left="280"/>
        <w:jc w:val="both"/>
      </w:pPr>
      <w:r>
        <w:t xml:space="preserve">Wigge PA, Kim MC, Jaeger KE, et al. (2005) Integration of spatial and temporal information during floral induction in </w:t>
      </w:r>
      <w:r>
        <w:rPr>
          <w:i/>
        </w:rPr>
        <w:t>Arabidopsis</w:t>
      </w:r>
      <w:r>
        <w:t xml:space="preserve">. </w:t>
      </w:r>
      <w:r w:rsidRPr="006A3A0A">
        <w:t>Science</w:t>
      </w:r>
      <w:r>
        <w:t xml:space="preserve"> 309: 1056-1059. </w:t>
      </w:r>
    </w:p>
    <w:p w14:paraId="77FB57D1" w14:textId="77777777" w:rsidR="00F77EDB" w:rsidRDefault="00F77EDB" w:rsidP="00F77EDB">
      <w:pPr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/>
        <w:ind w:left="280"/>
        <w:jc w:val="both"/>
      </w:pPr>
      <w:proofErr w:type="spellStart"/>
      <w:r>
        <w:t>Sentoku</w:t>
      </w:r>
      <w:proofErr w:type="spellEnd"/>
      <w:r>
        <w:t xml:space="preserve"> N, Kato H, </w:t>
      </w:r>
      <w:proofErr w:type="spellStart"/>
      <w:r>
        <w:t>Kitanyo</w:t>
      </w:r>
      <w:proofErr w:type="spellEnd"/>
      <w:r>
        <w:t xml:space="preserve"> H, Imai R (2005) </w:t>
      </w:r>
      <w:r>
        <w:rPr>
          <w:i/>
        </w:rPr>
        <w:t>OsMADS22</w:t>
      </w:r>
      <w:r>
        <w:t xml:space="preserve">, an </w:t>
      </w:r>
      <w:r>
        <w:rPr>
          <w:i/>
        </w:rPr>
        <w:t>STMADS11</w:t>
      </w:r>
      <w:r>
        <w:t xml:space="preserve">-like MADS-box gene of rice, is expressed in non-vegetative tissues and its ectopic expression induces spikelet meristem indeterminacy. </w:t>
      </w:r>
      <w:r w:rsidRPr="006A3A0A">
        <w:t>Molecular Genetics and Genomics</w:t>
      </w:r>
      <w:r>
        <w:t xml:space="preserve"> 273: 1-9.</w:t>
      </w:r>
    </w:p>
    <w:p w14:paraId="0064ECB8" w14:textId="77777777" w:rsidR="00F77EDB" w:rsidRDefault="00F77EDB" w:rsidP="00F77EDB">
      <w:pPr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/>
        <w:ind w:left="280"/>
        <w:jc w:val="both"/>
      </w:pPr>
      <w:r>
        <w:t xml:space="preserve">Xu M-L, Jiang J-F, Ge L, Xu Y-Y, Chen H, Zhao Y, Bi Y-R, Wen J-Q, Chong K (2005) </w:t>
      </w:r>
      <w:r>
        <w:rPr>
          <w:i/>
        </w:rPr>
        <w:t xml:space="preserve">FPF1 </w:t>
      </w:r>
      <w:r>
        <w:t xml:space="preserve">transgene leads to altered flowering time and root development in rice. </w:t>
      </w:r>
      <w:r w:rsidRPr="006A3A0A">
        <w:t xml:space="preserve">Plant Cell Reports </w:t>
      </w:r>
      <w:r>
        <w:t>24: 79-85.</w:t>
      </w:r>
    </w:p>
    <w:p w14:paraId="3ADA0D69" w14:textId="77777777" w:rsidR="00F77EDB" w:rsidRDefault="00F77EDB" w:rsidP="00F77EDB">
      <w:pPr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/>
        <w:ind w:left="280"/>
        <w:jc w:val="both"/>
      </w:pPr>
      <w:r>
        <w:t xml:space="preserve">Zhang L, Li Q, Dong H, He Q, Liang L, Tan C, Han Z, Yao W, Li G, Zhao H, Xie W, Xing Y (2015) Three CCT domain-containing genes were identified to regulate heading date by candidate gene-based association mapping and transformation in rice. </w:t>
      </w:r>
      <w:r w:rsidRPr="006A3A0A">
        <w:t>Scientific Reports</w:t>
      </w:r>
      <w:r>
        <w:t xml:space="preserve"> 5: 7663.</w:t>
      </w:r>
    </w:p>
    <w:p w14:paraId="5A414252" w14:textId="77777777" w:rsidR="00B30FB0" w:rsidRDefault="00B30FB0"/>
    <w:sectPr w:rsidR="00B30F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EDB"/>
    <w:rsid w:val="00046920"/>
    <w:rsid w:val="006A3A0A"/>
    <w:rsid w:val="00836139"/>
    <w:rsid w:val="00B30FB0"/>
    <w:rsid w:val="00CB7227"/>
    <w:rsid w:val="00F7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9069A"/>
  <w15:chartTrackingRefBased/>
  <w15:docId w15:val="{0654E1E9-1972-44A7-A0CE-7D58052E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774</Words>
  <Characters>4340</Characters>
  <Application>Microsoft Office Word</Application>
  <DocSecurity>0</DocSecurity>
  <Lines>100</Lines>
  <Paragraphs>32</Paragraphs>
  <ScaleCrop>false</ScaleCrop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Cockram</dc:creator>
  <cp:keywords/>
  <dc:description/>
  <cp:lastModifiedBy>James Cockram</cp:lastModifiedBy>
  <cp:revision>4</cp:revision>
  <dcterms:created xsi:type="dcterms:W3CDTF">2022-07-05T23:37:00Z</dcterms:created>
  <dcterms:modified xsi:type="dcterms:W3CDTF">2024-11-08T18:02:00Z</dcterms:modified>
</cp:coreProperties>
</file>