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3309F2" w:rsidRDefault="00000000">
      <w:pPr>
        <w:pStyle w:val="Heading2"/>
        <w:spacing w:before="120" w:after="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q49ejizhn8dw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ONLINE RESOURCE </w:t>
      </w:r>
    </w:p>
    <w:p w14:paraId="00000002" w14:textId="77777777" w:rsidR="003309F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File 1</w:t>
      </w:r>
    </w:p>
    <w:p w14:paraId="00000003" w14:textId="77777777" w:rsidR="003309F2" w:rsidRDefault="003309F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3309F2" w:rsidRDefault="003309F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3309F2" w:rsidRDefault="003309F2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0000006" w14:textId="77777777" w:rsidR="003309F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Advancing provitamin A biofortification in sorghum: From allele mining and marker development to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prebreeding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and breeding</w:t>
      </w:r>
    </w:p>
    <w:p w14:paraId="00000007" w14:textId="77777777" w:rsidR="003309F2" w:rsidRDefault="003309F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777777" w:rsidR="003309F2" w:rsidRDefault="003309F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3309F2" w:rsidRDefault="003309F2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000000A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Clara Cruet-Burgos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1,2#</w:t>
      </w:r>
      <w:r>
        <w:rPr>
          <w:rFonts w:ascii="Times New Roman" w:eastAsia="Times New Roman" w:hAnsi="Times New Roman" w:cs="Times New Roman"/>
          <w:sz w:val="24"/>
          <w:szCs w:val="24"/>
        </w:rPr>
        <w:t>, Linly Banda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1#</w:t>
      </w:r>
      <w:r>
        <w:rPr>
          <w:rFonts w:ascii="Times New Roman" w:eastAsia="Times New Roman" w:hAnsi="Times New Roman" w:cs="Times New Roman"/>
          <w:sz w:val="24"/>
          <w:szCs w:val="24"/>
        </w:rPr>
        <w:t>, Jacques M. Faye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 Cyril Diatta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 David Zapata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Geoffrey P. Morris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 and Davina H. Rhodes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0000000B" w14:textId="77777777" w:rsidR="003309F2" w:rsidRDefault="003309F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Department of Horticulture &amp; Landscape Architecture, Colorado State University, Fort Collins, CO 80523, USA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D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Department of Soil &amp; Crop Science, Colorado State University, Fort Collins, CO 80523, USA</w:t>
      </w:r>
    </w:p>
    <w:p w14:paraId="0000000E" w14:textId="77777777" w:rsidR="003309F2" w:rsidRPr="00B77A2C" w:rsidRDefault="00000000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77A2C">
        <w:rPr>
          <w:rFonts w:ascii="Times New Roman" w:eastAsia="Times New Roman" w:hAnsi="Times New Roman" w:cs="Times New Roman"/>
          <w:sz w:val="24"/>
          <w:szCs w:val="24"/>
          <w:vertAlign w:val="superscript"/>
          <w:lang w:val="fr-FR"/>
        </w:rPr>
        <w:t>3</w:t>
      </w:r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B77A2C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Institut Sénégalais de Recherches Agricoles, Centre d’Étude Régional pour l'Amélioration de l'Adaptation à la Sécheresse, Thiès, Sénégal</w:t>
      </w:r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and Centro Internacional de </w:t>
      </w:r>
      <w:proofErr w:type="spellStart"/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>Mejoramiento</w:t>
      </w:r>
      <w:proofErr w:type="spellEnd"/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>Maíz</w:t>
      </w:r>
      <w:proofErr w:type="spellEnd"/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y Trigo (CIMMYT)</w:t>
      </w:r>
    </w:p>
    <w:p w14:paraId="0000000F" w14:textId="77777777" w:rsidR="003309F2" w:rsidRPr="00B77A2C" w:rsidRDefault="00000000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77A2C">
        <w:rPr>
          <w:rFonts w:ascii="Times New Roman" w:eastAsia="Times New Roman" w:hAnsi="Times New Roman" w:cs="Times New Roman"/>
          <w:sz w:val="24"/>
          <w:szCs w:val="24"/>
          <w:vertAlign w:val="superscript"/>
          <w:lang w:val="fr-FR"/>
        </w:rPr>
        <w:t>4</w:t>
      </w:r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B77A2C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 xml:space="preserve">Institut Sénégalais de Recherches Agricoles, Centre d’Étude Régional pour l'Amélioration de l'Adaptation à la Sécheresse, </w:t>
      </w:r>
      <w:r w:rsidRPr="00B77A2C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Centre National de Recherches Agronomiques, </w:t>
      </w:r>
      <w:r w:rsidRPr="00B77A2C">
        <w:rPr>
          <w:rFonts w:ascii="Times New Roman" w:eastAsia="Times New Roman" w:hAnsi="Times New Roman" w:cs="Times New Roman"/>
          <w:sz w:val="24"/>
          <w:szCs w:val="24"/>
          <w:highlight w:val="white"/>
          <w:lang w:val="fr-FR"/>
        </w:rPr>
        <w:t>Bambey, Sénégal</w:t>
      </w:r>
    </w:p>
    <w:p w14:paraId="00000010" w14:textId="77777777" w:rsidR="003309F2" w:rsidRPr="00B77A2C" w:rsidRDefault="003309F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0000011" w14:textId="77777777" w:rsidR="003309F2" w:rsidRPr="00B77A2C" w:rsidRDefault="003309F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0000012" w14:textId="77777777" w:rsidR="003309F2" w:rsidRPr="00B77A2C" w:rsidRDefault="003309F2">
      <w:pPr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0000013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# </w:t>
      </w:r>
      <w:r>
        <w:rPr>
          <w:rFonts w:ascii="Times New Roman" w:eastAsia="Times New Roman" w:hAnsi="Times New Roman" w:cs="Times New Roman"/>
          <w:sz w:val="24"/>
          <w:szCs w:val="24"/>
        </w:rPr>
        <w:t>Equal contributions</w:t>
      </w:r>
    </w:p>
    <w:p w14:paraId="00000014" w14:textId="77777777" w:rsidR="003309F2" w:rsidRDefault="003309F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*Corresponding author: 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</w:rPr>
          <w:t>davina.rhodes@colostate.edu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ORCID 0000-0003-2140-1519</w:t>
      </w:r>
    </w:p>
    <w:p w14:paraId="00000016" w14:textId="77777777" w:rsidR="003309F2" w:rsidRDefault="00000000">
      <w:pPr>
        <w:pStyle w:val="Heading2"/>
        <w:spacing w:before="120" w:after="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ae6dei8reu6c" w:colFirst="0" w:colLast="0"/>
      <w:bookmarkEnd w:id="1"/>
      <w:r>
        <w:br w:type="page"/>
      </w:r>
    </w:p>
    <w:p w14:paraId="00000017" w14:textId="77777777" w:rsidR="003309F2" w:rsidRDefault="00000000">
      <w:pPr>
        <w:pStyle w:val="Heading2"/>
        <w:spacing w:before="120" w:after="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1fk3ml7kuta3" w:colFirst="0" w:colLast="0"/>
      <w:bookmarkEnd w:id="2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Extraction and Quantification of Provitamin A carotenoids - Method I*</w:t>
      </w:r>
    </w:p>
    <w:p w14:paraId="00000018" w14:textId="2A9DAA83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Briefly, 20 mg of the sorghum flour was obtained from grinding approximately five grains using a Bead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Ruptor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Elite (Omni International, Kennesaw, GA). Flour was transferred to a 1.5 mL tube along with 20 mg of ascorbic acid and 400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1 mg/mL of butylated hydroxytoluene (BHT) in ethanol. Samples were vortexed for 1 minute and incubated for 5 minutes in a water bath at 80 °C. Next,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a solution of potassium hydroxide (80% w/v, in water) was added and the tubes vortexed for 1 minute. Samples were incubated again at 80 °C for 15 minutes, with mixing every 5 minutes. Following incubation, the samples were brought to room temperature and centrifuged for 5 minutes at 1900 x g. The supernatant was transferred to a new 1.5 mL tube and an additional 400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absolute ethanol with 1 mg/mL of BHT was added to the residue. The tube with residue was then vortexed for 1 minute and centrifuged for 5 minutes at 1900 x </w:t>
      </w:r>
      <w:r w:rsidR="00B77A2C">
        <w:rPr>
          <w:rFonts w:ascii="Times New Roman" w:eastAsia="Times New Roman" w:hAnsi="Times New Roman" w:cs="Times New Roman"/>
          <w:sz w:val="24"/>
          <w:szCs w:val="24"/>
        </w:rPr>
        <w:t>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After centrifugation, the supernatant was combined with the previous extract, vortexed for 30 seconds and centrifuged for 5 minutes at 5000 x g. The combined supernatant was then transferred to a new 1.5mL Eppendorf tube and evaporated to dryness under a gentle 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stream at room temperature. Finally, the residue was reconstituted in 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Ethanol:Ethyl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Acetate (1:1 v/v) and centrifuged for 5 minutes at 5000 x g. An aliquot of 40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clear supernatant was utilized for the HPLC analysis.  </w:t>
      </w:r>
    </w:p>
    <w:p w14:paraId="00000019" w14:textId="73B6DC24" w:rsidR="003309F2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Resolution of lutein and zeaxanthin was conducted using a Perkin Elmer LC 300 UHPLC (Waltham, Massachusetts), attached to a photodiode array detector (PDA). A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aliquot of extract was injected into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Zorbax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SB-CN column (2.1x100mm 3.5um</w:t>
      </w:r>
      <w:r>
        <w:rPr>
          <w:rFonts w:ascii="Roboto" w:eastAsia="Roboto" w:hAnsi="Roboto" w:cs="Roboto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Agilent Technologies, California, U.S‎</w:t>
      </w:r>
      <w:r w:rsidR="00B77A2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Mobile phase A consisted of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water:methanol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1:1 v/v, and mobile phase B consisted </w:t>
      </w:r>
      <w:r w:rsidR="00B77A2C">
        <w:rPr>
          <w:rFonts w:ascii="Times New Roman" w:eastAsia="Times New Roman" w:hAnsi="Times New Roman" w:cs="Times New Roman"/>
          <w:sz w:val="24"/>
          <w:szCs w:val="24"/>
        </w:rPr>
        <w:t>of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0.1% formic acid in acetonitrile. Carotenoids were resolved using a low of 0.4 mL/minute and the following gradient: 55 % A and 45 % B for 0.5 min, 15.6 % A and 84.4 % B for 5.5 minutes, 5 % A and 95 % B for 0.2 minute, and a final 6.8 minutes of 55 % A and 45 % B making a total 13 minutes. The carotenoids were detected at 445 nm by applying six-point standard curves for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β-carotene,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β-cryptoxanthin, α-carotene,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zeaxanthin, and lutein ranging from 0.063 to 2 µg/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mL.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Carotenoid concentrations were then calculated using a linear regression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where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concentration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area of the six-point standard curve/areas of IS. The regression equation and correlation coefficient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) were obtained.</w:t>
      </w:r>
    </w:p>
    <w:p w14:paraId="0000001A" w14:textId="77777777" w:rsidR="003309F2" w:rsidRDefault="003309F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3309F2" w:rsidRDefault="003309F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3309F2" w:rsidRDefault="00000000">
      <w:pPr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Extraction and Quantification of Provitamin A carotenoids - Method II*</w:t>
      </w:r>
    </w:p>
    <w:p w14:paraId="0000001D" w14:textId="77777777" w:rsidR="003309F2" w:rsidRPr="00B77A2C" w:rsidRDefault="00000000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Method II was optimized for the extraction and quantification of provitamin A carotenoids, which are present in very low concentrations in sorghum grain, making them more difficult to detect. β-carotene is the provitamin A carotenoid present in the highest concentrations in the grain. Since β-carotene is undetectable in low carotenoid sorghum lines, and due to the high cost and low-throughput of HPLC, β-carotene was only measured in the family with the highest total carotenoids, identified using Method I. In addition to β-carotene, lutein and zeaxanthin were also measured with Method II, to confirm correlation between Method I and Method II. Carotenoid </w:t>
      </w:r>
      <w:r w:rsidRPr="00B77A2C">
        <w:rPr>
          <w:rFonts w:asciiTheme="majorBidi" w:eastAsia="Times New Roman" w:hAnsiTheme="majorBidi" w:cstheme="majorBidi"/>
          <w:sz w:val="24"/>
          <w:szCs w:val="24"/>
        </w:rPr>
        <w:t>extractions from grain of 249 F</w:t>
      </w:r>
      <w:r w:rsidRPr="00B77A2C">
        <w:rPr>
          <w:rFonts w:asciiTheme="majorBidi" w:eastAsia="Times New Roman" w:hAnsiTheme="majorBidi" w:cstheme="majorBidi"/>
          <w:sz w:val="24"/>
          <w:szCs w:val="24"/>
          <w:vertAlign w:val="subscript"/>
        </w:rPr>
        <w:t>2:3</w:t>
      </w:r>
      <w:r w:rsidRPr="00B77A2C">
        <w:rPr>
          <w:rFonts w:asciiTheme="majorBidi" w:eastAsia="Arial Unicode MS" w:hAnsiTheme="majorBidi" w:cstheme="majorBidi"/>
          <w:sz w:val="24"/>
          <w:szCs w:val="24"/>
        </w:rPr>
        <w:t xml:space="preserve"> lines from family 1 (PI585348 </w:t>
      </w:r>
      <w:r w:rsidRPr="00B77A2C">
        <w:rPr>
          <w:rFonts w:ascii="Segoe UI Symbol" w:eastAsia="Arial Unicode MS" w:hAnsi="Segoe UI Symbol" w:cs="Segoe UI Symbol"/>
          <w:sz w:val="24"/>
          <w:szCs w:val="24"/>
        </w:rPr>
        <w:t>✕</w:t>
      </w:r>
      <w:r w:rsidRPr="00B77A2C">
        <w:rPr>
          <w:rFonts w:asciiTheme="majorBidi" w:eastAsia="Arial Unicode MS" w:hAnsiTheme="majorBidi" w:cstheme="majorBidi"/>
          <w:sz w:val="24"/>
          <w:szCs w:val="24"/>
        </w:rPr>
        <w:t xml:space="preserve"> PI585369) were carried out </w:t>
      </w:r>
      <w:r w:rsidRPr="00B77A2C">
        <w:rPr>
          <w:rFonts w:asciiTheme="majorBidi" w:eastAsia="Arial Unicode MS" w:hAnsiTheme="majorBidi" w:cstheme="majorBidi"/>
          <w:sz w:val="24"/>
          <w:szCs w:val="24"/>
        </w:rPr>
        <w:lastRenderedPageBreak/>
        <w:t xml:space="preserve">under yellow light. Seeds from one panicle per line were ground together for analysis of the individual lines and three replicates per ground panicle were analyzed for carotenoid content. </w:t>
      </w:r>
    </w:p>
    <w:p w14:paraId="0000001E" w14:textId="77777777" w:rsidR="003309F2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77A2C">
        <w:rPr>
          <w:rFonts w:asciiTheme="majorBidi" w:eastAsia="Times New Roman" w:hAnsiTheme="majorBidi" w:cstheme="majorBidi"/>
          <w:sz w:val="24"/>
          <w:szCs w:val="24"/>
        </w:rPr>
        <w:t xml:space="preserve">Briefly, frozen grain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samples were ground into powder using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stainless steel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analytical mill (IKA A11 basic), and 300 ± 0.05 mg of flour was weighed in a 2 mL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screw-cap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microtube. The extraction solvent containing 0.1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/mL of retinyl palmitate (internal standard) and 0.01% butylated hydroxytoluene (BHT) in ethyl acetate: acetone: ethanol (1:1:1, v/v/v), and two stainless steel beads were added to the micro tube. The tubes were placed into a homogenizer (Omni Bead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Ruptor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24 Elite) for 2 cycles of 2.5 minutes at 2.6 m/s, with a brief pause of 25 seconds in between. The samples were then centrifuged for 4 minutes at 18213 x g, and the supernatant was transferred into a 1.5 mL Eppendorf tube. The extraction was repeated from the pellet with 700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methyl tert-butyl ether (MTBE).  The combined supernatant was mixed, centrifuged for 30 seconds at 18213 x g, and transferred into a new 2 mL screw-cap self-standing microtube. The samples were concentrated to dryness under a gentle stream of N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room temperature. The residues were reconstituted in 250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ethyl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acetate:ethanol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(50:50 v/v), vortexed, and centrifuged for 30 seconds at 18213 x g. An 80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aliquot of the extract was transferred into an insert housed in an amber HPLC vial.</w:t>
      </w:r>
    </w:p>
    <w:p w14:paraId="0000001F" w14:textId="254B4219" w:rsidR="003309F2" w:rsidRDefault="00000000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carotenoids were quantified using HPLC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Flexar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(PerkinElmer, United States), attached to a photodiode array detector (PDA). Briefly, a 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aliquot of sample was injected through a C30 column (150 x 2 mm I.D. S-3 µm; YMC American, Inc.) at 35 °C for the carotenoid separation. The autosampler was maintained at 7 °C. Mobile phase A consisted of 95% methanol: 1.0 M ammonium acetate (98:2 v/v), and mobile phase B of MTBE, methanol, and 1.5% ammonium acetate (90:8:2, v/v/v). Carotenoids were resolved using a flow of 0.48 mL/minute with the following gradient: 100 % A for 3 minutes, 20 % A and 80 % B for 1.5 minutes, 100 % B for 2.5 minutes, back to 100 % A for the final 6 minutes, making a total 13 minutes. The internal standard was quantified at 325 nm, and carotenoids were detected at 450nm. Quantification was performed using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TotalChrom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Navigator Version 6.3.4. Samples and standard data were normalized, and the concentrations were calculated using the calibration curve of the corresponding standard as a reference. Five-point external standard curves were constructed from the standard mix ranging from 0.25 to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mLfor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lutein, </w:t>
      </w:r>
      <w:r w:rsidR="00B77A2C">
        <w:rPr>
          <w:rFonts w:ascii="Times New Roman" w:eastAsia="Times New Roman" w:hAnsi="Times New Roman" w:cs="Times New Roman"/>
          <w:sz w:val="24"/>
          <w:szCs w:val="24"/>
        </w:rPr>
        <w:t>zeaxanthin, 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-cryptoxanthin, and α-carotene, whereas from 0.1 to 2.5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/mL for β-carotene. Carotenoid concentrations were determined by linear regression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where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concentration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peak area relative to the internal standard, using the regression equation and correlation coefficient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of each five-point curve. </w:t>
      </w:r>
    </w:p>
    <w:p w14:paraId="00000020" w14:textId="77777777" w:rsidR="003309F2" w:rsidRDefault="003309F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3309F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 A reference sample of corn grits was measured with both methods to determine the accuracy, Method 1 detected 3.5 - 4.9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/g of lutein  and 5.0 - 8.0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/g of zeaxanthin while method 2 detected 7.8 - 8.3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/g lutein, 10.2 - 10.6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/g zeaxanthin, and 0.9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/g of 𝛽-carotene, making a total carotenoid content of 19.8 against a known range of 20 - 25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/g. It was thus concluded that Method II was more accurate.</w:t>
      </w:r>
    </w:p>
    <w:p w14:paraId="00000022" w14:textId="77777777" w:rsidR="003309F2" w:rsidRDefault="003309F2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3309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F2B0" w14:textId="77777777" w:rsidR="00375005" w:rsidRDefault="00375005" w:rsidP="00B77A2C">
      <w:pPr>
        <w:spacing w:line="240" w:lineRule="auto"/>
      </w:pPr>
      <w:r>
        <w:separator/>
      </w:r>
    </w:p>
  </w:endnote>
  <w:endnote w:type="continuationSeparator" w:id="0">
    <w:p w14:paraId="4DDDBC55" w14:textId="77777777" w:rsidR="00375005" w:rsidRDefault="00375005" w:rsidP="00B77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BDB84FF-E55F-AF44-880A-C322462A8F66}"/>
    <w:embedItalic r:id="rId2" w:fontKey="{6192B3B8-FE51-B54F-8FF8-78B5E1AA57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5D12943-E5F5-F644-B553-904B3CDE6A9E}"/>
    <w:embedBold r:id="rId4" w:fontKey="{6BA86703-3B3C-3E45-9EC2-3315644152B8}"/>
    <w:embedItalic r:id="rId5" w:fontKey="{3FB88FF0-A7A1-484E-A4AD-47938B925408}"/>
    <w:embedBoldItalic r:id="rId6" w:fontKey="{1F420A7B-975A-A146-8529-9B634C779A6E}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  <w:embedRegular r:id="rId7" w:fontKey="{32BB2306-D5EA-8B4E-AC64-B5DCB0B277C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FC351835-9611-A144-8378-20886879A5D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F3DF735A-5C92-164A-BF68-57C6C29EF2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88FBF99-876E-264E-93B6-6C0964D8A6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3D693" w14:textId="77777777" w:rsidR="00B77A2C" w:rsidRDefault="00B77A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FE3C" w14:textId="77777777" w:rsidR="00B77A2C" w:rsidRDefault="00B77A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2FDB" w14:textId="77777777" w:rsidR="00B77A2C" w:rsidRDefault="00B77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775A" w14:textId="77777777" w:rsidR="00375005" w:rsidRDefault="00375005" w:rsidP="00B77A2C">
      <w:pPr>
        <w:spacing w:line="240" w:lineRule="auto"/>
      </w:pPr>
      <w:r>
        <w:separator/>
      </w:r>
    </w:p>
  </w:footnote>
  <w:footnote w:type="continuationSeparator" w:id="0">
    <w:p w14:paraId="1A74F4BE" w14:textId="77777777" w:rsidR="00375005" w:rsidRDefault="00375005" w:rsidP="00B77A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8841" w14:textId="77777777" w:rsidR="00B77A2C" w:rsidRDefault="00B77A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E158" w14:textId="77777777" w:rsidR="00B77A2C" w:rsidRDefault="00B77A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E9727" w14:textId="77777777" w:rsidR="00B77A2C" w:rsidRDefault="00B77A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F2"/>
    <w:rsid w:val="00050E4F"/>
    <w:rsid w:val="003309F2"/>
    <w:rsid w:val="00375005"/>
    <w:rsid w:val="00B7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37613"/>
  <w15:docId w15:val="{F2CB8CB9-A61A-524F-8F61-9EC2B9DC3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77A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A2C"/>
  </w:style>
  <w:style w:type="paragraph" w:styleId="Footer">
    <w:name w:val="footer"/>
    <w:basedOn w:val="Normal"/>
    <w:link w:val="FooterChar"/>
    <w:uiPriority w:val="99"/>
    <w:unhideWhenUsed/>
    <w:rsid w:val="00B77A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na.rhodes@colostate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1164</Words>
  <Characters>6639</Characters>
  <Application>Microsoft Office Word</Application>
  <DocSecurity>0</DocSecurity>
  <Lines>55</Lines>
  <Paragraphs>15</Paragraphs>
  <ScaleCrop>false</ScaleCrop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Davina Rhodes</cp:lastModifiedBy>
  <cp:revision>2</cp:revision>
  <dcterms:created xsi:type="dcterms:W3CDTF">2025-09-26T19:19:00Z</dcterms:created>
  <dcterms:modified xsi:type="dcterms:W3CDTF">2025-09-26T19:20:00Z</dcterms:modified>
</cp:coreProperties>
</file>