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2C431" w14:textId="301B7C2C" w:rsidR="004B2EEF" w:rsidRDefault="004A5C9C" w:rsidP="00A85976">
      <w:pPr>
        <w:jc w:val="center"/>
        <w:rPr>
          <w:b/>
          <w:sz w:val="28"/>
          <w:szCs w:val="28"/>
          <w:lang w:val="en-US"/>
        </w:rPr>
      </w:pPr>
      <w:r w:rsidRPr="004A5C9C">
        <w:rPr>
          <w:b/>
          <w:sz w:val="28"/>
          <w:szCs w:val="28"/>
          <w:lang w:val="en-US"/>
        </w:rPr>
        <w:t>Supplementary material</w:t>
      </w:r>
    </w:p>
    <w:p w14:paraId="29776D57" w14:textId="77777777" w:rsidR="00A85976" w:rsidRDefault="00A85976" w:rsidP="004A5C9C">
      <w:pPr>
        <w:jc w:val="center"/>
        <w:rPr>
          <w:b/>
          <w:sz w:val="28"/>
          <w:szCs w:val="28"/>
          <w:lang w:val="en-US"/>
        </w:rPr>
      </w:pPr>
    </w:p>
    <w:p w14:paraId="24892C7A" w14:textId="65AA75C6" w:rsidR="00A85976" w:rsidRDefault="00A85976" w:rsidP="00A85976">
      <w:pPr>
        <w:rPr>
          <w:b/>
          <w:sz w:val="28"/>
          <w:szCs w:val="28"/>
          <w:lang w:val="en-US"/>
        </w:rPr>
      </w:pPr>
      <w:r w:rsidRPr="00A85976">
        <w:rPr>
          <w:b/>
          <w:sz w:val="28"/>
          <w:szCs w:val="28"/>
          <w:lang w:val="en-US"/>
        </w:rPr>
        <w:t>Low level cognitive ability in young adulthood increases the risk of depression after military deployment: an observational cohort study among Danish soldiers</w:t>
      </w:r>
    </w:p>
    <w:p w14:paraId="57751E98" w14:textId="43239C1D" w:rsidR="00A85976" w:rsidRDefault="00A85976" w:rsidP="00A85976">
      <w:pPr>
        <w:rPr>
          <w:b/>
          <w:sz w:val="28"/>
          <w:szCs w:val="28"/>
          <w:lang w:val="en-US"/>
        </w:rPr>
      </w:pPr>
    </w:p>
    <w:p w14:paraId="4828D7C8" w14:textId="69749D33" w:rsidR="00A85976" w:rsidRDefault="00A85976" w:rsidP="00A85976">
      <w:pPr>
        <w:rPr>
          <w:b/>
          <w:lang w:val="en-US"/>
        </w:rPr>
      </w:pPr>
      <w:r w:rsidRPr="00A85976">
        <w:rPr>
          <w:lang w:val="en-US"/>
        </w:rPr>
        <w:t>Journal:</w:t>
      </w:r>
      <w:r w:rsidRPr="00A85976">
        <w:rPr>
          <w:b/>
          <w:lang w:val="en-US"/>
        </w:rPr>
        <w:t xml:space="preserve"> Social Psychiatry and psychiatric epidemiology</w:t>
      </w:r>
    </w:p>
    <w:p w14:paraId="39BFA09E" w14:textId="0781A73E" w:rsidR="00A85976" w:rsidRDefault="00A85976" w:rsidP="00A85976">
      <w:pPr>
        <w:rPr>
          <w:b/>
          <w:lang w:val="en-US"/>
        </w:rPr>
      </w:pPr>
    </w:p>
    <w:p w14:paraId="2856D095" w14:textId="77777777" w:rsidR="00A85976" w:rsidRDefault="00A85976" w:rsidP="00A85976">
      <w:pPr>
        <w:rPr>
          <w:lang w:val="en-US"/>
        </w:rPr>
      </w:pPr>
      <w:r>
        <w:rPr>
          <w:lang w:val="en-US"/>
        </w:rPr>
        <w:t>Authors and affiliations/addresses:</w:t>
      </w:r>
    </w:p>
    <w:p w14:paraId="258CAF49" w14:textId="77777777" w:rsidR="00A85976" w:rsidRDefault="00A85976" w:rsidP="00A85976">
      <w:pPr>
        <w:rPr>
          <w:lang w:val="en-US"/>
        </w:rPr>
      </w:pPr>
    </w:p>
    <w:p w14:paraId="212D3E1E" w14:textId="77777777" w:rsidR="00A85976" w:rsidRPr="00964A7B" w:rsidRDefault="00A85976" w:rsidP="00A85976">
      <w:pPr>
        <w:rPr>
          <w:lang w:val="en-US"/>
        </w:rPr>
      </w:pPr>
      <w:r w:rsidRPr="00964A7B">
        <w:rPr>
          <w:lang w:val="en-US"/>
        </w:rPr>
        <w:t>1.</w:t>
      </w:r>
      <w:r>
        <w:rPr>
          <w:lang w:val="en-US"/>
        </w:rPr>
        <w:t xml:space="preserve"> </w:t>
      </w:r>
      <w:r w:rsidRPr="00964A7B">
        <w:rPr>
          <w:lang w:val="en-US"/>
        </w:rPr>
        <w:t>Lars Ravnborg Nissen (corresponding author)</w:t>
      </w:r>
    </w:p>
    <w:p w14:paraId="5FB4BA05" w14:textId="77777777" w:rsidR="00A85976" w:rsidRDefault="00A85976" w:rsidP="00A85976">
      <w:pPr>
        <w:rPr>
          <w:lang w:val="en-US"/>
        </w:rPr>
      </w:pPr>
      <w:r w:rsidRPr="00964A7B">
        <w:rPr>
          <w:lang w:val="en-US"/>
        </w:rPr>
        <w:t>Research and Knowledge Centre, Danish Defense Veteran Centre, DK-4100 Ringsted, Denmark.</w:t>
      </w:r>
    </w:p>
    <w:p w14:paraId="335149B4" w14:textId="77777777" w:rsidR="00A85976" w:rsidRDefault="00A85976" w:rsidP="00A85976">
      <w:pPr>
        <w:rPr>
          <w:lang w:val="en-US"/>
        </w:rPr>
      </w:pPr>
      <w:r>
        <w:rPr>
          <w:lang w:val="en-US"/>
        </w:rPr>
        <w:t xml:space="preserve">E-mail: </w:t>
      </w:r>
      <w:hyperlink r:id="rId8" w:history="1">
        <w:r w:rsidRPr="00DC2E7F">
          <w:rPr>
            <w:rStyle w:val="Hyperlink"/>
            <w:lang w:val="en-US"/>
          </w:rPr>
          <w:t>lrnissen@dadlnet.dk</w:t>
        </w:r>
      </w:hyperlink>
    </w:p>
    <w:p w14:paraId="508549D8" w14:textId="77777777" w:rsidR="00A85976" w:rsidRDefault="00A85976" w:rsidP="00A85976">
      <w:pPr>
        <w:rPr>
          <w:lang w:val="en-US"/>
        </w:rPr>
      </w:pPr>
      <w:r>
        <w:rPr>
          <w:lang w:val="en-US"/>
        </w:rPr>
        <w:t>Tel.: +45 72819705</w:t>
      </w:r>
    </w:p>
    <w:p w14:paraId="246EB9F0" w14:textId="77777777" w:rsidR="00A85976" w:rsidRPr="00964A7B" w:rsidRDefault="00A85976" w:rsidP="00A85976">
      <w:pPr>
        <w:rPr>
          <w:lang w:val="en-US"/>
        </w:rPr>
      </w:pPr>
    </w:p>
    <w:p w14:paraId="46DFF731" w14:textId="77777777" w:rsidR="00A85976" w:rsidRPr="00A85976" w:rsidRDefault="00A85976" w:rsidP="00A85976">
      <w:pPr>
        <w:rPr>
          <w:lang w:val="en-US"/>
        </w:rPr>
      </w:pPr>
      <w:r w:rsidRPr="00A85976">
        <w:rPr>
          <w:lang w:val="en-US"/>
        </w:rPr>
        <w:t>2. Karen-Inge Karstoft</w:t>
      </w:r>
    </w:p>
    <w:p w14:paraId="191AE5D3" w14:textId="77777777" w:rsidR="00A85976" w:rsidRPr="00C55B9B" w:rsidRDefault="00A85976" w:rsidP="00A85976">
      <w:pPr>
        <w:rPr>
          <w:lang w:val="en-US"/>
        </w:rPr>
      </w:pPr>
      <w:r w:rsidRPr="00C55B9B">
        <w:rPr>
          <w:lang w:val="en-US"/>
        </w:rPr>
        <w:t>Research and Knowledge Centre, Danish Defense Veteran Centre, DK-4100 Ringsted, Denmark.</w:t>
      </w:r>
    </w:p>
    <w:p w14:paraId="37EF8D05" w14:textId="77777777" w:rsidR="00A85976" w:rsidRPr="00C55B9B" w:rsidRDefault="00A85976" w:rsidP="00A85976">
      <w:pPr>
        <w:rPr>
          <w:lang w:val="en-US"/>
        </w:rPr>
      </w:pPr>
    </w:p>
    <w:p w14:paraId="7C01C996" w14:textId="77777777" w:rsidR="00A85976" w:rsidRPr="00A85976" w:rsidRDefault="00A85976" w:rsidP="00A85976">
      <w:pPr>
        <w:rPr>
          <w:lang w:val="en-US"/>
        </w:rPr>
      </w:pPr>
      <w:r w:rsidRPr="00A85976">
        <w:rPr>
          <w:lang w:val="en-US"/>
        </w:rPr>
        <w:t>3. Mia Sadowa Vedtofte</w:t>
      </w:r>
    </w:p>
    <w:p w14:paraId="6B9F7859" w14:textId="77777777" w:rsidR="00A85976" w:rsidRPr="00C55B9B" w:rsidRDefault="00A85976" w:rsidP="00A85976">
      <w:pPr>
        <w:rPr>
          <w:lang w:val="en-US"/>
        </w:rPr>
      </w:pPr>
      <w:r w:rsidRPr="00C55B9B">
        <w:rPr>
          <w:lang w:val="en-US"/>
        </w:rPr>
        <w:t>Research and Knowledge Centre, Danish Defense Veteran Centre, DK-4100 Ringsted, Denmark.</w:t>
      </w:r>
    </w:p>
    <w:p w14:paraId="5FD8EE15" w14:textId="77777777" w:rsidR="00A85976" w:rsidRPr="00C55B9B" w:rsidRDefault="00A85976" w:rsidP="00A85976">
      <w:pPr>
        <w:rPr>
          <w:lang w:val="en-US"/>
        </w:rPr>
      </w:pPr>
    </w:p>
    <w:p w14:paraId="2032904B" w14:textId="77777777" w:rsidR="00A85976" w:rsidRPr="00A85976" w:rsidRDefault="00A85976" w:rsidP="00A85976">
      <w:pPr>
        <w:rPr>
          <w:lang w:val="en-US"/>
        </w:rPr>
      </w:pPr>
      <w:r w:rsidRPr="00A85976">
        <w:rPr>
          <w:lang w:val="en-US"/>
        </w:rPr>
        <w:t>4. Anni Brit Sternhagen Nielsen</w:t>
      </w:r>
    </w:p>
    <w:p w14:paraId="4ED65FF7" w14:textId="77777777" w:rsidR="00A85976" w:rsidRPr="00C55B9B" w:rsidRDefault="00A85976" w:rsidP="00A85976">
      <w:pPr>
        <w:rPr>
          <w:lang w:val="en-US"/>
        </w:rPr>
      </w:pPr>
      <w:r w:rsidRPr="00C55B9B">
        <w:rPr>
          <w:lang w:val="en-US"/>
        </w:rPr>
        <w:t>Research and Knowledge Centre, Danish Defense Veteran Centre, DK-4100 Ringsted, Denmark.</w:t>
      </w:r>
    </w:p>
    <w:p w14:paraId="112C74F4" w14:textId="77777777" w:rsidR="00A85976" w:rsidRPr="00C55B9B" w:rsidRDefault="00A85976" w:rsidP="00A85976">
      <w:pPr>
        <w:rPr>
          <w:vertAlign w:val="superscript"/>
          <w:lang w:val="en-US"/>
        </w:rPr>
      </w:pPr>
    </w:p>
    <w:p w14:paraId="718F6F88" w14:textId="77777777" w:rsidR="00A85976" w:rsidRDefault="00A85976" w:rsidP="00A85976">
      <w:r>
        <w:t xml:space="preserve">5. </w:t>
      </w:r>
      <w:r w:rsidRPr="009E3B79">
        <w:t>Merete Osler</w:t>
      </w:r>
    </w:p>
    <w:p w14:paraId="26B6ABC5" w14:textId="77777777" w:rsidR="00A85976" w:rsidRPr="00C55B9B" w:rsidRDefault="00A85976" w:rsidP="00A85976">
      <w:r w:rsidRPr="00C55B9B">
        <w:t xml:space="preserve">Center for </w:t>
      </w:r>
      <w:proofErr w:type="spellStart"/>
      <w:r w:rsidRPr="00C55B9B">
        <w:t>Clinical</w:t>
      </w:r>
      <w:proofErr w:type="spellEnd"/>
      <w:r w:rsidRPr="00C55B9B">
        <w:t xml:space="preserve"> Research and </w:t>
      </w:r>
      <w:proofErr w:type="spellStart"/>
      <w:r w:rsidRPr="00C55B9B">
        <w:t>Prevention</w:t>
      </w:r>
      <w:proofErr w:type="spellEnd"/>
      <w:r w:rsidRPr="00C55B9B">
        <w:t>, Bispebjerg and Frederiksberg Hospital, Capital Region, Nordre Fasanvej 57, DK-2000 Frederiksberg, Denmark.</w:t>
      </w:r>
    </w:p>
    <w:p w14:paraId="48E865AE" w14:textId="77777777" w:rsidR="00A85976" w:rsidRDefault="00A85976" w:rsidP="00A85976"/>
    <w:p w14:paraId="16919822" w14:textId="77777777" w:rsidR="00A85976" w:rsidRDefault="00A85976" w:rsidP="00A85976">
      <w:r>
        <w:t xml:space="preserve">6. </w:t>
      </w:r>
      <w:r w:rsidRPr="009E3B79">
        <w:t>Erik L</w:t>
      </w:r>
      <w:r>
        <w:t>ykke</w:t>
      </w:r>
      <w:r w:rsidRPr="009E3B79">
        <w:t xml:space="preserve"> Mortensen</w:t>
      </w:r>
    </w:p>
    <w:p w14:paraId="6A86149C" w14:textId="77777777" w:rsidR="00A85976" w:rsidRPr="00C55B9B" w:rsidRDefault="00A85976" w:rsidP="00A85976">
      <w:pPr>
        <w:rPr>
          <w:lang w:val="en-US"/>
        </w:rPr>
      </w:pPr>
      <w:r w:rsidRPr="00C55B9B">
        <w:rPr>
          <w:lang w:val="en-US"/>
        </w:rPr>
        <w:t xml:space="preserve">Department of Public Health, University of Copenhagen, </w:t>
      </w:r>
      <w:proofErr w:type="spellStart"/>
      <w:r w:rsidRPr="00C55B9B">
        <w:rPr>
          <w:lang w:val="en-US"/>
        </w:rPr>
        <w:t>Øster</w:t>
      </w:r>
      <w:proofErr w:type="spellEnd"/>
      <w:r w:rsidRPr="00C55B9B">
        <w:rPr>
          <w:lang w:val="en-US"/>
        </w:rPr>
        <w:t xml:space="preserve"> </w:t>
      </w:r>
      <w:proofErr w:type="spellStart"/>
      <w:r w:rsidRPr="00C55B9B">
        <w:rPr>
          <w:lang w:val="en-US"/>
        </w:rPr>
        <w:t>Farimagsgade</w:t>
      </w:r>
      <w:proofErr w:type="spellEnd"/>
      <w:r w:rsidRPr="00C55B9B">
        <w:rPr>
          <w:lang w:val="en-US"/>
        </w:rPr>
        <w:t xml:space="preserve"> 5, </w:t>
      </w:r>
      <w:proofErr w:type="spellStart"/>
      <w:r w:rsidRPr="00C55B9B">
        <w:rPr>
          <w:lang w:val="en-US"/>
        </w:rPr>
        <w:t>P.</w:t>
      </w:r>
      <w:proofErr w:type="gramStart"/>
      <w:r w:rsidRPr="00C55B9B">
        <w:rPr>
          <w:lang w:val="en-US"/>
        </w:rPr>
        <w:t>O.Box</w:t>
      </w:r>
      <w:proofErr w:type="spellEnd"/>
      <w:proofErr w:type="gramEnd"/>
      <w:r w:rsidRPr="00C55B9B">
        <w:rPr>
          <w:lang w:val="en-US"/>
        </w:rPr>
        <w:t xml:space="preserve"> 2099, DK-1014 Copenhagen K, Denmark.</w:t>
      </w:r>
    </w:p>
    <w:p w14:paraId="34D190B8" w14:textId="77777777" w:rsidR="00A85976" w:rsidRPr="00C55B9B" w:rsidRDefault="00A85976" w:rsidP="00A85976">
      <w:pPr>
        <w:rPr>
          <w:lang w:val="en-US"/>
        </w:rPr>
      </w:pPr>
    </w:p>
    <w:p w14:paraId="66A9B9D5" w14:textId="77777777" w:rsidR="00A85976" w:rsidRPr="00A85976" w:rsidRDefault="00A85976" w:rsidP="00A85976">
      <w:pPr>
        <w:rPr>
          <w:lang w:val="en-US"/>
        </w:rPr>
      </w:pPr>
      <w:r w:rsidRPr="00A85976">
        <w:rPr>
          <w:lang w:val="en-US"/>
        </w:rPr>
        <w:t>7. Gunhild Tidemann Christensen</w:t>
      </w:r>
    </w:p>
    <w:p w14:paraId="184B1C2A" w14:textId="77777777" w:rsidR="00A85976" w:rsidRPr="00C55B9B" w:rsidRDefault="00A85976" w:rsidP="00A85976">
      <w:pPr>
        <w:rPr>
          <w:lang w:val="en-US"/>
        </w:rPr>
      </w:pPr>
      <w:r w:rsidRPr="00C55B9B">
        <w:rPr>
          <w:lang w:val="en-US"/>
        </w:rPr>
        <w:t>Danish Aging Research Centre, Department of Public Health, University of Southern Denmark, DK-5000 Odense C, Denmark.</w:t>
      </w:r>
    </w:p>
    <w:p w14:paraId="2DCFBB50" w14:textId="77777777" w:rsidR="00A85976" w:rsidRPr="00C55B9B" w:rsidRDefault="00A85976" w:rsidP="00A85976">
      <w:pPr>
        <w:rPr>
          <w:lang w:val="en-US"/>
        </w:rPr>
      </w:pPr>
      <w:bookmarkStart w:id="0" w:name="_GoBack"/>
      <w:bookmarkEnd w:id="0"/>
    </w:p>
    <w:p w14:paraId="1551CA8D" w14:textId="77777777" w:rsidR="00A85976" w:rsidRPr="00A85976" w:rsidRDefault="00A85976" w:rsidP="00A85976">
      <w:pPr>
        <w:rPr>
          <w:lang w:val="en-US"/>
        </w:rPr>
      </w:pPr>
      <w:r w:rsidRPr="00A85976">
        <w:rPr>
          <w:lang w:val="en-US"/>
        </w:rPr>
        <w:t xml:space="preserve">8. </w:t>
      </w:r>
      <w:proofErr w:type="spellStart"/>
      <w:r w:rsidRPr="00A85976">
        <w:rPr>
          <w:lang w:val="en-US"/>
        </w:rPr>
        <w:t>Søren</w:t>
      </w:r>
      <w:proofErr w:type="spellEnd"/>
      <w:r w:rsidRPr="00A85976">
        <w:rPr>
          <w:lang w:val="en-US"/>
        </w:rPr>
        <w:t xml:space="preserve"> Bo Andersen</w:t>
      </w:r>
    </w:p>
    <w:p w14:paraId="7DD43891" w14:textId="77777777" w:rsidR="00A85976" w:rsidRDefault="00A85976" w:rsidP="00A85976">
      <w:pPr>
        <w:rPr>
          <w:lang w:val="en-US"/>
        </w:rPr>
      </w:pPr>
      <w:r w:rsidRPr="00C55B9B">
        <w:rPr>
          <w:lang w:val="en-US"/>
        </w:rPr>
        <w:t>Research and Knowledge Centre, Danish Defense Veteran Centre, DK-4100 Ringsted, Denmark.</w:t>
      </w:r>
    </w:p>
    <w:p w14:paraId="13F9A0D6" w14:textId="77777777" w:rsidR="00A85976" w:rsidRPr="00A85976" w:rsidRDefault="00A85976" w:rsidP="00A85976">
      <w:pPr>
        <w:rPr>
          <w:b/>
          <w:lang w:val="en-US"/>
        </w:rPr>
      </w:pPr>
    </w:p>
    <w:p w14:paraId="09448403" w14:textId="518B1F77" w:rsidR="00A85976" w:rsidRDefault="00A85976">
      <w:pPr>
        <w:rPr>
          <w:b/>
          <w:sz w:val="28"/>
          <w:szCs w:val="28"/>
          <w:lang w:val="en-US"/>
        </w:rPr>
      </w:pPr>
      <w:r>
        <w:rPr>
          <w:b/>
          <w:sz w:val="28"/>
          <w:szCs w:val="28"/>
          <w:lang w:val="en-US"/>
        </w:rPr>
        <w:br w:type="page"/>
      </w:r>
    </w:p>
    <w:p w14:paraId="6142FDC2" w14:textId="77777777" w:rsidR="00A85976" w:rsidRPr="004A5C9C" w:rsidRDefault="00A85976" w:rsidP="00A85976">
      <w:pPr>
        <w:rPr>
          <w:b/>
          <w:sz w:val="28"/>
          <w:szCs w:val="28"/>
          <w:lang w:val="en-US"/>
        </w:rPr>
      </w:pPr>
    </w:p>
    <w:p w14:paraId="056979CD" w14:textId="77777777" w:rsidR="006E597C" w:rsidRPr="003D6345" w:rsidRDefault="00C15AB9" w:rsidP="00C15AB9">
      <w:pPr>
        <w:keepNext/>
        <w:keepLines/>
        <w:spacing w:line="276" w:lineRule="auto"/>
        <w:outlineLvl w:val="1"/>
        <w:rPr>
          <w:rFonts w:eastAsiaTheme="majorEastAsia" w:cstheme="minorHAnsi"/>
          <w:b/>
          <w:bCs/>
          <w:color w:val="000000" w:themeColor="text1"/>
          <w:lang w:val="en-US"/>
        </w:rPr>
      </w:pPr>
      <w:r w:rsidRPr="00C15AB9">
        <w:rPr>
          <w:rFonts w:eastAsiaTheme="majorEastAsia" w:cstheme="minorHAnsi"/>
          <w:b/>
          <w:bCs/>
          <w:color w:val="000000" w:themeColor="text1"/>
          <w:lang w:val="en-US"/>
        </w:rPr>
        <w:t>1.</w:t>
      </w:r>
      <w:r>
        <w:rPr>
          <w:rFonts w:eastAsiaTheme="majorEastAsia" w:cstheme="minorHAnsi"/>
          <w:b/>
          <w:bCs/>
          <w:color w:val="000000" w:themeColor="text1"/>
          <w:lang w:val="en-US"/>
        </w:rPr>
        <w:t xml:space="preserve"> </w:t>
      </w:r>
      <w:r w:rsidR="006E597C" w:rsidRPr="003D6345">
        <w:rPr>
          <w:rFonts w:eastAsiaTheme="majorEastAsia" w:cstheme="minorHAnsi"/>
          <w:b/>
          <w:bCs/>
          <w:color w:val="000000" w:themeColor="text1"/>
          <w:lang w:val="en-US"/>
        </w:rPr>
        <w:t>ROC curve analysis for establishment of PRIM-Depression cutoff score</w:t>
      </w:r>
    </w:p>
    <w:p w14:paraId="3A726E96" w14:textId="77777777" w:rsidR="006E597C" w:rsidRDefault="006E597C" w:rsidP="006E597C">
      <w:pPr>
        <w:spacing w:line="276" w:lineRule="auto"/>
        <w:rPr>
          <w:lang w:val="en-US"/>
        </w:rPr>
      </w:pPr>
    </w:p>
    <w:p w14:paraId="53094469" w14:textId="2322A112" w:rsidR="006E597C" w:rsidRPr="006E597C" w:rsidRDefault="006E597C" w:rsidP="006E597C">
      <w:pPr>
        <w:spacing w:line="276" w:lineRule="auto"/>
        <w:rPr>
          <w:lang w:val="en-US"/>
        </w:rPr>
      </w:pPr>
      <w:r w:rsidRPr="006E597C">
        <w:rPr>
          <w:lang w:val="en-US"/>
        </w:rPr>
        <w:t xml:space="preserve">To establish a cutoff score for the PRIM-Depression scale </w:t>
      </w:r>
      <w:r w:rsidR="00594FDD">
        <w:rPr>
          <w:lang w:val="en-US"/>
        </w:rPr>
        <w:t xml:space="preserve">with 8-items </w:t>
      </w:r>
      <w:r w:rsidRPr="006E597C">
        <w:rPr>
          <w:lang w:val="en-US"/>
        </w:rPr>
        <w:t>for categorizing individuals with possible and probable depression, we conducted a Receiver Operating Characteristics (ROC) Curve analysis. We did so in a sample of military personnel deployed to Afghanistan as part of the International Security Assistance Force (ISAF) team 7 in 2009 (N=294). This cohort was selected for the ROC curve analysis since in addition to the PRIM</w:t>
      </w:r>
      <w:r w:rsidR="00594FDD">
        <w:rPr>
          <w:lang w:val="en-US"/>
        </w:rPr>
        <w:t xml:space="preserve"> questionnaire</w:t>
      </w:r>
      <w:r w:rsidRPr="006E597C">
        <w:rPr>
          <w:lang w:val="en-US"/>
        </w:rPr>
        <w:t>, they also responded to a range of validated questionnaires</w:t>
      </w:r>
      <w:r w:rsidR="00594FDD">
        <w:rPr>
          <w:lang w:val="en-US"/>
        </w:rPr>
        <w:t xml:space="preserve"> among them </w:t>
      </w:r>
      <w:r w:rsidRPr="006E597C">
        <w:rPr>
          <w:lang w:val="en-US"/>
        </w:rPr>
        <w:t>the Beck Depression Inventory</w:t>
      </w:r>
      <w:r w:rsidR="0089367D">
        <w:rPr>
          <w:lang w:val="en-US"/>
        </w:rPr>
        <w:t xml:space="preserve"> </w:t>
      </w:r>
      <w:r w:rsidR="003D6345">
        <w:rPr>
          <w:lang w:val="en-US"/>
        </w:rPr>
        <w:fldChar w:fldCharType="begin" w:fldLock="1"/>
      </w:r>
      <w:r w:rsidR="00E6148A">
        <w:rPr>
          <w:lang w:val="en-US"/>
        </w:rPr>
        <w:instrText>ADDIN CSL_CITATION {"citationItems":[{"id":"ITEM-1","itemData":{"abstract":"The difficulties inherent in obtaining consistent and adequate diagnoses for the purposes of research and therapy have been pointed out by a number of authors. Pasamanick12 in a recent article viewed the low interclinician agreement on diagnosis as an indictment of the present state of psychiatry and called for \"the development of objective, measurable and verifiable criteria of classification based not on personal or parochial considerations, but on behavioral and other objectively measurable manifestations.\" Attempts by other investigators to subject clinical observations and judgments to objective measurement have resulted in a wide variety of psychiatric rating scales.4,15 These have been well summarized in a review article by Lorr11 on \"Rating Scales and Check Lists for the Evaluation of Psychopathology.\" In the area of psychological testing, a variety of paper-and-pencil tests have been devised for the purpose of measuring specific","author":[{"dropping-particle":"","family":"Beck","given":"A. T.","non-dropping-particle":"","parse-names":false,"suffix":""},{"dropping-particle":"","family":"Ward","given":"C. H.","non-dropping-particle":"","parse-names":false,"suffix":""},{"dropping-particle":"","family":"Mendelson","given":"M","non-dropping-particle":"","parse-names":false,"suffix":""},{"dropping-particle":"","family":"Mock","given":"J.","non-dropping-particle":"","parse-names":false,"suffix":""},{"dropping-particle":"","family":"Erbaugh","given":"J.","non-dropping-particle":"","parse-names":false,"suffix":""}],"container-title":"Archives of general psychiatry","id":"ITEM-1","issue":"june","issued":{"date-parts":[["1961"]]},"page":"561-71","title":"An inventory for measuring depression","type":"article-journal","volume":"4"},"uris":["http://www.mendeley.com/documents/?uuid=66a9f4a8-ac46-41c4-85a2-bd51da79dca6"]}],"mendeley":{"formattedCitation":"[1]","plainTextFormattedCitation":"[1]","previouslyFormattedCitation":"[1]"},"properties":{"noteIndex":0},"schema":"https://github.com/citation-style-language/schema/raw/master/csl-citation.json"}</w:instrText>
      </w:r>
      <w:r w:rsidR="003D6345">
        <w:rPr>
          <w:lang w:val="en-US"/>
        </w:rPr>
        <w:fldChar w:fldCharType="separate"/>
      </w:r>
      <w:r w:rsidR="00E6148A" w:rsidRPr="00E6148A">
        <w:rPr>
          <w:noProof/>
          <w:lang w:val="en-US"/>
        </w:rPr>
        <w:t>[1]</w:t>
      </w:r>
      <w:r w:rsidR="003D6345">
        <w:rPr>
          <w:lang w:val="en-US"/>
        </w:rPr>
        <w:fldChar w:fldCharType="end"/>
      </w:r>
      <w:r w:rsidRPr="006E597C">
        <w:rPr>
          <w:lang w:val="en-US"/>
        </w:rPr>
        <w:t>. For the ROC curve analysis, a BDI-score equaling moderate or severe depression (</w:t>
      </w:r>
      <w:r w:rsidRPr="006E597C">
        <w:rPr>
          <w:rFonts w:cstheme="minorHAnsi"/>
          <w:lang w:val="en-US"/>
        </w:rPr>
        <w:t>≥</w:t>
      </w:r>
      <w:r w:rsidRPr="006E597C">
        <w:rPr>
          <w:lang w:val="en-US"/>
        </w:rPr>
        <w:t xml:space="preserve"> </w:t>
      </w:r>
      <w:r w:rsidR="00C33CE8" w:rsidRPr="003D6345">
        <w:rPr>
          <w:lang w:val="en-US"/>
        </w:rPr>
        <w:t>19</w:t>
      </w:r>
      <w:r w:rsidRPr="0089367D">
        <w:rPr>
          <w:lang w:val="en-US"/>
        </w:rPr>
        <w:t>)</w:t>
      </w:r>
      <w:r w:rsidRPr="006E597C">
        <w:rPr>
          <w:lang w:val="en-US"/>
        </w:rPr>
        <w:t xml:space="preserve"> was set to </w:t>
      </w:r>
      <w:r w:rsidR="00594FDD">
        <w:rPr>
          <w:lang w:val="en-US"/>
        </w:rPr>
        <w:t xml:space="preserve">indicate </w:t>
      </w:r>
      <w:r w:rsidRPr="006E597C">
        <w:rPr>
          <w:lang w:val="en-US"/>
        </w:rPr>
        <w:t>presence of depression, with PRIM-Depression total score being the test variable. While a clinical diagnostic interview would have been preferred to identify depression caseness, previous validations of the BDI indicates that the moderate and severe categories derived from BDI gives us a fairly accurate estimation of individuals who are likely to fulfill diagnostic criteria for depression</w:t>
      </w:r>
      <w:r w:rsidR="00C15AB9">
        <w:rPr>
          <w:lang w:val="en-US"/>
        </w:rPr>
        <w:t xml:space="preserve"> </w:t>
      </w:r>
      <w:r w:rsidR="003D6345">
        <w:rPr>
          <w:lang w:val="en-US"/>
        </w:rPr>
        <w:fldChar w:fldCharType="begin" w:fldLock="1"/>
      </w:r>
      <w:r w:rsidR="00E6148A">
        <w:rPr>
          <w:lang w:val="en-US"/>
        </w:rPr>
        <w:instrText>ADDIN CSL_CITATION {"citationItems":[{"id":"ITEM-1","itemData":{"abstract":"Research studies focusing on the psychometric properties of the Beck Depression Inventory (BDI) with psychiatric and nonpsychiatric samples were reviewed for the years 1961 through June, 1986. A meta-analysis of the BDI's internal consistency estimates yielded a mean coefficient alpha of 0.86 for psychiatric patients and 0.81 for nonpsychiatric subjects. The concurrent validitus of the BDI with respect to clinical ratings and the Hamilton Psychiatric Rating Scale for Depression (HRSD) were also high. The mean correlations of the BDI samples with clinical ratings and the HRSD were 0. 72 and 0.73, respectively, for psychiatric patients. With nonpsychiatric subjects, the mean correlations of the BDI with clinical ratings and the HRSD were 0.60 and 0.74, respectively. Recent evidence indicates that the BDI discriminates subtypes of depression and differentiates depression from anxiety.","author":[{"dropping-particle":"","family":"Beck","given":"Aaron T.","non-dropping-particle":"","parse-names":false,"suffix":""},{"dropping-particle":"","family":"Steer","given":"Robert A.","non-dropping-particle":"","parse-names":false,"suffix":""},{"dropping-particle":"","family":"Carbin","given":"Margery G.","non-dropping-particle":"","parse-names":false,"suffix":""}],"container-title":"Clinical Psychology Review","id":"ITEM-1","issue":"1","issued":{"date-parts":[["1988"]]},"page":"77-100","title":"Psychometric properties of the Beck Depression Inventory: Twenty-five years of evaluation","type":"article-journal","volume":"8"},"uris":["http://www.mendeley.com/documents/?uuid=f2f2e02d-6059-4f40-acb5-724a7295bf68"]}],"mendeley":{"formattedCitation":"[2]","plainTextFormattedCitation":"[2]","previouslyFormattedCitation":"[2]"},"properties":{"noteIndex":0},"schema":"https://github.com/citation-style-language/schema/raw/master/csl-citation.json"}</w:instrText>
      </w:r>
      <w:r w:rsidR="003D6345">
        <w:rPr>
          <w:lang w:val="en-US"/>
        </w:rPr>
        <w:fldChar w:fldCharType="separate"/>
      </w:r>
      <w:r w:rsidR="00E6148A" w:rsidRPr="00E6148A">
        <w:rPr>
          <w:noProof/>
          <w:lang w:val="en-US"/>
        </w:rPr>
        <w:t>[2]</w:t>
      </w:r>
      <w:r w:rsidR="003D6345">
        <w:rPr>
          <w:lang w:val="en-US"/>
        </w:rPr>
        <w:fldChar w:fldCharType="end"/>
      </w:r>
      <w:r w:rsidRPr="006E597C">
        <w:rPr>
          <w:lang w:val="en-US"/>
        </w:rPr>
        <w:t xml:space="preserve">. </w:t>
      </w:r>
    </w:p>
    <w:p w14:paraId="25925AC5" w14:textId="77777777" w:rsidR="00E24E6C" w:rsidRDefault="00E24E6C" w:rsidP="006E597C">
      <w:pPr>
        <w:spacing w:line="276" w:lineRule="auto"/>
        <w:rPr>
          <w:lang w:val="en-US"/>
        </w:rPr>
      </w:pPr>
    </w:p>
    <w:p w14:paraId="7AB0FD3F" w14:textId="4793724D" w:rsidR="002E28FE" w:rsidRDefault="006E597C" w:rsidP="006E597C">
      <w:pPr>
        <w:spacing w:line="276" w:lineRule="auto"/>
        <w:rPr>
          <w:lang w:val="en-US"/>
        </w:rPr>
      </w:pPr>
      <w:r w:rsidRPr="006E597C">
        <w:rPr>
          <w:lang w:val="en-US"/>
        </w:rPr>
        <w:t xml:space="preserve">The resulting ROC curve had an Area Under the Curve of 0.94 (95% CI: 0.89-0.98; see Figure 1), indicating high overall accuracy of PRIM-Depression compared to BDI. Sensitivity and specificity of varying cutoff scores can be seen in Table 1. When </w:t>
      </w:r>
      <w:r w:rsidR="00594FDD">
        <w:rPr>
          <w:lang w:val="en-US"/>
        </w:rPr>
        <w:t xml:space="preserve">deciding a reasonable cutoff </w:t>
      </w:r>
      <w:r w:rsidRPr="006E597C">
        <w:rPr>
          <w:lang w:val="en-US"/>
        </w:rPr>
        <w:t xml:space="preserve">a general rule of thumb </w:t>
      </w:r>
      <w:r w:rsidR="00594FDD">
        <w:rPr>
          <w:lang w:val="en-US"/>
        </w:rPr>
        <w:t xml:space="preserve">is </w:t>
      </w:r>
      <w:r w:rsidRPr="006E597C">
        <w:rPr>
          <w:lang w:val="en-US"/>
        </w:rPr>
        <w:t>that acceptable sensitivity is &gt;</w:t>
      </w:r>
      <w:r w:rsidR="003436B2">
        <w:rPr>
          <w:lang w:val="en-US"/>
        </w:rPr>
        <w:t xml:space="preserve"> 0</w:t>
      </w:r>
      <w:r w:rsidRPr="006E597C">
        <w:rPr>
          <w:lang w:val="en-US"/>
        </w:rPr>
        <w:t xml:space="preserve">.70 and acceptable specificity is </w:t>
      </w:r>
      <w:r w:rsidRPr="006E597C">
        <w:rPr>
          <w:rFonts w:cstheme="minorHAnsi"/>
          <w:lang w:val="en-US"/>
        </w:rPr>
        <w:t>≥</w:t>
      </w:r>
      <w:r w:rsidRPr="006E597C">
        <w:rPr>
          <w:lang w:val="en-US"/>
        </w:rPr>
        <w:t xml:space="preserve"> </w:t>
      </w:r>
      <w:r w:rsidR="003436B2">
        <w:rPr>
          <w:lang w:val="en-US"/>
        </w:rPr>
        <w:t>0</w:t>
      </w:r>
      <w:r w:rsidRPr="006E597C">
        <w:rPr>
          <w:lang w:val="en-US"/>
        </w:rPr>
        <w:t xml:space="preserve">.90 </w:t>
      </w:r>
      <w:r w:rsidR="00061829" w:rsidRPr="006E597C">
        <w:rPr>
          <w:lang w:val="en-US"/>
        </w:rPr>
        <w:fldChar w:fldCharType="begin" w:fldLock="1"/>
      </w:r>
      <w:r w:rsidR="00E6148A">
        <w:rPr>
          <w:lang w:val="en-US"/>
        </w:rPr>
        <w:instrText>ADDIN CSL_CITATION {"citationID":"1hf9brgkt6","citationItems":[{"id":"ITEM-1","itemData":{"DOI":"10.1016/j.cpr.2010.06.012","ISSN":"1873-7811","PMID":"20705376","abstract":"The PTSD Checklist (PCL) is the most frequently used self-report measure of PTSD symptoms. Although the PCL has been in use for nearly 20 years and over a dozen validation studies have been conducted, this paper provides the first comprehensive review of its diagnostic utility. Eighteen diagnostic accuracy studies of the PCL are presented, followed by an examination of the potential roles of spectrum effects, bias, and prevalence in understanding the variation in sensitivity, specificity, and other operating characteristics across these studies. Two related issues as to the interchangeability of the PCL's three versions (civilian, military, and specific) and various scoring methods are also discussed. Findings indicate that the PCL has several strengths as a PTSD screening test and suggest that it can be a useful tool when followed by a second-tier diagnostic test such as a standardized interview. However, the PCL's operating characteristics demonstrate significant variation across populations, settings, and research methods and few studies have examined such factors that may moderate the PCL's utility. Recommendations and cautions regarding the use of the PCL as a clinical screening test, a diagnostic tool in research, and as an estimator of PTSD population prevalence are provided.","author":[{"dropping-particle":"","family":"McDonald","given":"Scott D.","non-dropping-particle":"","parse-names":false,"suffix":""},{"dropping-particle":"","family":"Calhoun","given":"Patrick S.","non-dropping-particle":"","parse-names":false,"suffix":""}],"container-title":"Clinical Psychology Review","id":"ITEM-1","issue":"8","issued":{"date-parts":[["2010","12"]]},"language":"eng","page":"976-987","title":"The diagnostic accuracy of the PTSD checklist: a critical review","type":"article-journal","volume":"30"},"uri":["http://zotero.org/users/local/rOoMhcAG/items/SZ2R77DR"],"uris":["http://zotero.org/users/local/rOoMhcAG/items/SZ2R77DR","http://www.mendeley.com/documents/?uuid=9eda2d75-c6ea-4e06-a0bc-ee04283d83e7"]}],"mendeley":{"formattedCitation":"[3]","plainTextFormattedCitation":"[3]","previouslyFormattedCitation":"[3]"},"properties":{"formattedCitation":"(McDonald &amp; Calhoun, 2010)","noteIndex":0,"plainCitation":"(McDonald &amp; Calhoun, 2010)"},"schema":"https://github.com/citation-style-language/schema/raw/master/csl-citation.json"}</w:instrText>
      </w:r>
      <w:r w:rsidR="00061829" w:rsidRPr="006E597C">
        <w:rPr>
          <w:lang w:val="en-US"/>
        </w:rPr>
        <w:fldChar w:fldCharType="separate"/>
      </w:r>
      <w:r w:rsidR="00E6148A" w:rsidRPr="00E6148A">
        <w:rPr>
          <w:rFonts w:ascii="Calibri" w:hAnsi="Calibri" w:cs="Calibri"/>
          <w:noProof/>
          <w:lang w:val="en-US"/>
        </w:rPr>
        <w:t>[3]</w:t>
      </w:r>
      <w:r w:rsidR="00061829" w:rsidRPr="006E597C">
        <w:rPr>
          <w:lang w:val="en-US"/>
        </w:rPr>
        <w:fldChar w:fldCharType="end"/>
      </w:r>
      <w:r w:rsidR="00FC1A98">
        <w:rPr>
          <w:lang w:val="en-US"/>
        </w:rPr>
        <w:t>. This means that</w:t>
      </w:r>
      <w:r w:rsidRPr="006E597C">
        <w:rPr>
          <w:lang w:val="en-US"/>
        </w:rPr>
        <w:t xml:space="preserve"> cutoff scores of </w:t>
      </w:r>
      <w:r w:rsidRPr="006E597C">
        <w:rPr>
          <w:rFonts w:cstheme="minorHAnsi"/>
          <w:lang w:val="en-US"/>
        </w:rPr>
        <w:t>≥</w:t>
      </w:r>
      <w:r w:rsidRPr="006E597C">
        <w:rPr>
          <w:lang w:val="en-US"/>
        </w:rPr>
        <w:t xml:space="preserve"> 6 and </w:t>
      </w:r>
      <w:r w:rsidRPr="006E597C">
        <w:rPr>
          <w:rFonts w:cstheme="minorHAnsi"/>
          <w:lang w:val="en-US"/>
        </w:rPr>
        <w:t xml:space="preserve">≥ </w:t>
      </w:r>
      <w:r w:rsidRPr="006E597C">
        <w:rPr>
          <w:lang w:val="en-US"/>
        </w:rPr>
        <w:t xml:space="preserve">7 both seems adequate. </w:t>
      </w:r>
    </w:p>
    <w:p w14:paraId="72F0573D" w14:textId="77777777" w:rsidR="002E28FE" w:rsidRDefault="002E28FE" w:rsidP="006E597C">
      <w:pPr>
        <w:spacing w:line="276" w:lineRule="auto"/>
        <w:rPr>
          <w:lang w:val="en-US"/>
        </w:rPr>
      </w:pPr>
    </w:p>
    <w:p w14:paraId="094FBB05" w14:textId="4C27E3E4" w:rsidR="006E597C" w:rsidRDefault="006E597C" w:rsidP="00E24E6C">
      <w:pPr>
        <w:spacing w:line="276" w:lineRule="auto"/>
        <w:rPr>
          <w:lang w:val="en-US"/>
        </w:rPr>
      </w:pPr>
      <w:r w:rsidRPr="006E597C">
        <w:rPr>
          <w:lang w:val="en-US"/>
        </w:rPr>
        <w:t xml:space="preserve">When evaluating positive predictive value (PPV) and negative predictive value (NPV), it is clear that while the number of false negatives (as reflected by NPV) is low for both scores, the number of false positives is relatively high, especially for the score-6 cutoff. Given that PPV and NPV vary with prevalence, and since the prevalence of depression as assessed with the BDI in this particular sample is low (6%), it is expected that PPV will be relatively low. Based on the ROC curve analyses, we suggest that a PRIM-Depression score of 6 is a relevant cutoff for depression screening, i.e. for identifying those, that might need further assessment or clinical attention. We term this category </w:t>
      </w:r>
      <w:r w:rsidRPr="006E597C">
        <w:rPr>
          <w:i/>
          <w:lang w:val="en-US"/>
        </w:rPr>
        <w:t>possible depression</w:t>
      </w:r>
      <w:r w:rsidRPr="006E597C">
        <w:rPr>
          <w:lang w:val="en-US"/>
        </w:rPr>
        <w:t xml:space="preserve">. Further, we suggest that a PRIM-Depression score of 7 is a relevant cutoff for estimating prevalence and likely depression in this sample. We term this category </w:t>
      </w:r>
      <w:r w:rsidRPr="006E597C">
        <w:rPr>
          <w:i/>
          <w:lang w:val="en-US"/>
        </w:rPr>
        <w:t>probable depression</w:t>
      </w:r>
      <w:r w:rsidRPr="006E597C">
        <w:rPr>
          <w:lang w:val="en-US"/>
        </w:rPr>
        <w:t>. When estimating prevalence with the cutoff scores for probable depression, we find a prevalence of 7.8%, which as expected based on the low PPV is slightly higher t</w:t>
      </w:r>
      <w:r w:rsidR="003D6345">
        <w:rPr>
          <w:lang w:val="en-US"/>
        </w:rPr>
        <w:t>han when estimated with the BDI</w:t>
      </w:r>
      <w:r w:rsidRPr="006E597C">
        <w:rPr>
          <w:lang w:val="en-US"/>
        </w:rPr>
        <w:t>.</w:t>
      </w:r>
    </w:p>
    <w:p w14:paraId="52C66C08" w14:textId="77777777" w:rsidR="00EC55C9" w:rsidRDefault="00EC55C9" w:rsidP="00E24E6C">
      <w:pPr>
        <w:spacing w:line="276" w:lineRule="auto"/>
        <w:rPr>
          <w:lang w:val="en-US"/>
        </w:rPr>
      </w:pPr>
    </w:p>
    <w:p w14:paraId="469025A6" w14:textId="53CA70A2" w:rsidR="006E597C" w:rsidRPr="006E597C" w:rsidRDefault="006E597C" w:rsidP="006E597C">
      <w:pPr>
        <w:spacing w:after="200" w:line="276" w:lineRule="auto"/>
        <w:rPr>
          <w:sz w:val="22"/>
          <w:szCs w:val="22"/>
          <w:lang w:val="en-US"/>
        </w:rPr>
      </w:pPr>
    </w:p>
    <w:p w14:paraId="23013290" w14:textId="77777777" w:rsidR="006E597C" w:rsidRPr="006E597C" w:rsidRDefault="006E597C" w:rsidP="006E597C">
      <w:pPr>
        <w:autoSpaceDE w:val="0"/>
        <w:autoSpaceDN w:val="0"/>
        <w:adjustRightInd w:val="0"/>
        <w:rPr>
          <w:rFonts w:ascii="Times New Roman" w:hAnsi="Times New Roman" w:cs="Times New Roman"/>
          <w:lang w:val="en-US"/>
        </w:rPr>
      </w:pPr>
      <w:r w:rsidRPr="006E597C">
        <w:rPr>
          <w:rFonts w:ascii="Times New Roman" w:hAnsi="Times New Roman" w:cs="Times New Roman"/>
          <w:noProof/>
          <w:lang w:eastAsia="da-DK"/>
        </w:rPr>
        <w:lastRenderedPageBreak/>
        <w:drawing>
          <wp:inline distT="0" distB="0" distL="0" distR="0" wp14:anchorId="39D76187" wp14:editId="2159A2A7">
            <wp:extent cx="5166360" cy="4134186"/>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12791" cy="4171341"/>
                    </a:xfrm>
                    <a:prstGeom prst="rect">
                      <a:avLst/>
                    </a:prstGeom>
                    <a:noFill/>
                    <a:ln w="9525">
                      <a:noFill/>
                      <a:miter lim="800000"/>
                      <a:headEnd/>
                      <a:tailEnd/>
                    </a:ln>
                  </pic:spPr>
                </pic:pic>
              </a:graphicData>
            </a:graphic>
          </wp:inline>
        </w:drawing>
      </w:r>
    </w:p>
    <w:p w14:paraId="7FFD8F4E" w14:textId="77777777" w:rsidR="006E597C" w:rsidRPr="006E597C" w:rsidRDefault="006E597C" w:rsidP="006E597C">
      <w:pPr>
        <w:autoSpaceDE w:val="0"/>
        <w:autoSpaceDN w:val="0"/>
        <w:adjustRightInd w:val="0"/>
        <w:rPr>
          <w:rFonts w:cstheme="minorHAnsi"/>
          <w:i/>
          <w:sz w:val="22"/>
          <w:szCs w:val="22"/>
          <w:lang w:val="en-US"/>
        </w:rPr>
      </w:pPr>
      <w:r w:rsidRPr="006E597C">
        <w:rPr>
          <w:rFonts w:cstheme="minorHAnsi"/>
          <w:b/>
          <w:sz w:val="22"/>
          <w:szCs w:val="22"/>
          <w:lang w:val="en-US"/>
        </w:rPr>
        <w:t>Figure 1.</w:t>
      </w:r>
      <w:r w:rsidRPr="006E597C">
        <w:rPr>
          <w:rFonts w:cstheme="minorHAnsi"/>
          <w:sz w:val="22"/>
          <w:szCs w:val="22"/>
          <w:lang w:val="en-US"/>
        </w:rPr>
        <w:t xml:space="preserve"> </w:t>
      </w:r>
      <w:r w:rsidRPr="006E597C">
        <w:rPr>
          <w:rFonts w:cstheme="minorHAnsi"/>
          <w:i/>
          <w:sz w:val="22"/>
          <w:szCs w:val="22"/>
          <w:lang w:val="en-US"/>
        </w:rPr>
        <w:t>ROC curve of the PRIM-Depression measured against moderate or severe depression as indicated by the BDI</w:t>
      </w:r>
    </w:p>
    <w:p w14:paraId="38111F53" w14:textId="5811CE01" w:rsidR="003D6345" w:rsidRDefault="003D6345" w:rsidP="006E597C">
      <w:pPr>
        <w:spacing w:after="200" w:line="276" w:lineRule="auto"/>
        <w:rPr>
          <w:sz w:val="22"/>
          <w:szCs w:val="22"/>
          <w:lang w:val="en-US"/>
        </w:rPr>
      </w:pPr>
    </w:p>
    <w:p w14:paraId="59E41A4D" w14:textId="7E53637B" w:rsidR="003436B2" w:rsidRDefault="003436B2" w:rsidP="003436B2">
      <w:pPr>
        <w:spacing w:line="276" w:lineRule="auto"/>
        <w:rPr>
          <w:lang w:val="en-US"/>
        </w:rPr>
      </w:pPr>
      <w:r>
        <w:rPr>
          <w:lang w:val="en-US"/>
        </w:rPr>
        <w:t>In order to obtain a prevalence-independent measure we also calculated the likelihood ratios, (</w:t>
      </w:r>
      <w:r w:rsidRPr="002E28FE">
        <w:rPr>
          <w:lang w:val="en-US"/>
        </w:rPr>
        <w:t>positive likelihood ratio (LR+)</w:t>
      </w:r>
      <w:r>
        <w:rPr>
          <w:lang w:val="en-US"/>
        </w:rPr>
        <w:t xml:space="preserve">, which is </w:t>
      </w:r>
      <w:r w:rsidRPr="002E28FE">
        <w:rPr>
          <w:lang w:val="en-US"/>
        </w:rPr>
        <w:t xml:space="preserve">the ratio between the positive test probability in a person with </w:t>
      </w:r>
      <w:r>
        <w:rPr>
          <w:lang w:val="en-US"/>
        </w:rPr>
        <w:t xml:space="preserve">depression </w:t>
      </w:r>
      <w:r w:rsidRPr="002E28FE">
        <w:rPr>
          <w:lang w:val="en-US"/>
        </w:rPr>
        <w:t xml:space="preserve">and in a person without </w:t>
      </w:r>
      <w:r>
        <w:rPr>
          <w:lang w:val="en-US"/>
        </w:rPr>
        <w:t>depression</w:t>
      </w:r>
      <w:r w:rsidRPr="002E28FE">
        <w:rPr>
          <w:lang w:val="en-US"/>
        </w:rPr>
        <w:t xml:space="preserve">; </w:t>
      </w:r>
      <w:r>
        <w:rPr>
          <w:lang w:val="en-US"/>
        </w:rPr>
        <w:t xml:space="preserve">and </w:t>
      </w:r>
      <w:r w:rsidRPr="002E28FE">
        <w:rPr>
          <w:lang w:val="en-US"/>
        </w:rPr>
        <w:t>negative likelihood ratio (LR−)</w:t>
      </w:r>
      <w:r>
        <w:rPr>
          <w:lang w:val="en-US"/>
        </w:rPr>
        <w:t>, which is</w:t>
      </w:r>
      <w:r w:rsidRPr="002E28FE">
        <w:rPr>
          <w:lang w:val="en-US"/>
        </w:rPr>
        <w:t xml:space="preserve"> the ratio between the negative test </w:t>
      </w:r>
      <w:r>
        <w:rPr>
          <w:lang w:val="en-US"/>
        </w:rPr>
        <w:t xml:space="preserve">probability </w:t>
      </w:r>
      <w:r w:rsidRPr="002E28FE">
        <w:rPr>
          <w:lang w:val="en-US"/>
        </w:rPr>
        <w:t xml:space="preserve">in a person without </w:t>
      </w:r>
      <w:r>
        <w:rPr>
          <w:lang w:val="en-US"/>
        </w:rPr>
        <w:t xml:space="preserve">depression </w:t>
      </w:r>
      <w:r w:rsidRPr="002E28FE">
        <w:rPr>
          <w:lang w:val="en-US"/>
        </w:rPr>
        <w:t xml:space="preserve">and in a person with </w:t>
      </w:r>
      <w:r>
        <w:rPr>
          <w:lang w:val="en-US"/>
        </w:rPr>
        <w:t xml:space="preserve">depression </w:t>
      </w:r>
      <w:r>
        <w:rPr>
          <w:lang w:val="en-US"/>
        </w:rPr>
        <w:fldChar w:fldCharType="begin" w:fldLock="1"/>
      </w:r>
      <w:r w:rsidR="00E6148A">
        <w:rPr>
          <w:lang w:val="en-US"/>
        </w:rPr>
        <w:instrText>ADDIN CSL_CITATION {"citationItems":[{"id":"ITEM-1","itemData":{"ISSN":"0959-8138","author":[{"dropping-particle":"","family":"Greenhalgh","given":"T","non-dropping-particle":"","parse-names":false,"suffix":""}],"container-title":"British Medical Journal","id":"ITEM-1","issued":{"date-parts":[["1998"]]},"page":"540-543","title":"Papers that report diagnostic or screening tests","type":"article-journal","volume":"315"},"uris":["http://www.mendeley.com/documents/?uuid=b392579d-c22d-467d-ac40-61969fd987de"]}],"mendeley":{"formattedCitation":"[4]","plainTextFormattedCitation":"[4]","previouslyFormattedCitation":"[4]"},"properties":{"noteIndex":0},"schema":"https://github.com/citation-style-language/schema/raw/master/csl-citation.json"}</w:instrText>
      </w:r>
      <w:r>
        <w:rPr>
          <w:lang w:val="en-US"/>
        </w:rPr>
        <w:fldChar w:fldCharType="separate"/>
      </w:r>
      <w:r w:rsidR="00E6148A" w:rsidRPr="00E6148A">
        <w:rPr>
          <w:noProof/>
          <w:lang w:val="en-US"/>
        </w:rPr>
        <w:t>[4]</w:t>
      </w:r>
      <w:r>
        <w:rPr>
          <w:lang w:val="en-US"/>
        </w:rPr>
        <w:fldChar w:fldCharType="end"/>
      </w:r>
      <w:r w:rsidRPr="002E28FE">
        <w:rPr>
          <w:lang w:val="en-US"/>
        </w:rPr>
        <w:t xml:space="preserve">. </w:t>
      </w:r>
      <w:r>
        <w:rPr>
          <w:lang w:val="en-US"/>
        </w:rPr>
        <w:t xml:space="preserve">Generally, </w:t>
      </w:r>
      <w:r w:rsidRPr="00505530">
        <w:rPr>
          <w:lang w:val="en-US"/>
        </w:rPr>
        <w:t xml:space="preserve">LR+ greater than 10 and LR- smaller than 0.1 is </w:t>
      </w:r>
      <w:r>
        <w:rPr>
          <w:lang w:val="en-US"/>
        </w:rPr>
        <w:t>regarded as being</w:t>
      </w:r>
      <w:r w:rsidRPr="00505530">
        <w:rPr>
          <w:lang w:val="en-US"/>
        </w:rPr>
        <w:t xml:space="preserve"> </w:t>
      </w:r>
      <w:r>
        <w:rPr>
          <w:lang w:val="en-US"/>
        </w:rPr>
        <w:t xml:space="preserve">adequate in identifying </w:t>
      </w:r>
      <w:r w:rsidRPr="00505530">
        <w:rPr>
          <w:lang w:val="en-US"/>
        </w:rPr>
        <w:t xml:space="preserve">conclusive changes from </w:t>
      </w:r>
      <w:r>
        <w:rPr>
          <w:lang w:val="en-US"/>
        </w:rPr>
        <w:t xml:space="preserve">the </w:t>
      </w:r>
      <w:r w:rsidRPr="00505530">
        <w:rPr>
          <w:lang w:val="en-US"/>
        </w:rPr>
        <w:t>pre</w:t>
      </w:r>
      <w:r>
        <w:rPr>
          <w:lang w:val="en-US"/>
        </w:rPr>
        <w:t xml:space="preserve">- </w:t>
      </w:r>
      <w:r w:rsidRPr="00505530">
        <w:rPr>
          <w:lang w:val="en-US"/>
        </w:rPr>
        <w:t xml:space="preserve">to </w:t>
      </w:r>
      <w:r>
        <w:rPr>
          <w:lang w:val="en-US"/>
        </w:rPr>
        <w:t xml:space="preserve">the </w:t>
      </w:r>
      <w:r w:rsidRPr="00505530">
        <w:rPr>
          <w:lang w:val="en-US"/>
        </w:rPr>
        <w:t>post­test probability</w:t>
      </w:r>
      <w:r w:rsidRPr="002E28FE">
        <w:rPr>
          <w:lang w:val="en-US"/>
        </w:rPr>
        <w:t xml:space="preserve"> </w:t>
      </w:r>
      <w:r w:rsidRPr="002E28FE">
        <w:rPr>
          <w:lang w:val="en-US"/>
        </w:rPr>
        <w:fldChar w:fldCharType="begin" w:fldLock="1"/>
      </w:r>
      <w:r w:rsidR="00E6148A">
        <w:rPr>
          <w:lang w:val="en-US"/>
        </w:rPr>
        <w:instrText>ADDIN CSL_CITATION {"citationID":"2h8mlib1tc","citationItems":[{"id":"ITEM-1","itemData":{"ISSN":"0098-7484","author":[{"dropping-particle":"","family":"Jaeschke","given":"Roman","non-dropping-particle":"","parse-names":false,"suffix":""},{"dropping-particle":"","family":"Guyatt","given":"Gordon H","non-dropping-particle":"","parse-names":false,"suffix":""},{"dropping-particle":"","family":"Sackett","given":"David L","non-dropping-particle":"","parse-names":false,"suffix":""},{"dropping-particle":"","family":"Guyatt","given":"Gordon","non-dropping-particle":"","parse-names":false,"suffix":""},{"dropping-particle":"","family":"Bass","given":"Eric","non-dropping-particle":"","parse-names":false,"suffix":""},{"dropping-particle":"","family":"Brill-Edwards","given":"Patrick","non-dropping-particle":"","parse-names":false,"suffix":""},{"dropping-particle":"","family":"Browman","given":"George","non-dropping-particle":"","parse-names":false,"suffix":""},{"dropping-particle":"","family":"Cook","given":"Deborah","non-dropping-particle":"","parse-names":false,"suffix":""},{"dropping-particle":"","family":"Farkouh","given":"Michael","non-dropping-particle":"","parse-names":false,"suffix":""},{"dropping-particle":"","family":"Gerstein","given":"Hertzel","non-dropping-particle":"","parse-names":false,"suffix":""}],"container-title":"Jama","id":"ITEM-1","issue":"9","issued":{"date-parts":[["1994"]]},"page":"703-707","title":"Users' Guides to the Medical Literature: III. How to Use an Article About a Diagnostic Test","type":"article-journal","volume":"271"},"uri":["http://zotero.org/users/local/rOoMhcAG/items/4NG253SR"],"uris":["http://zotero.org/users/local/rOoMhcAG/items/4NG253SR","http://www.mendeley.com/documents/?uuid=883aa17d-a6db-4470-983c-04b991dae344"]}],"mendeley":{"formattedCitation":"[5]","plainTextFormattedCitation":"[5]","previouslyFormattedCitation":"[5]"},"properties":{"formattedCitation":"(Jaeschke et al., 1994)","noteIndex":0,"plainCitation":"(Jaeschke et al., 1994)"},"schema":"https://github.com/citation-style-language/schema/raw/master/csl-citation.json"}</w:instrText>
      </w:r>
      <w:r w:rsidRPr="002E28FE">
        <w:rPr>
          <w:lang w:val="en-US"/>
        </w:rPr>
        <w:fldChar w:fldCharType="separate"/>
      </w:r>
      <w:r w:rsidR="00E6148A" w:rsidRPr="00E6148A">
        <w:rPr>
          <w:noProof/>
          <w:lang w:val="en-US"/>
        </w:rPr>
        <w:t>[5]</w:t>
      </w:r>
      <w:r w:rsidRPr="002E28FE">
        <w:rPr>
          <w:lang w:val="en-US"/>
        </w:rPr>
        <w:fldChar w:fldCharType="end"/>
      </w:r>
      <w:r w:rsidRPr="002E28FE">
        <w:rPr>
          <w:lang w:val="en-US"/>
        </w:rPr>
        <w:t xml:space="preserve">. </w:t>
      </w:r>
      <w:r>
        <w:rPr>
          <w:lang w:val="en-US"/>
        </w:rPr>
        <w:t>The results from the LR+ and LR- (Table 1) confirms that depression score 6 and 7 are reasonable cutoffs also in cohorts with other prevalence of depression: the likelihood of a positive test</w:t>
      </w:r>
      <w:r w:rsidR="00E6148A">
        <w:rPr>
          <w:lang w:val="en-US"/>
        </w:rPr>
        <w:t xml:space="preserve"> </w:t>
      </w:r>
      <w:r>
        <w:rPr>
          <w:lang w:val="en-US"/>
        </w:rPr>
        <w:t xml:space="preserve">result is 10.38 and 18 times higher, respectively, in those with </w:t>
      </w:r>
      <w:r w:rsidRPr="003D6345">
        <w:rPr>
          <w:i/>
          <w:lang w:val="en-US"/>
        </w:rPr>
        <w:t>possible</w:t>
      </w:r>
      <w:r>
        <w:rPr>
          <w:lang w:val="en-US"/>
        </w:rPr>
        <w:t xml:space="preserve"> and </w:t>
      </w:r>
      <w:r w:rsidRPr="003D6345">
        <w:rPr>
          <w:i/>
          <w:lang w:val="en-US"/>
        </w:rPr>
        <w:t>probable</w:t>
      </w:r>
      <w:r>
        <w:rPr>
          <w:lang w:val="en-US"/>
        </w:rPr>
        <w:t xml:space="preserve"> depression than in those without. </w:t>
      </w:r>
    </w:p>
    <w:p w14:paraId="3E18D65A" w14:textId="7AC8AE75" w:rsidR="003436B2" w:rsidRDefault="003436B2" w:rsidP="006E597C">
      <w:pPr>
        <w:spacing w:after="200" w:line="276" w:lineRule="auto"/>
        <w:rPr>
          <w:sz w:val="22"/>
          <w:szCs w:val="22"/>
          <w:lang w:val="en-US"/>
        </w:rPr>
      </w:pPr>
    </w:p>
    <w:p w14:paraId="2128329E" w14:textId="620DDA09" w:rsidR="003436B2" w:rsidRDefault="003436B2" w:rsidP="006E597C">
      <w:pPr>
        <w:spacing w:after="200" w:line="276" w:lineRule="auto"/>
        <w:rPr>
          <w:sz w:val="22"/>
          <w:szCs w:val="22"/>
          <w:lang w:val="en-US"/>
        </w:rPr>
      </w:pPr>
    </w:p>
    <w:p w14:paraId="48726DF3" w14:textId="68F0E595" w:rsidR="00A85976" w:rsidRDefault="00A85976" w:rsidP="006E597C">
      <w:pPr>
        <w:spacing w:after="200" w:line="276" w:lineRule="auto"/>
        <w:rPr>
          <w:sz w:val="22"/>
          <w:szCs w:val="22"/>
          <w:lang w:val="en-US"/>
        </w:rPr>
      </w:pPr>
    </w:p>
    <w:p w14:paraId="2C0A6440" w14:textId="0B2D0EC0" w:rsidR="00A85976" w:rsidRPr="00E6148A" w:rsidRDefault="00E6148A" w:rsidP="00E6148A">
      <w:pPr>
        <w:rPr>
          <w:b/>
          <w:lang w:val="en-US"/>
        </w:rPr>
      </w:pPr>
      <w:r>
        <w:rPr>
          <w:b/>
          <w:lang w:val="en-US"/>
        </w:rPr>
        <w:br w:type="page"/>
      </w:r>
    </w:p>
    <w:p w14:paraId="00E9FF67" w14:textId="783F8704" w:rsidR="006E597C" w:rsidRPr="00E24E6C" w:rsidRDefault="006E597C" w:rsidP="0026676B">
      <w:pPr>
        <w:spacing w:line="480" w:lineRule="auto"/>
        <w:rPr>
          <w:sz w:val="22"/>
          <w:szCs w:val="22"/>
          <w:lang w:val="en-US"/>
        </w:rPr>
      </w:pPr>
      <w:r w:rsidRPr="00E24E6C">
        <w:rPr>
          <w:b/>
          <w:sz w:val="22"/>
          <w:szCs w:val="22"/>
          <w:lang w:val="en-US"/>
        </w:rPr>
        <w:lastRenderedPageBreak/>
        <w:t>Table 1.</w:t>
      </w:r>
      <w:r w:rsidRPr="00E24E6C">
        <w:rPr>
          <w:sz w:val="22"/>
          <w:szCs w:val="22"/>
          <w:lang w:val="en-US"/>
        </w:rPr>
        <w:t xml:space="preserve"> </w:t>
      </w:r>
      <w:r w:rsidRPr="00E24E6C">
        <w:rPr>
          <w:i/>
          <w:sz w:val="22"/>
          <w:szCs w:val="22"/>
          <w:lang w:val="en-US"/>
        </w:rPr>
        <w:t>Sensitivity, Specificity, PPV</w:t>
      </w:r>
      <w:r w:rsidR="0026676B" w:rsidRPr="00E24E6C">
        <w:rPr>
          <w:i/>
          <w:sz w:val="22"/>
          <w:szCs w:val="22"/>
          <w:lang w:val="en-US"/>
        </w:rPr>
        <w:t>,</w:t>
      </w:r>
      <w:r w:rsidRPr="00E24E6C">
        <w:rPr>
          <w:i/>
          <w:sz w:val="22"/>
          <w:szCs w:val="22"/>
          <w:lang w:val="en-US"/>
        </w:rPr>
        <w:t xml:space="preserve"> NPV</w:t>
      </w:r>
      <w:r w:rsidR="0026676B" w:rsidRPr="00E24E6C">
        <w:rPr>
          <w:i/>
          <w:sz w:val="22"/>
          <w:szCs w:val="22"/>
          <w:lang w:val="en-US"/>
        </w:rPr>
        <w:t xml:space="preserve">, LH+ and LH- </w:t>
      </w:r>
      <w:r w:rsidRPr="00E24E6C">
        <w:rPr>
          <w:i/>
          <w:sz w:val="22"/>
          <w:szCs w:val="22"/>
          <w:lang w:val="en-US"/>
        </w:rPr>
        <w:t>for all possible cutoff scores</w:t>
      </w:r>
    </w:p>
    <w:tbl>
      <w:tblPr>
        <w:tblStyle w:val="Tabel-Gitter"/>
        <w:tblW w:w="71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0"/>
        <w:gridCol w:w="1160"/>
        <w:gridCol w:w="1146"/>
        <w:gridCol w:w="960"/>
        <w:gridCol w:w="960"/>
        <w:gridCol w:w="960"/>
        <w:gridCol w:w="960"/>
      </w:tblGrid>
      <w:tr w:rsidR="0026676B" w:rsidRPr="00E24E6C" w14:paraId="1F916390" w14:textId="77777777" w:rsidTr="0026676B">
        <w:trPr>
          <w:trHeight w:val="290"/>
        </w:trPr>
        <w:tc>
          <w:tcPr>
            <w:tcW w:w="960" w:type="dxa"/>
            <w:noWrap/>
            <w:vAlign w:val="center"/>
            <w:hideMark/>
          </w:tcPr>
          <w:p w14:paraId="2BF7B470" w14:textId="77777777" w:rsidR="0026676B" w:rsidRPr="00E24E6C" w:rsidRDefault="0026676B" w:rsidP="006E597C">
            <w:pPr>
              <w:jc w:val="right"/>
              <w:rPr>
                <w:rFonts w:eastAsia="Times New Roman" w:cstheme="minorHAnsi"/>
                <w:b/>
                <w:lang w:val="en-US" w:eastAsia="da-DK"/>
              </w:rPr>
            </w:pPr>
            <w:r w:rsidRPr="00E24E6C">
              <w:rPr>
                <w:rFonts w:eastAsia="Times New Roman" w:cstheme="minorHAnsi"/>
                <w:b/>
                <w:lang w:val="en-US" w:eastAsia="da-DK"/>
              </w:rPr>
              <w:t>Cutoff score (≥)</w:t>
            </w:r>
          </w:p>
        </w:tc>
        <w:tc>
          <w:tcPr>
            <w:tcW w:w="1160" w:type="dxa"/>
            <w:noWrap/>
            <w:vAlign w:val="center"/>
            <w:hideMark/>
          </w:tcPr>
          <w:p w14:paraId="58D1F1FF" w14:textId="77777777" w:rsidR="0026676B" w:rsidRPr="00E24E6C" w:rsidRDefault="0026676B" w:rsidP="0026676B">
            <w:pPr>
              <w:jc w:val="center"/>
              <w:rPr>
                <w:rFonts w:eastAsia="Times New Roman" w:cstheme="minorHAnsi"/>
                <w:b/>
                <w:lang w:val="en-US" w:eastAsia="da-DK"/>
              </w:rPr>
            </w:pPr>
            <w:r w:rsidRPr="00E24E6C">
              <w:rPr>
                <w:rFonts w:eastAsia="Times New Roman" w:cstheme="minorHAnsi"/>
                <w:b/>
                <w:lang w:val="en-US" w:eastAsia="da-DK"/>
              </w:rPr>
              <w:t>Sensitivity</w:t>
            </w:r>
          </w:p>
        </w:tc>
        <w:tc>
          <w:tcPr>
            <w:tcW w:w="1146" w:type="dxa"/>
            <w:noWrap/>
            <w:vAlign w:val="center"/>
            <w:hideMark/>
          </w:tcPr>
          <w:p w14:paraId="093DA9A8" w14:textId="77777777" w:rsidR="0026676B" w:rsidRPr="00E24E6C" w:rsidRDefault="0026676B" w:rsidP="0026676B">
            <w:pPr>
              <w:jc w:val="center"/>
              <w:rPr>
                <w:rFonts w:eastAsia="Times New Roman" w:cstheme="minorHAnsi"/>
                <w:b/>
                <w:lang w:val="en-US" w:eastAsia="da-DK"/>
              </w:rPr>
            </w:pPr>
            <w:r w:rsidRPr="00E24E6C">
              <w:rPr>
                <w:rFonts w:eastAsia="Times New Roman" w:cstheme="minorHAnsi"/>
                <w:b/>
                <w:lang w:val="en-US" w:eastAsia="da-DK"/>
              </w:rPr>
              <w:t>Specificity</w:t>
            </w:r>
          </w:p>
        </w:tc>
        <w:tc>
          <w:tcPr>
            <w:tcW w:w="960" w:type="dxa"/>
            <w:vAlign w:val="center"/>
          </w:tcPr>
          <w:p w14:paraId="1DA23DF1" w14:textId="77777777" w:rsidR="0026676B" w:rsidRPr="00E24E6C" w:rsidRDefault="0026676B" w:rsidP="0026676B">
            <w:pPr>
              <w:jc w:val="center"/>
              <w:rPr>
                <w:rFonts w:eastAsia="Times New Roman" w:cstheme="minorHAnsi"/>
                <w:b/>
                <w:lang w:val="en-US" w:eastAsia="da-DK"/>
              </w:rPr>
            </w:pPr>
            <w:r w:rsidRPr="00E24E6C">
              <w:rPr>
                <w:rFonts w:eastAsia="Times New Roman" w:cstheme="minorHAnsi"/>
                <w:b/>
                <w:lang w:val="en-US" w:eastAsia="da-DK"/>
              </w:rPr>
              <w:t>LH +</w:t>
            </w:r>
          </w:p>
        </w:tc>
        <w:tc>
          <w:tcPr>
            <w:tcW w:w="960" w:type="dxa"/>
            <w:vAlign w:val="center"/>
          </w:tcPr>
          <w:p w14:paraId="742F0AF5" w14:textId="77777777" w:rsidR="0026676B" w:rsidRPr="00E24E6C" w:rsidRDefault="0026676B" w:rsidP="0026676B">
            <w:pPr>
              <w:jc w:val="center"/>
              <w:rPr>
                <w:rFonts w:eastAsia="Times New Roman" w:cstheme="minorHAnsi"/>
                <w:b/>
                <w:lang w:val="en-US" w:eastAsia="da-DK"/>
              </w:rPr>
            </w:pPr>
            <w:r w:rsidRPr="00E24E6C">
              <w:rPr>
                <w:rFonts w:eastAsia="Times New Roman" w:cstheme="minorHAnsi"/>
                <w:b/>
                <w:lang w:val="en-US" w:eastAsia="da-DK"/>
              </w:rPr>
              <w:t>LH -</w:t>
            </w:r>
          </w:p>
        </w:tc>
        <w:tc>
          <w:tcPr>
            <w:tcW w:w="960" w:type="dxa"/>
            <w:noWrap/>
            <w:vAlign w:val="center"/>
            <w:hideMark/>
          </w:tcPr>
          <w:p w14:paraId="4BC452FD" w14:textId="77777777" w:rsidR="0026676B" w:rsidRPr="00E24E6C" w:rsidRDefault="0026676B" w:rsidP="0026676B">
            <w:pPr>
              <w:jc w:val="center"/>
              <w:rPr>
                <w:rFonts w:eastAsia="Times New Roman" w:cstheme="minorHAnsi"/>
                <w:b/>
                <w:lang w:val="en-US" w:eastAsia="da-DK"/>
              </w:rPr>
            </w:pPr>
            <w:r w:rsidRPr="00E24E6C">
              <w:rPr>
                <w:rFonts w:eastAsia="Times New Roman" w:cstheme="minorHAnsi"/>
                <w:b/>
                <w:lang w:val="en-US" w:eastAsia="da-DK"/>
              </w:rPr>
              <w:t>PPV</w:t>
            </w:r>
          </w:p>
        </w:tc>
        <w:tc>
          <w:tcPr>
            <w:tcW w:w="960" w:type="dxa"/>
            <w:noWrap/>
            <w:vAlign w:val="center"/>
            <w:hideMark/>
          </w:tcPr>
          <w:p w14:paraId="45B082A9" w14:textId="77777777" w:rsidR="0026676B" w:rsidRPr="00E24E6C" w:rsidRDefault="0026676B" w:rsidP="006E597C">
            <w:pPr>
              <w:jc w:val="center"/>
              <w:rPr>
                <w:rFonts w:eastAsia="Times New Roman" w:cstheme="minorHAnsi"/>
                <w:b/>
                <w:lang w:val="en-US" w:eastAsia="da-DK"/>
              </w:rPr>
            </w:pPr>
            <w:r w:rsidRPr="00E24E6C">
              <w:rPr>
                <w:rFonts w:eastAsia="Times New Roman" w:cstheme="minorHAnsi"/>
                <w:b/>
                <w:lang w:val="en-US" w:eastAsia="da-DK"/>
              </w:rPr>
              <w:t>NPV</w:t>
            </w:r>
          </w:p>
        </w:tc>
      </w:tr>
      <w:tr w:rsidR="003B5970" w:rsidRPr="00E24E6C" w14:paraId="75AB5510" w14:textId="77777777" w:rsidTr="003B5970">
        <w:trPr>
          <w:trHeight w:val="290"/>
        </w:trPr>
        <w:tc>
          <w:tcPr>
            <w:tcW w:w="960" w:type="dxa"/>
            <w:noWrap/>
            <w:vAlign w:val="center"/>
            <w:hideMark/>
          </w:tcPr>
          <w:p w14:paraId="27A560CF" w14:textId="77777777" w:rsidR="003B5970" w:rsidRPr="00E24E6C" w:rsidRDefault="003B5970" w:rsidP="006E597C">
            <w:pPr>
              <w:jc w:val="right"/>
              <w:rPr>
                <w:rFonts w:eastAsia="Times New Roman" w:cstheme="minorHAnsi"/>
                <w:lang w:val="en-US" w:eastAsia="da-DK"/>
              </w:rPr>
            </w:pPr>
            <w:r w:rsidRPr="00E24E6C">
              <w:rPr>
                <w:rFonts w:eastAsia="Times New Roman" w:cstheme="minorHAnsi"/>
                <w:lang w:val="en-US" w:eastAsia="da-DK"/>
              </w:rPr>
              <w:t>1</w:t>
            </w:r>
          </w:p>
        </w:tc>
        <w:tc>
          <w:tcPr>
            <w:tcW w:w="1160" w:type="dxa"/>
            <w:noWrap/>
            <w:vAlign w:val="center"/>
            <w:hideMark/>
          </w:tcPr>
          <w:p w14:paraId="0E7FA258"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1.00</w:t>
            </w:r>
          </w:p>
        </w:tc>
        <w:tc>
          <w:tcPr>
            <w:tcW w:w="1146" w:type="dxa"/>
            <w:noWrap/>
            <w:vAlign w:val="center"/>
            <w:hideMark/>
          </w:tcPr>
          <w:p w14:paraId="5183C5D6"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0.27</w:t>
            </w:r>
          </w:p>
        </w:tc>
        <w:tc>
          <w:tcPr>
            <w:tcW w:w="960" w:type="dxa"/>
            <w:vAlign w:val="center"/>
          </w:tcPr>
          <w:p w14:paraId="4749819A"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1.37</w:t>
            </w:r>
          </w:p>
        </w:tc>
        <w:tc>
          <w:tcPr>
            <w:tcW w:w="960" w:type="dxa"/>
            <w:vAlign w:val="center"/>
          </w:tcPr>
          <w:p w14:paraId="69FDC922"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0.00</w:t>
            </w:r>
          </w:p>
        </w:tc>
        <w:tc>
          <w:tcPr>
            <w:tcW w:w="960" w:type="dxa"/>
            <w:noWrap/>
            <w:vAlign w:val="center"/>
            <w:hideMark/>
          </w:tcPr>
          <w:p w14:paraId="481A1589"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0.08</w:t>
            </w:r>
          </w:p>
        </w:tc>
        <w:tc>
          <w:tcPr>
            <w:tcW w:w="960" w:type="dxa"/>
            <w:noWrap/>
            <w:vAlign w:val="center"/>
            <w:hideMark/>
          </w:tcPr>
          <w:p w14:paraId="2BB91019"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1.00</w:t>
            </w:r>
          </w:p>
        </w:tc>
      </w:tr>
      <w:tr w:rsidR="003B5970" w:rsidRPr="00E24E6C" w14:paraId="43233896" w14:textId="77777777" w:rsidTr="003B5970">
        <w:trPr>
          <w:trHeight w:val="290"/>
        </w:trPr>
        <w:tc>
          <w:tcPr>
            <w:tcW w:w="960" w:type="dxa"/>
            <w:noWrap/>
            <w:vAlign w:val="center"/>
            <w:hideMark/>
          </w:tcPr>
          <w:p w14:paraId="48EB39AD" w14:textId="77777777" w:rsidR="003B5970" w:rsidRPr="00E24E6C" w:rsidRDefault="003B5970" w:rsidP="006E597C">
            <w:pPr>
              <w:jc w:val="right"/>
              <w:rPr>
                <w:rFonts w:eastAsia="Times New Roman" w:cstheme="minorHAnsi"/>
                <w:lang w:val="en-US" w:eastAsia="da-DK"/>
              </w:rPr>
            </w:pPr>
            <w:r w:rsidRPr="00E24E6C">
              <w:rPr>
                <w:rFonts w:eastAsia="Times New Roman" w:cstheme="minorHAnsi"/>
                <w:lang w:val="en-US" w:eastAsia="da-DK"/>
              </w:rPr>
              <w:t>2</w:t>
            </w:r>
          </w:p>
        </w:tc>
        <w:tc>
          <w:tcPr>
            <w:tcW w:w="1160" w:type="dxa"/>
            <w:noWrap/>
            <w:vAlign w:val="center"/>
            <w:hideMark/>
          </w:tcPr>
          <w:p w14:paraId="03108D39"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1.00</w:t>
            </w:r>
          </w:p>
        </w:tc>
        <w:tc>
          <w:tcPr>
            <w:tcW w:w="1146" w:type="dxa"/>
            <w:noWrap/>
            <w:vAlign w:val="center"/>
            <w:hideMark/>
          </w:tcPr>
          <w:p w14:paraId="2D068259"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0.45</w:t>
            </w:r>
          </w:p>
        </w:tc>
        <w:tc>
          <w:tcPr>
            <w:tcW w:w="960" w:type="dxa"/>
            <w:vAlign w:val="center"/>
          </w:tcPr>
          <w:p w14:paraId="6DC3647A"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1.82</w:t>
            </w:r>
          </w:p>
        </w:tc>
        <w:tc>
          <w:tcPr>
            <w:tcW w:w="960" w:type="dxa"/>
            <w:vAlign w:val="center"/>
          </w:tcPr>
          <w:p w14:paraId="7BF28C7C"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0.00</w:t>
            </w:r>
          </w:p>
        </w:tc>
        <w:tc>
          <w:tcPr>
            <w:tcW w:w="960" w:type="dxa"/>
            <w:noWrap/>
            <w:vAlign w:val="center"/>
            <w:hideMark/>
          </w:tcPr>
          <w:p w14:paraId="23046E1B"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0.10</w:t>
            </w:r>
          </w:p>
        </w:tc>
        <w:tc>
          <w:tcPr>
            <w:tcW w:w="960" w:type="dxa"/>
            <w:noWrap/>
            <w:vAlign w:val="center"/>
            <w:hideMark/>
          </w:tcPr>
          <w:p w14:paraId="7C00BB6D"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1.00</w:t>
            </w:r>
          </w:p>
        </w:tc>
      </w:tr>
      <w:tr w:rsidR="003B5970" w:rsidRPr="00E24E6C" w14:paraId="2464B04E" w14:textId="77777777" w:rsidTr="003B5970">
        <w:trPr>
          <w:trHeight w:val="290"/>
        </w:trPr>
        <w:tc>
          <w:tcPr>
            <w:tcW w:w="960" w:type="dxa"/>
            <w:noWrap/>
            <w:vAlign w:val="center"/>
            <w:hideMark/>
          </w:tcPr>
          <w:p w14:paraId="393EB33A" w14:textId="77777777" w:rsidR="003B5970" w:rsidRPr="00E24E6C" w:rsidRDefault="003B5970" w:rsidP="006E597C">
            <w:pPr>
              <w:jc w:val="right"/>
              <w:rPr>
                <w:rFonts w:eastAsia="Times New Roman" w:cstheme="minorHAnsi"/>
                <w:lang w:val="en-US" w:eastAsia="da-DK"/>
              </w:rPr>
            </w:pPr>
            <w:r w:rsidRPr="00E24E6C">
              <w:rPr>
                <w:rFonts w:eastAsia="Times New Roman" w:cstheme="minorHAnsi"/>
                <w:lang w:val="en-US" w:eastAsia="da-DK"/>
              </w:rPr>
              <w:t>3</w:t>
            </w:r>
          </w:p>
        </w:tc>
        <w:tc>
          <w:tcPr>
            <w:tcW w:w="1160" w:type="dxa"/>
            <w:noWrap/>
            <w:vAlign w:val="center"/>
            <w:hideMark/>
          </w:tcPr>
          <w:p w14:paraId="356E7EA7"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1.00</w:t>
            </w:r>
          </w:p>
        </w:tc>
        <w:tc>
          <w:tcPr>
            <w:tcW w:w="1146" w:type="dxa"/>
            <w:noWrap/>
            <w:vAlign w:val="center"/>
            <w:hideMark/>
          </w:tcPr>
          <w:p w14:paraId="6AFDAA8D"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0.61</w:t>
            </w:r>
          </w:p>
        </w:tc>
        <w:tc>
          <w:tcPr>
            <w:tcW w:w="960" w:type="dxa"/>
            <w:vAlign w:val="center"/>
          </w:tcPr>
          <w:p w14:paraId="2084D3EB"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2.56</w:t>
            </w:r>
          </w:p>
        </w:tc>
        <w:tc>
          <w:tcPr>
            <w:tcW w:w="960" w:type="dxa"/>
            <w:vAlign w:val="center"/>
          </w:tcPr>
          <w:p w14:paraId="22C2990B"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0.00</w:t>
            </w:r>
          </w:p>
        </w:tc>
        <w:tc>
          <w:tcPr>
            <w:tcW w:w="960" w:type="dxa"/>
            <w:noWrap/>
            <w:vAlign w:val="center"/>
            <w:hideMark/>
          </w:tcPr>
          <w:p w14:paraId="1E75F717"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0.14</w:t>
            </w:r>
          </w:p>
        </w:tc>
        <w:tc>
          <w:tcPr>
            <w:tcW w:w="960" w:type="dxa"/>
            <w:noWrap/>
            <w:vAlign w:val="center"/>
            <w:hideMark/>
          </w:tcPr>
          <w:p w14:paraId="2E94FAC2"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1.00</w:t>
            </w:r>
          </w:p>
        </w:tc>
      </w:tr>
      <w:tr w:rsidR="003B5970" w:rsidRPr="00E24E6C" w14:paraId="1E806F64" w14:textId="77777777" w:rsidTr="003B5970">
        <w:trPr>
          <w:trHeight w:val="290"/>
        </w:trPr>
        <w:tc>
          <w:tcPr>
            <w:tcW w:w="960" w:type="dxa"/>
            <w:noWrap/>
            <w:vAlign w:val="center"/>
            <w:hideMark/>
          </w:tcPr>
          <w:p w14:paraId="45CC7348" w14:textId="77777777" w:rsidR="003B5970" w:rsidRPr="00E24E6C" w:rsidRDefault="003B5970" w:rsidP="006E597C">
            <w:pPr>
              <w:jc w:val="right"/>
              <w:rPr>
                <w:rFonts w:eastAsia="Times New Roman" w:cstheme="minorHAnsi"/>
                <w:lang w:val="en-US" w:eastAsia="da-DK"/>
              </w:rPr>
            </w:pPr>
            <w:r w:rsidRPr="00E24E6C">
              <w:rPr>
                <w:rFonts w:eastAsia="Times New Roman" w:cstheme="minorHAnsi"/>
                <w:lang w:val="en-US" w:eastAsia="da-DK"/>
              </w:rPr>
              <w:t>4</w:t>
            </w:r>
          </w:p>
        </w:tc>
        <w:tc>
          <w:tcPr>
            <w:tcW w:w="1160" w:type="dxa"/>
            <w:noWrap/>
            <w:vAlign w:val="center"/>
            <w:hideMark/>
          </w:tcPr>
          <w:p w14:paraId="4F6F6DEB"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0.89</w:t>
            </w:r>
          </w:p>
        </w:tc>
        <w:tc>
          <w:tcPr>
            <w:tcW w:w="1146" w:type="dxa"/>
            <w:noWrap/>
            <w:vAlign w:val="center"/>
            <w:hideMark/>
          </w:tcPr>
          <w:p w14:paraId="00D8A545"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0.76</w:t>
            </w:r>
          </w:p>
        </w:tc>
        <w:tc>
          <w:tcPr>
            <w:tcW w:w="960" w:type="dxa"/>
            <w:vAlign w:val="center"/>
          </w:tcPr>
          <w:p w14:paraId="1248F3D4"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3.71</w:t>
            </w:r>
          </w:p>
        </w:tc>
        <w:tc>
          <w:tcPr>
            <w:tcW w:w="960" w:type="dxa"/>
            <w:vAlign w:val="center"/>
          </w:tcPr>
          <w:p w14:paraId="13BEC27E"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0.14</w:t>
            </w:r>
          </w:p>
        </w:tc>
        <w:tc>
          <w:tcPr>
            <w:tcW w:w="960" w:type="dxa"/>
            <w:noWrap/>
            <w:vAlign w:val="center"/>
            <w:hideMark/>
          </w:tcPr>
          <w:p w14:paraId="18381CC7"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0.19</w:t>
            </w:r>
          </w:p>
        </w:tc>
        <w:tc>
          <w:tcPr>
            <w:tcW w:w="960" w:type="dxa"/>
            <w:noWrap/>
            <w:vAlign w:val="center"/>
            <w:hideMark/>
          </w:tcPr>
          <w:p w14:paraId="3BB4B494"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0.99</w:t>
            </w:r>
          </w:p>
        </w:tc>
      </w:tr>
      <w:tr w:rsidR="003B5970" w:rsidRPr="00E24E6C" w14:paraId="0E47B73D" w14:textId="77777777" w:rsidTr="003B5970">
        <w:trPr>
          <w:trHeight w:val="290"/>
        </w:trPr>
        <w:tc>
          <w:tcPr>
            <w:tcW w:w="960" w:type="dxa"/>
            <w:noWrap/>
            <w:vAlign w:val="center"/>
            <w:hideMark/>
          </w:tcPr>
          <w:p w14:paraId="403E146A" w14:textId="77777777" w:rsidR="003B5970" w:rsidRPr="00E24E6C" w:rsidRDefault="003B5970" w:rsidP="006E597C">
            <w:pPr>
              <w:jc w:val="right"/>
              <w:rPr>
                <w:rFonts w:eastAsia="Times New Roman" w:cstheme="minorHAnsi"/>
                <w:lang w:val="en-US" w:eastAsia="da-DK"/>
              </w:rPr>
            </w:pPr>
            <w:r w:rsidRPr="00E24E6C">
              <w:rPr>
                <w:rFonts w:eastAsia="Times New Roman" w:cstheme="minorHAnsi"/>
                <w:lang w:val="en-US" w:eastAsia="da-DK"/>
              </w:rPr>
              <w:t>5</w:t>
            </w:r>
          </w:p>
        </w:tc>
        <w:tc>
          <w:tcPr>
            <w:tcW w:w="1160" w:type="dxa"/>
            <w:noWrap/>
            <w:vAlign w:val="center"/>
            <w:hideMark/>
          </w:tcPr>
          <w:p w14:paraId="28A1EC1E"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0.89</w:t>
            </w:r>
          </w:p>
        </w:tc>
        <w:tc>
          <w:tcPr>
            <w:tcW w:w="1146" w:type="dxa"/>
            <w:noWrap/>
            <w:vAlign w:val="center"/>
            <w:hideMark/>
          </w:tcPr>
          <w:p w14:paraId="66EC0AEB"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0.85</w:t>
            </w:r>
          </w:p>
        </w:tc>
        <w:tc>
          <w:tcPr>
            <w:tcW w:w="960" w:type="dxa"/>
            <w:vAlign w:val="center"/>
          </w:tcPr>
          <w:p w14:paraId="086BD947"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5.93</w:t>
            </w:r>
          </w:p>
        </w:tc>
        <w:tc>
          <w:tcPr>
            <w:tcW w:w="960" w:type="dxa"/>
            <w:vAlign w:val="center"/>
          </w:tcPr>
          <w:p w14:paraId="2C7B2E98"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0.13</w:t>
            </w:r>
          </w:p>
        </w:tc>
        <w:tc>
          <w:tcPr>
            <w:tcW w:w="960" w:type="dxa"/>
            <w:noWrap/>
            <w:vAlign w:val="center"/>
            <w:hideMark/>
          </w:tcPr>
          <w:p w14:paraId="0CB740BC"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0.27</w:t>
            </w:r>
          </w:p>
        </w:tc>
        <w:tc>
          <w:tcPr>
            <w:tcW w:w="960" w:type="dxa"/>
            <w:noWrap/>
            <w:vAlign w:val="center"/>
            <w:hideMark/>
          </w:tcPr>
          <w:p w14:paraId="6D3B12A8"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0.99</w:t>
            </w:r>
          </w:p>
        </w:tc>
      </w:tr>
      <w:tr w:rsidR="003B5970" w:rsidRPr="00E24E6C" w14:paraId="3F77D3E5" w14:textId="77777777" w:rsidTr="003B5970">
        <w:trPr>
          <w:trHeight w:val="290"/>
        </w:trPr>
        <w:tc>
          <w:tcPr>
            <w:tcW w:w="960" w:type="dxa"/>
            <w:noWrap/>
            <w:vAlign w:val="center"/>
            <w:hideMark/>
          </w:tcPr>
          <w:p w14:paraId="704D4A8B" w14:textId="77777777" w:rsidR="003B5970" w:rsidRPr="00E24E6C" w:rsidRDefault="003B5970" w:rsidP="006E597C">
            <w:pPr>
              <w:jc w:val="right"/>
              <w:rPr>
                <w:rFonts w:eastAsia="Times New Roman" w:cstheme="minorHAnsi"/>
                <w:b/>
                <w:lang w:val="en-US" w:eastAsia="da-DK"/>
              </w:rPr>
            </w:pPr>
            <w:r w:rsidRPr="00E24E6C">
              <w:rPr>
                <w:rFonts w:eastAsia="Times New Roman" w:cstheme="minorHAnsi"/>
                <w:b/>
                <w:lang w:val="en-US" w:eastAsia="da-DK"/>
              </w:rPr>
              <w:t>6</w:t>
            </w:r>
          </w:p>
        </w:tc>
        <w:tc>
          <w:tcPr>
            <w:tcW w:w="1160" w:type="dxa"/>
            <w:noWrap/>
            <w:vAlign w:val="center"/>
            <w:hideMark/>
          </w:tcPr>
          <w:p w14:paraId="603196DA"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0.83</w:t>
            </w:r>
          </w:p>
        </w:tc>
        <w:tc>
          <w:tcPr>
            <w:tcW w:w="1146" w:type="dxa"/>
            <w:noWrap/>
            <w:vAlign w:val="center"/>
            <w:hideMark/>
          </w:tcPr>
          <w:p w14:paraId="697519CF"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0.92</w:t>
            </w:r>
          </w:p>
        </w:tc>
        <w:tc>
          <w:tcPr>
            <w:tcW w:w="960" w:type="dxa"/>
            <w:vAlign w:val="center"/>
          </w:tcPr>
          <w:p w14:paraId="4C6C1AA0"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10.38</w:t>
            </w:r>
          </w:p>
        </w:tc>
        <w:tc>
          <w:tcPr>
            <w:tcW w:w="960" w:type="dxa"/>
            <w:vAlign w:val="center"/>
          </w:tcPr>
          <w:p w14:paraId="6A4652B3"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0.18</w:t>
            </w:r>
          </w:p>
        </w:tc>
        <w:tc>
          <w:tcPr>
            <w:tcW w:w="960" w:type="dxa"/>
            <w:noWrap/>
            <w:vAlign w:val="center"/>
            <w:hideMark/>
          </w:tcPr>
          <w:p w14:paraId="26DF906B"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0.40</w:t>
            </w:r>
          </w:p>
        </w:tc>
        <w:tc>
          <w:tcPr>
            <w:tcW w:w="960" w:type="dxa"/>
            <w:noWrap/>
            <w:vAlign w:val="center"/>
            <w:hideMark/>
          </w:tcPr>
          <w:p w14:paraId="69B42838"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0.99</w:t>
            </w:r>
          </w:p>
        </w:tc>
      </w:tr>
      <w:tr w:rsidR="003B5970" w:rsidRPr="00E24E6C" w14:paraId="695554FC" w14:textId="77777777" w:rsidTr="003B5970">
        <w:trPr>
          <w:trHeight w:val="290"/>
        </w:trPr>
        <w:tc>
          <w:tcPr>
            <w:tcW w:w="960" w:type="dxa"/>
            <w:noWrap/>
            <w:vAlign w:val="center"/>
            <w:hideMark/>
          </w:tcPr>
          <w:p w14:paraId="7308D314" w14:textId="77777777" w:rsidR="003B5970" w:rsidRPr="00E24E6C" w:rsidRDefault="003B5970" w:rsidP="006E597C">
            <w:pPr>
              <w:jc w:val="right"/>
              <w:rPr>
                <w:rFonts w:eastAsia="Times New Roman" w:cstheme="minorHAnsi"/>
                <w:b/>
                <w:lang w:val="en-US" w:eastAsia="da-DK"/>
              </w:rPr>
            </w:pPr>
            <w:r w:rsidRPr="00E24E6C">
              <w:rPr>
                <w:rFonts w:eastAsia="Times New Roman" w:cstheme="minorHAnsi"/>
                <w:b/>
                <w:lang w:val="en-US" w:eastAsia="da-DK"/>
              </w:rPr>
              <w:t>7</w:t>
            </w:r>
          </w:p>
        </w:tc>
        <w:tc>
          <w:tcPr>
            <w:tcW w:w="1160" w:type="dxa"/>
            <w:noWrap/>
            <w:vAlign w:val="center"/>
            <w:hideMark/>
          </w:tcPr>
          <w:p w14:paraId="34968CC5"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0.72</w:t>
            </w:r>
          </w:p>
        </w:tc>
        <w:tc>
          <w:tcPr>
            <w:tcW w:w="1146" w:type="dxa"/>
            <w:noWrap/>
            <w:vAlign w:val="center"/>
            <w:hideMark/>
          </w:tcPr>
          <w:p w14:paraId="0EA327A1"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0.96</w:t>
            </w:r>
          </w:p>
        </w:tc>
        <w:tc>
          <w:tcPr>
            <w:tcW w:w="960" w:type="dxa"/>
            <w:vAlign w:val="center"/>
          </w:tcPr>
          <w:p w14:paraId="2433F899"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18.00</w:t>
            </w:r>
          </w:p>
        </w:tc>
        <w:tc>
          <w:tcPr>
            <w:tcW w:w="960" w:type="dxa"/>
            <w:vAlign w:val="center"/>
          </w:tcPr>
          <w:p w14:paraId="78D4C664"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0.29</w:t>
            </w:r>
          </w:p>
        </w:tc>
        <w:tc>
          <w:tcPr>
            <w:tcW w:w="960" w:type="dxa"/>
            <w:noWrap/>
            <w:vAlign w:val="center"/>
            <w:hideMark/>
          </w:tcPr>
          <w:p w14:paraId="15CBEF1B"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0.53</w:t>
            </w:r>
          </w:p>
        </w:tc>
        <w:tc>
          <w:tcPr>
            <w:tcW w:w="960" w:type="dxa"/>
            <w:noWrap/>
            <w:vAlign w:val="center"/>
            <w:hideMark/>
          </w:tcPr>
          <w:p w14:paraId="4BA08D30" w14:textId="77777777" w:rsidR="003B5970" w:rsidRPr="00E24E6C" w:rsidRDefault="003B5970" w:rsidP="006E597C">
            <w:pPr>
              <w:jc w:val="center"/>
              <w:rPr>
                <w:rFonts w:eastAsia="Times New Roman" w:cstheme="minorHAnsi"/>
                <w:b/>
                <w:lang w:val="en-US" w:eastAsia="da-DK"/>
              </w:rPr>
            </w:pPr>
            <w:r w:rsidRPr="00E24E6C">
              <w:rPr>
                <w:rFonts w:eastAsia="Times New Roman" w:cstheme="minorHAnsi"/>
                <w:b/>
                <w:lang w:val="en-US" w:eastAsia="da-DK"/>
              </w:rPr>
              <w:t>0.98</w:t>
            </w:r>
          </w:p>
        </w:tc>
      </w:tr>
      <w:tr w:rsidR="003B5970" w:rsidRPr="00E24E6C" w14:paraId="33802A24" w14:textId="77777777" w:rsidTr="003B5970">
        <w:trPr>
          <w:trHeight w:val="290"/>
        </w:trPr>
        <w:tc>
          <w:tcPr>
            <w:tcW w:w="960" w:type="dxa"/>
            <w:noWrap/>
            <w:vAlign w:val="center"/>
            <w:hideMark/>
          </w:tcPr>
          <w:p w14:paraId="09AA2CA1" w14:textId="77777777" w:rsidR="003B5970" w:rsidRPr="00E24E6C" w:rsidRDefault="003B5970" w:rsidP="006E597C">
            <w:pPr>
              <w:jc w:val="right"/>
              <w:rPr>
                <w:rFonts w:eastAsia="Times New Roman" w:cstheme="minorHAnsi"/>
                <w:lang w:val="en-US" w:eastAsia="da-DK"/>
              </w:rPr>
            </w:pPr>
            <w:r w:rsidRPr="00E24E6C">
              <w:rPr>
                <w:rFonts w:eastAsia="Times New Roman" w:cstheme="minorHAnsi"/>
                <w:lang w:val="en-US" w:eastAsia="da-DK"/>
              </w:rPr>
              <w:t>8</w:t>
            </w:r>
          </w:p>
        </w:tc>
        <w:tc>
          <w:tcPr>
            <w:tcW w:w="1160" w:type="dxa"/>
            <w:noWrap/>
            <w:vAlign w:val="center"/>
            <w:hideMark/>
          </w:tcPr>
          <w:p w14:paraId="607ED13C"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0.17</w:t>
            </w:r>
          </w:p>
        </w:tc>
        <w:tc>
          <w:tcPr>
            <w:tcW w:w="1146" w:type="dxa"/>
            <w:noWrap/>
            <w:vAlign w:val="center"/>
            <w:hideMark/>
          </w:tcPr>
          <w:p w14:paraId="7C2DE633"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0.99</w:t>
            </w:r>
          </w:p>
        </w:tc>
        <w:tc>
          <w:tcPr>
            <w:tcW w:w="960" w:type="dxa"/>
            <w:vAlign w:val="center"/>
          </w:tcPr>
          <w:p w14:paraId="07E538F4"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17.00</w:t>
            </w:r>
          </w:p>
        </w:tc>
        <w:tc>
          <w:tcPr>
            <w:tcW w:w="960" w:type="dxa"/>
            <w:vAlign w:val="center"/>
          </w:tcPr>
          <w:p w14:paraId="7FC69705"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0.84</w:t>
            </w:r>
          </w:p>
        </w:tc>
        <w:tc>
          <w:tcPr>
            <w:tcW w:w="960" w:type="dxa"/>
            <w:noWrap/>
            <w:vAlign w:val="center"/>
            <w:hideMark/>
          </w:tcPr>
          <w:p w14:paraId="009C855E"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0.52</w:t>
            </w:r>
          </w:p>
        </w:tc>
        <w:tc>
          <w:tcPr>
            <w:tcW w:w="960" w:type="dxa"/>
            <w:noWrap/>
            <w:vAlign w:val="center"/>
            <w:hideMark/>
          </w:tcPr>
          <w:p w14:paraId="0FB52604" w14:textId="77777777" w:rsidR="003B5970" w:rsidRPr="00E24E6C" w:rsidRDefault="003B5970" w:rsidP="006E597C">
            <w:pPr>
              <w:jc w:val="center"/>
              <w:rPr>
                <w:rFonts w:eastAsia="Times New Roman" w:cstheme="minorHAnsi"/>
                <w:lang w:val="en-US" w:eastAsia="da-DK"/>
              </w:rPr>
            </w:pPr>
            <w:r w:rsidRPr="00E24E6C">
              <w:rPr>
                <w:rFonts w:eastAsia="Times New Roman" w:cstheme="minorHAnsi"/>
                <w:lang w:val="en-US" w:eastAsia="da-DK"/>
              </w:rPr>
              <w:t>0.95</w:t>
            </w:r>
          </w:p>
        </w:tc>
      </w:tr>
    </w:tbl>
    <w:p w14:paraId="56DD7F61" w14:textId="7C643DD8" w:rsidR="006E597C" w:rsidRPr="00E24E6C" w:rsidRDefault="006E597C" w:rsidP="0026676B">
      <w:pPr>
        <w:rPr>
          <w:rFonts w:cstheme="minorHAnsi"/>
          <w:i/>
          <w:sz w:val="22"/>
          <w:szCs w:val="22"/>
          <w:lang w:val="en-US"/>
        </w:rPr>
      </w:pPr>
      <w:r w:rsidRPr="00E24E6C">
        <w:rPr>
          <w:rFonts w:cstheme="minorHAnsi"/>
          <w:sz w:val="22"/>
          <w:szCs w:val="22"/>
          <w:lang w:val="en-US"/>
        </w:rPr>
        <w:t xml:space="preserve">Notes. </w:t>
      </w:r>
      <w:r w:rsidR="0026676B" w:rsidRPr="00E24E6C">
        <w:rPr>
          <w:rFonts w:cstheme="minorHAnsi"/>
          <w:i/>
          <w:sz w:val="22"/>
          <w:szCs w:val="22"/>
          <w:lang w:val="en-US"/>
        </w:rPr>
        <w:t xml:space="preserve">LR− = negative likelihood ratio; LR+ = positive likelihood ratio, </w:t>
      </w:r>
      <w:r w:rsidRPr="00E24E6C">
        <w:rPr>
          <w:rFonts w:cstheme="minorHAnsi"/>
          <w:i/>
          <w:sz w:val="22"/>
          <w:szCs w:val="22"/>
          <w:lang w:val="en-US"/>
        </w:rPr>
        <w:t>PPV</w:t>
      </w:r>
      <w:r w:rsidR="0026676B" w:rsidRPr="00E24E6C">
        <w:rPr>
          <w:rFonts w:cstheme="minorHAnsi"/>
          <w:i/>
          <w:sz w:val="22"/>
          <w:szCs w:val="22"/>
          <w:lang w:val="en-US"/>
        </w:rPr>
        <w:t>=</w:t>
      </w:r>
      <w:r w:rsidRPr="00E24E6C">
        <w:rPr>
          <w:rFonts w:cstheme="minorHAnsi"/>
          <w:i/>
          <w:sz w:val="22"/>
          <w:szCs w:val="22"/>
          <w:lang w:val="en-US"/>
        </w:rPr>
        <w:t xml:space="preserve"> positive predictive value, NPV</w:t>
      </w:r>
      <w:r w:rsidR="0026676B" w:rsidRPr="00E24E6C">
        <w:rPr>
          <w:rFonts w:cstheme="minorHAnsi"/>
          <w:i/>
          <w:sz w:val="22"/>
          <w:szCs w:val="22"/>
          <w:lang w:val="en-US"/>
        </w:rPr>
        <w:t xml:space="preserve">= </w:t>
      </w:r>
      <w:r w:rsidRPr="00E24E6C">
        <w:rPr>
          <w:rFonts w:cstheme="minorHAnsi"/>
          <w:i/>
          <w:sz w:val="22"/>
          <w:szCs w:val="22"/>
          <w:lang w:val="en-US"/>
        </w:rPr>
        <w:t xml:space="preserve">Negative predictive value. </w:t>
      </w:r>
    </w:p>
    <w:p w14:paraId="606F5436" w14:textId="429393FB" w:rsidR="003436B2" w:rsidRDefault="003436B2">
      <w:pPr>
        <w:rPr>
          <w:b/>
          <w:lang w:val="en-US"/>
        </w:rPr>
      </w:pPr>
    </w:p>
    <w:p w14:paraId="32A0C9A5" w14:textId="77777777" w:rsidR="00061D98" w:rsidRDefault="00061D98">
      <w:pPr>
        <w:rPr>
          <w:b/>
          <w:lang w:val="en-US"/>
        </w:rPr>
      </w:pPr>
    </w:p>
    <w:p w14:paraId="039DC998" w14:textId="21F21DD6" w:rsidR="00EE4AE3" w:rsidRPr="00EE4AE3" w:rsidRDefault="00C15AB9">
      <w:pPr>
        <w:rPr>
          <w:b/>
          <w:lang w:val="en-US"/>
        </w:rPr>
      </w:pPr>
      <w:r>
        <w:rPr>
          <w:b/>
          <w:lang w:val="en-US"/>
        </w:rPr>
        <w:t xml:space="preserve">2. </w:t>
      </w:r>
      <w:r w:rsidR="006E597C">
        <w:rPr>
          <w:b/>
          <w:lang w:val="en-US"/>
        </w:rPr>
        <w:t>E</w:t>
      </w:r>
      <w:r w:rsidR="00EE4AE3" w:rsidRPr="00EE4AE3">
        <w:rPr>
          <w:b/>
          <w:lang w:val="en-US"/>
        </w:rPr>
        <w:t xml:space="preserve">xamination of cognitive ability score performance as a test for post-deployment </w:t>
      </w:r>
      <w:r w:rsidR="002038BF">
        <w:rPr>
          <w:b/>
          <w:lang w:val="en-US"/>
        </w:rPr>
        <w:t>depression</w:t>
      </w:r>
      <w:r w:rsidR="00EE4AE3" w:rsidRPr="00EE4AE3">
        <w:rPr>
          <w:b/>
          <w:lang w:val="en-US"/>
        </w:rPr>
        <w:t>.</w:t>
      </w:r>
    </w:p>
    <w:p w14:paraId="574B7C19" w14:textId="77777777" w:rsidR="00EE4AE3" w:rsidRDefault="00EE4AE3">
      <w:pPr>
        <w:rPr>
          <w:lang w:val="en-US"/>
        </w:rPr>
      </w:pPr>
    </w:p>
    <w:p w14:paraId="05E4A78C" w14:textId="77777777" w:rsidR="00EE4AE3" w:rsidRDefault="00EE4AE3">
      <w:pPr>
        <w:rPr>
          <w:lang w:val="en-US"/>
        </w:rPr>
      </w:pPr>
      <w:r>
        <w:rPr>
          <w:lang w:val="en-US"/>
        </w:rPr>
        <w:t xml:space="preserve">We performed ROC-curve analysis for both outcomes, possible </w:t>
      </w:r>
      <w:r w:rsidR="002038BF">
        <w:rPr>
          <w:lang w:val="en-US"/>
        </w:rPr>
        <w:t xml:space="preserve">depression </w:t>
      </w:r>
      <w:r>
        <w:rPr>
          <w:lang w:val="en-US"/>
        </w:rPr>
        <w:t xml:space="preserve">and probable </w:t>
      </w:r>
      <w:r w:rsidR="002038BF">
        <w:rPr>
          <w:lang w:val="en-US"/>
        </w:rPr>
        <w:t>depression</w:t>
      </w:r>
      <w:r>
        <w:rPr>
          <w:lang w:val="en-US"/>
        </w:rPr>
        <w:t xml:space="preserve">. As the test variable, we used the </w:t>
      </w:r>
      <w:r w:rsidRPr="00911141">
        <w:rPr>
          <w:i/>
          <w:lang w:val="en-US"/>
        </w:rPr>
        <w:t>inverse</w:t>
      </w:r>
      <w:r>
        <w:rPr>
          <w:lang w:val="en-US"/>
        </w:rPr>
        <w:t xml:space="preserve"> of the cognitive probability score</w:t>
      </w:r>
      <w:r w:rsidR="00911141">
        <w:rPr>
          <w:lang w:val="en-US"/>
        </w:rPr>
        <w:t xml:space="preserve"> (CAS), because increase of CAS decreases risk of post-deployment PTSD.</w:t>
      </w:r>
    </w:p>
    <w:p w14:paraId="2FFC5EE2" w14:textId="77777777" w:rsidR="00911141" w:rsidRDefault="00911141">
      <w:pPr>
        <w:rPr>
          <w:lang w:val="en-US"/>
        </w:rPr>
      </w:pPr>
    </w:p>
    <w:p w14:paraId="7FD0C057" w14:textId="77777777" w:rsidR="00911141" w:rsidRDefault="00911141">
      <w:pPr>
        <w:rPr>
          <w:lang w:val="en-US"/>
        </w:rPr>
      </w:pPr>
      <w:r>
        <w:rPr>
          <w:lang w:val="en-US"/>
        </w:rPr>
        <w:t>The results are shown on the figure</w:t>
      </w:r>
      <w:r w:rsidR="002038BF">
        <w:rPr>
          <w:lang w:val="en-US"/>
        </w:rPr>
        <w:t>s</w:t>
      </w:r>
      <w:r w:rsidR="002A613D">
        <w:rPr>
          <w:lang w:val="en-US"/>
        </w:rPr>
        <w:t xml:space="preserve"> 2 and 3</w:t>
      </w:r>
      <w:r>
        <w:rPr>
          <w:lang w:val="en-US"/>
        </w:rPr>
        <w:t xml:space="preserve"> below:</w:t>
      </w:r>
    </w:p>
    <w:p w14:paraId="066FCB4F" w14:textId="77777777" w:rsidR="002038BF" w:rsidRDefault="002038BF">
      <w:pPr>
        <w:rPr>
          <w:lang w:val="en-US"/>
        </w:rPr>
      </w:pPr>
    </w:p>
    <w:p w14:paraId="09D7595D" w14:textId="77777777" w:rsidR="00CD0D71" w:rsidRDefault="006E597C" w:rsidP="00D348FB">
      <w:pPr>
        <w:rPr>
          <w:b/>
          <w:sz w:val="22"/>
          <w:szCs w:val="22"/>
          <w:lang w:val="en-US"/>
        </w:rPr>
      </w:pPr>
      <w:r>
        <w:rPr>
          <w:noProof/>
          <w:lang w:eastAsia="da-DK"/>
        </w:rPr>
        <w:drawing>
          <wp:inline distT="0" distB="0" distL="0" distR="0" wp14:anchorId="29C96973" wp14:editId="2EDF2809">
            <wp:extent cx="5547360" cy="3698048"/>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 1 baseline poss_dep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59988" cy="3706466"/>
                    </a:xfrm>
                    <a:prstGeom prst="rect">
                      <a:avLst/>
                    </a:prstGeom>
                  </pic:spPr>
                </pic:pic>
              </a:graphicData>
            </a:graphic>
          </wp:inline>
        </w:drawing>
      </w:r>
    </w:p>
    <w:p w14:paraId="258BF916" w14:textId="77777777" w:rsidR="006E597C" w:rsidRPr="006E597C" w:rsidRDefault="002038BF" w:rsidP="00D348FB">
      <w:pPr>
        <w:rPr>
          <w:i/>
          <w:sz w:val="22"/>
          <w:szCs w:val="22"/>
          <w:lang w:val="en-US"/>
        </w:rPr>
      </w:pPr>
      <w:r w:rsidRPr="006E597C">
        <w:rPr>
          <w:b/>
          <w:sz w:val="22"/>
          <w:szCs w:val="22"/>
          <w:lang w:val="en-US"/>
        </w:rPr>
        <w:t xml:space="preserve">Figure </w:t>
      </w:r>
      <w:r w:rsidR="002A613D">
        <w:rPr>
          <w:b/>
          <w:sz w:val="22"/>
          <w:szCs w:val="22"/>
          <w:lang w:val="en-US"/>
        </w:rPr>
        <w:t>2</w:t>
      </w:r>
      <w:r w:rsidRPr="006E597C">
        <w:rPr>
          <w:sz w:val="22"/>
          <w:szCs w:val="22"/>
          <w:lang w:val="en-US"/>
        </w:rPr>
        <w:t xml:space="preserve">: </w:t>
      </w:r>
      <w:r w:rsidR="00911141" w:rsidRPr="006E597C">
        <w:rPr>
          <w:i/>
          <w:sz w:val="22"/>
          <w:szCs w:val="22"/>
          <w:lang w:val="en-US"/>
        </w:rPr>
        <w:t xml:space="preserve">For possible </w:t>
      </w:r>
      <w:r w:rsidR="005B1B78" w:rsidRPr="006E597C">
        <w:rPr>
          <w:i/>
          <w:sz w:val="22"/>
          <w:szCs w:val="22"/>
          <w:lang w:val="en-US"/>
        </w:rPr>
        <w:t>depression</w:t>
      </w:r>
      <w:r w:rsidR="00911141" w:rsidRPr="006E597C">
        <w:rPr>
          <w:i/>
          <w:sz w:val="22"/>
          <w:szCs w:val="22"/>
          <w:lang w:val="en-US"/>
        </w:rPr>
        <w:t>, the area under the ROC-curve (AUC) was 0.5</w:t>
      </w:r>
      <w:r w:rsidR="006E597C" w:rsidRPr="006E597C">
        <w:rPr>
          <w:i/>
          <w:sz w:val="22"/>
          <w:szCs w:val="22"/>
          <w:lang w:val="en-US"/>
        </w:rPr>
        <w:t>4</w:t>
      </w:r>
    </w:p>
    <w:p w14:paraId="05DF9298" w14:textId="77777777" w:rsidR="006E597C" w:rsidRDefault="006E597C" w:rsidP="00D348FB">
      <w:pPr>
        <w:rPr>
          <w:lang w:val="en-US"/>
        </w:rPr>
      </w:pPr>
    </w:p>
    <w:p w14:paraId="6D077D46" w14:textId="77777777" w:rsidR="006E597C" w:rsidRDefault="006E597C" w:rsidP="00D348FB">
      <w:pPr>
        <w:rPr>
          <w:lang w:val="en-US"/>
        </w:rPr>
      </w:pPr>
    </w:p>
    <w:p w14:paraId="535DDF23" w14:textId="77777777" w:rsidR="006E597C" w:rsidRDefault="006E597C" w:rsidP="00D348FB">
      <w:pPr>
        <w:rPr>
          <w:lang w:val="en-US"/>
        </w:rPr>
      </w:pPr>
      <w:r>
        <w:rPr>
          <w:noProof/>
          <w:lang w:eastAsia="da-DK"/>
        </w:rPr>
        <w:drawing>
          <wp:inline distT="0" distB="0" distL="0" distR="0" wp14:anchorId="420FB125" wp14:editId="6F0BA40B">
            <wp:extent cx="5561842" cy="3707704"/>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C 1 baseline prob_dep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4179" cy="3715928"/>
                    </a:xfrm>
                    <a:prstGeom prst="rect">
                      <a:avLst/>
                    </a:prstGeom>
                  </pic:spPr>
                </pic:pic>
              </a:graphicData>
            </a:graphic>
          </wp:inline>
        </w:drawing>
      </w:r>
    </w:p>
    <w:p w14:paraId="53463388" w14:textId="77777777" w:rsidR="00D348FB" w:rsidRPr="00B40FBD" w:rsidRDefault="006E597C" w:rsidP="00D348FB">
      <w:pPr>
        <w:rPr>
          <w:i/>
          <w:sz w:val="22"/>
          <w:szCs w:val="22"/>
          <w:lang w:val="en-US"/>
        </w:rPr>
      </w:pPr>
      <w:r w:rsidRPr="00B40FBD">
        <w:rPr>
          <w:b/>
          <w:sz w:val="22"/>
          <w:szCs w:val="22"/>
          <w:lang w:val="en-US"/>
        </w:rPr>
        <w:t xml:space="preserve">Figure </w:t>
      </w:r>
      <w:r w:rsidR="002A613D">
        <w:rPr>
          <w:b/>
          <w:sz w:val="22"/>
          <w:szCs w:val="22"/>
          <w:lang w:val="en-US"/>
        </w:rPr>
        <w:t>3</w:t>
      </w:r>
      <w:r w:rsidRPr="00B40FBD">
        <w:rPr>
          <w:b/>
          <w:sz w:val="22"/>
          <w:szCs w:val="22"/>
          <w:lang w:val="en-US"/>
        </w:rPr>
        <w:t>:</w:t>
      </w:r>
      <w:r w:rsidRPr="00B40FBD">
        <w:rPr>
          <w:sz w:val="22"/>
          <w:szCs w:val="22"/>
          <w:lang w:val="en-US"/>
        </w:rPr>
        <w:t xml:space="preserve"> </w:t>
      </w:r>
      <w:r w:rsidR="002038BF" w:rsidRPr="00B40FBD">
        <w:rPr>
          <w:i/>
          <w:sz w:val="22"/>
          <w:szCs w:val="22"/>
          <w:lang w:val="en-US"/>
        </w:rPr>
        <w:t>F</w:t>
      </w:r>
      <w:r w:rsidR="00D348FB" w:rsidRPr="00B40FBD">
        <w:rPr>
          <w:i/>
          <w:sz w:val="22"/>
          <w:szCs w:val="22"/>
          <w:lang w:val="en-US"/>
        </w:rPr>
        <w:t xml:space="preserve">or </w:t>
      </w:r>
      <w:r w:rsidR="002038BF" w:rsidRPr="00B40FBD">
        <w:rPr>
          <w:i/>
          <w:sz w:val="22"/>
          <w:szCs w:val="22"/>
          <w:lang w:val="en-US"/>
        </w:rPr>
        <w:t>probable depression</w:t>
      </w:r>
      <w:r w:rsidR="00D348FB" w:rsidRPr="00B40FBD">
        <w:rPr>
          <w:i/>
          <w:sz w:val="22"/>
          <w:szCs w:val="22"/>
          <w:lang w:val="en-US"/>
        </w:rPr>
        <w:t>, the AUC was 0.5</w:t>
      </w:r>
      <w:r w:rsidRPr="00B40FBD">
        <w:rPr>
          <w:i/>
          <w:sz w:val="22"/>
          <w:szCs w:val="22"/>
          <w:lang w:val="en-US"/>
        </w:rPr>
        <w:t>5</w:t>
      </w:r>
    </w:p>
    <w:p w14:paraId="4733BEE0" w14:textId="77777777" w:rsidR="002038BF" w:rsidRDefault="002038BF" w:rsidP="00D348FB">
      <w:pPr>
        <w:rPr>
          <w:lang w:val="en-US"/>
        </w:rPr>
      </w:pPr>
    </w:p>
    <w:p w14:paraId="272E6261" w14:textId="77777777" w:rsidR="00D348FB" w:rsidRDefault="00D348FB">
      <w:pPr>
        <w:rPr>
          <w:lang w:val="en-US"/>
        </w:rPr>
      </w:pPr>
      <w:r>
        <w:rPr>
          <w:lang w:val="en-US"/>
        </w:rPr>
        <w:t>I</w:t>
      </w:r>
      <w:r w:rsidR="006F6252">
        <w:rPr>
          <w:lang w:val="en-US"/>
        </w:rPr>
        <w:t>n conclusion, for both outcomes</w:t>
      </w:r>
      <w:r>
        <w:rPr>
          <w:lang w:val="en-US"/>
        </w:rPr>
        <w:t xml:space="preserve">, </w:t>
      </w:r>
      <w:r w:rsidR="006F6252">
        <w:rPr>
          <w:lang w:val="en-US"/>
        </w:rPr>
        <w:t>the AUC was</w:t>
      </w:r>
      <w:r w:rsidR="00EA1B76">
        <w:rPr>
          <w:lang w:val="en-US"/>
        </w:rPr>
        <w:t xml:space="preserve"> below 0.60, showing that the test performance</w:t>
      </w:r>
      <w:r w:rsidR="002038BF">
        <w:rPr>
          <w:lang w:val="en-US"/>
        </w:rPr>
        <w:t>, that is, predictive power</w:t>
      </w:r>
      <w:r w:rsidR="00EA1B76">
        <w:rPr>
          <w:lang w:val="en-US"/>
        </w:rPr>
        <w:t xml:space="preserve"> of </w:t>
      </w:r>
      <w:r w:rsidR="006E597C">
        <w:rPr>
          <w:lang w:val="en-US"/>
        </w:rPr>
        <w:t xml:space="preserve">the inverse </w:t>
      </w:r>
      <w:r w:rsidR="002038BF">
        <w:rPr>
          <w:lang w:val="en-US"/>
        </w:rPr>
        <w:t xml:space="preserve">CAS </w:t>
      </w:r>
      <w:r w:rsidR="00EA1B76">
        <w:rPr>
          <w:lang w:val="en-US"/>
        </w:rPr>
        <w:t>was very po</w:t>
      </w:r>
      <w:r w:rsidR="006F6252">
        <w:rPr>
          <w:lang w:val="en-US"/>
        </w:rPr>
        <w:t xml:space="preserve">or. </w:t>
      </w:r>
    </w:p>
    <w:p w14:paraId="3980F642" w14:textId="5B18B266" w:rsidR="00911141" w:rsidRDefault="00911141">
      <w:pPr>
        <w:rPr>
          <w:lang w:val="en-US"/>
        </w:rPr>
      </w:pPr>
    </w:p>
    <w:p w14:paraId="5D80E7CB" w14:textId="03B1FC9E" w:rsidR="003D6345" w:rsidRPr="003D6345" w:rsidRDefault="003D6345">
      <w:pPr>
        <w:rPr>
          <w:b/>
          <w:lang w:val="en-US"/>
        </w:rPr>
      </w:pPr>
      <w:r w:rsidRPr="003D6345">
        <w:rPr>
          <w:b/>
          <w:lang w:val="en-US"/>
        </w:rPr>
        <w:t>References</w:t>
      </w:r>
    </w:p>
    <w:p w14:paraId="53FE8704" w14:textId="347CDC79" w:rsidR="00E6148A" w:rsidRPr="00E6148A" w:rsidRDefault="003D6345" w:rsidP="00E6148A">
      <w:pPr>
        <w:widowControl w:val="0"/>
        <w:autoSpaceDE w:val="0"/>
        <w:autoSpaceDN w:val="0"/>
        <w:adjustRightInd w:val="0"/>
        <w:ind w:left="640" w:hanging="640"/>
        <w:rPr>
          <w:rFonts w:ascii="Calibri" w:hAnsi="Calibri" w:cs="Calibri"/>
          <w:noProof/>
        </w:rPr>
      </w:pPr>
      <w:r>
        <w:rPr>
          <w:lang w:val="en-US"/>
        </w:rPr>
        <w:fldChar w:fldCharType="begin" w:fldLock="1"/>
      </w:r>
      <w:r>
        <w:rPr>
          <w:lang w:val="en-US"/>
        </w:rPr>
        <w:instrText xml:space="preserve">ADDIN Mendeley Bibliography CSL_BIBLIOGRAPHY </w:instrText>
      </w:r>
      <w:r>
        <w:rPr>
          <w:lang w:val="en-US"/>
        </w:rPr>
        <w:fldChar w:fldCharType="separate"/>
      </w:r>
      <w:r w:rsidR="00E6148A" w:rsidRPr="00E6148A">
        <w:rPr>
          <w:rFonts w:ascii="Calibri" w:hAnsi="Calibri" w:cs="Calibri"/>
          <w:noProof/>
        </w:rPr>
        <w:t xml:space="preserve">1. </w:t>
      </w:r>
      <w:r w:rsidR="00E6148A" w:rsidRPr="00E6148A">
        <w:rPr>
          <w:rFonts w:ascii="Calibri" w:hAnsi="Calibri" w:cs="Calibri"/>
          <w:noProof/>
        </w:rPr>
        <w:tab/>
        <w:t>Beck AT, Ward CH, Mendelson M, et al (1961) An inventory for measuring depression. Arch Gen Psychiatry 4:561–71</w:t>
      </w:r>
    </w:p>
    <w:p w14:paraId="668E8722" w14:textId="77777777" w:rsidR="00E6148A" w:rsidRPr="00E6148A" w:rsidRDefault="00E6148A" w:rsidP="00E6148A">
      <w:pPr>
        <w:widowControl w:val="0"/>
        <w:autoSpaceDE w:val="0"/>
        <w:autoSpaceDN w:val="0"/>
        <w:adjustRightInd w:val="0"/>
        <w:ind w:left="640" w:hanging="640"/>
        <w:rPr>
          <w:rFonts w:ascii="Calibri" w:hAnsi="Calibri" w:cs="Calibri"/>
          <w:noProof/>
        </w:rPr>
      </w:pPr>
      <w:r w:rsidRPr="00E6148A">
        <w:rPr>
          <w:rFonts w:ascii="Calibri" w:hAnsi="Calibri" w:cs="Calibri"/>
          <w:noProof/>
        </w:rPr>
        <w:t xml:space="preserve">2. </w:t>
      </w:r>
      <w:r w:rsidRPr="00E6148A">
        <w:rPr>
          <w:rFonts w:ascii="Calibri" w:hAnsi="Calibri" w:cs="Calibri"/>
          <w:noProof/>
        </w:rPr>
        <w:tab/>
        <w:t>Beck AT, Steer RA, Carbin MG (1988) Psychometric properties of the Beck Depression Inventory: Twenty-five years of evaluation. Clin Psychol Rev 8:77–100</w:t>
      </w:r>
    </w:p>
    <w:p w14:paraId="04E305A9" w14:textId="77777777" w:rsidR="00E6148A" w:rsidRPr="00E6148A" w:rsidRDefault="00E6148A" w:rsidP="00E6148A">
      <w:pPr>
        <w:widowControl w:val="0"/>
        <w:autoSpaceDE w:val="0"/>
        <w:autoSpaceDN w:val="0"/>
        <w:adjustRightInd w:val="0"/>
        <w:ind w:left="640" w:hanging="640"/>
        <w:rPr>
          <w:rFonts w:ascii="Calibri" w:hAnsi="Calibri" w:cs="Calibri"/>
          <w:noProof/>
        </w:rPr>
      </w:pPr>
      <w:r w:rsidRPr="00E6148A">
        <w:rPr>
          <w:rFonts w:ascii="Calibri" w:hAnsi="Calibri" w:cs="Calibri"/>
          <w:noProof/>
        </w:rPr>
        <w:t xml:space="preserve">3. </w:t>
      </w:r>
      <w:r w:rsidRPr="00E6148A">
        <w:rPr>
          <w:rFonts w:ascii="Calibri" w:hAnsi="Calibri" w:cs="Calibri"/>
          <w:noProof/>
        </w:rPr>
        <w:tab/>
        <w:t>McDonald SD, Calhoun PS (2010) The diagnostic accuracy of the PTSD checklist: a critical review. Clin Psychol Rev 30:976–987 . doi: 10.1016/j.cpr.2010.06.012</w:t>
      </w:r>
    </w:p>
    <w:p w14:paraId="145CE3DD" w14:textId="77777777" w:rsidR="00E6148A" w:rsidRPr="00E6148A" w:rsidRDefault="00E6148A" w:rsidP="00E6148A">
      <w:pPr>
        <w:widowControl w:val="0"/>
        <w:autoSpaceDE w:val="0"/>
        <w:autoSpaceDN w:val="0"/>
        <w:adjustRightInd w:val="0"/>
        <w:ind w:left="640" w:hanging="640"/>
        <w:rPr>
          <w:rFonts w:ascii="Calibri" w:hAnsi="Calibri" w:cs="Calibri"/>
          <w:noProof/>
        </w:rPr>
      </w:pPr>
      <w:r w:rsidRPr="00E6148A">
        <w:rPr>
          <w:rFonts w:ascii="Calibri" w:hAnsi="Calibri" w:cs="Calibri"/>
          <w:noProof/>
        </w:rPr>
        <w:t xml:space="preserve">4. </w:t>
      </w:r>
      <w:r w:rsidRPr="00E6148A">
        <w:rPr>
          <w:rFonts w:ascii="Calibri" w:hAnsi="Calibri" w:cs="Calibri"/>
          <w:noProof/>
        </w:rPr>
        <w:tab/>
        <w:t>Greenhalgh T (1998) Papers that report diagnostic or screening tests. Br Med J 315:540–543</w:t>
      </w:r>
    </w:p>
    <w:p w14:paraId="4A9E42FE" w14:textId="77777777" w:rsidR="00E6148A" w:rsidRPr="00E6148A" w:rsidRDefault="00E6148A" w:rsidP="00E6148A">
      <w:pPr>
        <w:widowControl w:val="0"/>
        <w:autoSpaceDE w:val="0"/>
        <w:autoSpaceDN w:val="0"/>
        <w:adjustRightInd w:val="0"/>
        <w:ind w:left="640" w:hanging="640"/>
        <w:rPr>
          <w:rFonts w:ascii="Calibri" w:hAnsi="Calibri" w:cs="Calibri"/>
          <w:noProof/>
        </w:rPr>
      </w:pPr>
      <w:r w:rsidRPr="00E6148A">
        <w:rPr>
          <w:rFonts w:ascii="Calibri" w:hAnsi="Calibri" w:cs="Calibri"/>
          <w:noProof/>
        </w:rPr>
        <w:t xml:space="preserve">5. </w:t>
      </w:r>
      <w:r w:rsidRPr="00E6148A">
        <w:rPr>
          <w:rFonts w:ascii="Calibri" w:hAnsi="Calibri" w:cs="Calibri"/>
          <w:noProof/>
        </w:rPr>
        <w:tab/>
        <w:t>Jaeschke R, Guyatt GH, Sackett DL, et al (1994) Users’ Guides to the Medical Literature: III. How to Use an Article About a Diagnostic Test. Jama 271:703–707</w:t>
      </w:r>
    </w:p>
    <w:p w14:paraId="237425B5" w14:textId="623F3942" w:rsidR="00911141" w:rsidRPr="00EE4AE3" w:rsidRDefault="003D6345">
      <w:pPr>
        <w:rPr>
          <w:lang w:val="en-US"/>
        </w:rPr>
      </w:pPr>
      <w:r>
        <w:rPr>
          <w:lang w:val="en-US"/>
        </w:rPr>
        <w:fldChar w:fldCharType="end"/>
      </w:r>
    </w:p>
    <w:sectPr w:rsidR="00911141" w:rsidRPr="00EE4AE3" w:rsidSect="004B2EEF">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A8638" w14:textId="77777777" w:rsidR="00833367" w:rsidRDefault="00833367" w:rsidP="004A5C9C">
      <w:r>
        <w:separator/>
      </w:r>
    </w:p>
  </w:endnote>
  <w:endnote w:type="continuationSeparator" w:id="0">
    <w:p w14:paraId="4A7FAA64" w14:textId="77777777" w:rsidR="00833367" w:rsidRDefault="00833367" w:rsidP="004A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68534"/>
      <w:docPartObj>
        <w:docPartGallery w:val="Page Numbers (Bottom of Page)"/>
        <w:docPartUnique/>
      </w:docPartObj>
    </w:sdtPr>
    <w:sdtEndPr/>
    <w:sdtContent>
      <w:p w14:paraId="16250EB2" w14:textId="77777777" w:rsidR="003B5970" w:rsidRDefault="00DC3FD2">
        <w:pPr>
          <w:pStyle w:val="Sidefod"/>
          <w:jc w:val="right"/>
        </w:pPr>
        <w:r>
          <w:fldChar w:fldCharType="begin"/>
        </w:r>
        <w:r>
          <w:instrText xml:space="preserve"> PAGE   \* MERGEFORMAT </w:instrText>
        </w:r>
        <w:r>
          <w:fldChar w:fldCharType="separate"/>
        </w:r>
        <w:r w:rsidR="008C4726">
          <w:rPr>
            <w:noProof/>
          </w:rPr>
          <w:t>3</w:t>
        </w:r>
        <w:r>
          <w:rPr>
            <w:noProof/>
          </w:rPr>
          <w:fldChar w:fldCharType="end"/>
        </w:r>
      </w:p>
    </w:sdtContent>
  </w:sdt>
  <w:p w14:paraId="26B18068" w14:textId="77777777" w:rsidR="003B5970" w:rsidRDefault="003B597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6A065" w14:textId="77777777" w:rsidR="00833367" w:rsidRDefault="00833367" w:rsidP="004A5C9C">
      <w:r>
        <w:separator/>
      </w:r>
    </w:p>
  </w:footnote>
  <w:footnote w:type="continuationSeparator" w:id="0">
    <w:p w14:paraId="73D0F772" w14:textId="77777777" w:rsidR="00833367" w:rsidRDefault="00833367" w:rsidP="004A5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41B4E"/>
    <w:multiLevelType w:val="hybridMultilevel"/>
    <w:tmpl w:val="FF5ACB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4AE3"/>
    <w:rsid w:val="00061829"/>
    <w:rsid w:val="00061D98"/>
    <w:rsid w:val="001B544D"/>
    <w:rsid w:val="002038BF"/>
    <w:rsid w:val="0026676B"/>
    <w:rsid w:val="002836FC"/>
    <w:rsid w:val="002A613D"/>
    <w:rsid w:val="002D50E4"/>
    <w:rsid w:val="002E12C4"/>
    <w:rsid w:val="002E28FE"/>
    <w:rsid w:val="00306092"/>
    <w:rsid w:val="003436B2"/>
    <w:rsid w:val="00354117"/>
    <w:rsid w:val="00375D0F"/>
    <w:rsid w:val="003B5970"/>
    <w:rsid w:val="003D6345"/>
    <w:rsid w:val="003F7837"/>
    <w:rsid w:val="004A5C9C"/>
    <w:rsid w:val="004B2EEF"/>
    <w:rsid w:val="00535037"/>
    <w:rsid w:val="005626F9"/>
    <w:rsid w:val="00594FDD"/>
    <w:rsid w:val="005B1B78"/>
    <w:rsid w:val="00664845"/>
    <w:rsid w:val="00680436"/>
    <w:rsid w:val="006E597C"/>
    <w:rsid w:val="006F6252"/>
    <w:rsid w:val="007F1500"/>
    <w:rsid w:val="00805542"/>
    <w:rsid w:val="00833367"/>
    <w:rsid w:val="0089367D"/>
    <w:rsid w:val="008C4726"/>
    <w:rsid w:val="00911141"/>
    <w:rsid w:val="00964B8A"/>
    <w:rsid w:val="00A17950"/>
    <w:rsid w:val="00A84EA2"/>
    <w:rsid w:val="00A85976"/>
    <w:rsid w:val="00B40FBD"/>
    <w:rsid w:val="00BA2C9C"/>
    <w:rsid w:val="00BD54A2"/>
    <w:rsid w:val="00C052A9"/>
    <w:rsid w:val="00C155F0"/>
    <w:rsid w:val="00C15AB9"/>
    <w:rsid w:val="00C22CFF"/>
    <w:rsid w:val="00C33CE8"/>
    <w:rsid w:val="00C51B5D"/>
    <w:rsid w:val="00C73EFF"/>
    <w:rsid w:val="00C97416"/>
    <w:rsid w:val="00CA5A57"/>
    <w:rsid w:val="00CD0D71"/>
    <w:rsid w:val="00D030B6"/>
    <w:rsid w:val="00D348FB"/>
    <w:rsid w:val="00D4076D"/>
    <w:rsid w:val="00DC3FD2"/>
    <w:rsid w:val="00DC40B6"/>
    <w:rsid w:val="00E24E6C"/>
    <w:rsid w:val="00E5239F"/>
    <w:rsid w:val="00E6148A"/>
    <w:rsid w:val="00EA1B76"/>
    <w:rsid w:val="00EC55C9"/>
    <w:rsid w:val="00EE4AE3"/>
    <w:rsid w:val="00FA6E11"/>
    <w:rsid w:val="00FC1A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BB313"/>
  <w15:docId w15:val="{F34B3CD2-B244-4E33-A32C-F2190F9D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EEF"/>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91114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11141"/>
    <w:rPr>
      <w:rFonts w:ascii="Tahoma" w:hAnsi="Tahoma" w:cs="Tahoma"/>
      <w:sz w:val="16"/>
      <w:szCs w:val="16"/>
    </w:rPr>
  </w:style>
  <w:style w:type="paragraph" w:styleId="Sidehoved">
    <w:name w:val="header"/>
    <w:basedOn w:val="Normal"/>
    <w:link w:val="SidehovedTegn"/>
    <w:uiPriority w:val="99"/>
    <w:semiHidden/>
    <w:unhideWhenUsed/>
    <w:rsid w:val="004A5C9C"/>
    <w:pPr>
      <w:tabs>
        <w:tab w:val="center" w:pos="4819"/>
        <w:tab w:val="right" w:pos="9638"/>
      </w:tabs>
    </w:pPr>
  </w:style>
  <w:style w:type="character" w:customStyle="1" w:styleId="SidehovedTegn">
    <w:name w:val="Sidehoved Tegn"/>
    <w:basedOn w:val="Standardskrifttypeiafsnit"/>
    <w:link w:val="Sidehoved"/>
    <w:uiPriority w:val="99"/>
    <w:semiHidden/>
    <w:rsid w:val="004A5C9C"/>
  </w:style>
  <w:style w:type="paragraph" w:styleId="Sidefod">
    <w:name w:val="footer"/>
    <w:basedOn w:val="Normal"/>
    <w:link w:val="SidefodTegn"/>
    <w:uiPriority w:val="99"/>
    <w:unhideWhenUsed/>
    <w:rsid w:val="004A5C9C"/>
    <w:pPr>
      <w:tabs>
        <w:tab w:val="center" w:pos="4819"/>
        <w:tab w:val="right" w:pos="9638"/>
      </w:tabs>
    </w:pPr>
  </w:style>
  <w:style w:type="character" w:customStyle="1" w:styleId="SidefodTegn">
    <w:name w:val="Sidefod Tegn"/>
    <w:basedOn w:val="Standardskrifttypeiafsnit"/>
    <w:link w:val="Sidefod"/>
    <w:uiPriority w:val="99"/>
    <w:rsid w:val="004A5C9C"/>
  </w:style>
  <w:style w:type="table" w:styleId="Tabel-Gitter">
    <w:name w:val="Table Grid"/>
    <w:basedOn w:val="Tabel-Normal"/>
    <w:uiPriority w:val="59"/>
    <w:rsid w:val="006E597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594FDD"/>
    <w:rPr>
      <w:sz w:val="16"/>
      <w:szCs w:val="16"/>
    </w:rPr>
  </w:style>
  <w:style w:type="paragraph" w:styleId="Kommentartekst">
    <w:name w:val="annotation text"/>
    <w:basedOn w:val="Normal"/>
    <w:link w:val="KommentartekstTegn"/>
    <w:uiPriority w:val="99"/>
    <w:semiHidden/>
    <w:unhideWhenUsed/>
    <w:rsid w:val="00594FDD"/>
    <w:rPr>
      <w:sz w:val="20"/>
      <w:szCs w:val="20"/>
    </w:rPr>
  </w:style>
  <w:style w:type="character" w:customStyle="1" w:styleId="KommentartekstTegn">
    <w:name w:val="Kommentartekst Tegn"/>
    <w:basedOn w:val="Standardskrifttypeiafsnit"/>
    <w:link w:val="Kommentartekst"/>
    <w:uiPriority w:val="99"/>
    <w:semiHidden/>
    <w:rsid w:val="00594FDD"/>
    <w:rPr>
      <w:sz w:val="20"/>
      <w:szCs w:val="20"/>
    </w:rPr>
  </w:style>
  <w:style w:type="paragraph" w:styleId="Kommentaremne">
    <w:name w:val="annotation subject"/>
    <w:basedOn w:val="Kommentartekst"/>
    <w:next w:val="Kommentartekst"/>
    <w:link w:val="KommentaremneTegn"/>
    <w:uiPriority w:val="99"/>
    <w:semiHidden/>
    <w:unhideWhenUsed/>
    <w:rsid w:val="00594FDD"/>
    <w:rPr>
      <w:b/>
      <w:bCs/>
    </w:rPr>
  </w:style>
  <w:style w:type="character" w:customStyle="1" w:styleId="KommentaremneTegn">
    <w:name w:val="Kommentaremne Tegn"/>
    <w:basedOn w:val="KommentartekstTegn"/>
    <w:link w:val="Kommentaremne"/>
    <w:uiPriority w:val="99"/>
    <w:semiHidden/>
    <w:rsid w:val="00594FDD"/>
    <w:rPr>
      <w:b/>
      <w:bCs/>
      <w:sz w:val="20"/>
      <w:szCs w:val="20"/>
    </w:rPr>
  </w:style>
  <w:style w:type="paragraph" w:styleId="Listeafsnit">
    <w:name w:val="List Paragraph"/>
    <w:basedOn w:val="Normal"/>
    <w:uiPriority w:val="34"/>
    <w:qFormat/>
    <w:rsid w:val="00C15AB9"/>
    <w:pPr>
      <w:ind w:left="720"/>
      <w:contextualSpacing/>
    </w:pPr>
  </w:style>
  <w:style w:type="character" w:styleId="Hyperlink">
    <w:name w:val="Hyperlink"/>
    <w:basedOn w:val="Standardskrifttypeiafsnit"/>
    <w:uiPriority w:val="99"/>
    <w:unhideWhenUsed/>
    <w:rsid w:val="00A859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063252">
      <w:bodyDiv w:val="1"/>
      <w:marLeft w:val="0"/>
      <w:marRight w:val="0"/>
      <w:marTop w:val="0"/>
      <w:marBottom w:val="0"/>
      <w:divBdr>
        <w:top w:val="none" w:sz="0" w:space="0" w:color="auto"/>
        <w:left w:val="none" w:sz="0" w:space="0" w:color="auto"/>
        <w:bottom w:val="none" w:sz="0" w:space="0" w:color="auto"/>
        <w:right w:val="none" w:sz="0" w:space="0" w:color="auto"/>
      </w:divBdr>
    </w:div>
    <w:div w:id="169164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nissen@dadlne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96E62-42BD-4D84-8A6E-EA74C7F74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2339</Words>
  <Characters>14271</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Hærens Operative Kommando</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HOK-KLG01</dc:creator>
  <cp:lastModifiedBy>Lars Nissen</cp:lastModifiedBy>
  <cp:revision>9</cp:revision>
  <dcterms:created xsi:type="dcterms:W3CDTF">2018-03-12T15:32:00Z</dcterms:created>
  <dcterms:modified xsi:type="dcterms:W3CDTF">2018-07-20T09:13:00Z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http://www.zotero.org/styles/journal-of-affective-disorders</vt:lpwstr>
  </property>
  <property fmtid="{D5CDD505-2E9C-101B-9397-08002B2CF9AE}" pid="13" name="Mendeley Recent Style Name 5_1">
    <vt:lpwstr>Journal of Affective Disorders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http://www.zotero.org/styles/psychological-medicine</vt:lpwstr>
  </property>
  <property fmtid="{D5CDD505-2E9C-101B-9397-08002B2CF9AE}" pid="19" name="Mendeley Recent Style Name 8_1">
    <vt:lpwstr>Psychological Medicine</vt:lpwstr>
  </property>
  <property fmtid="{D5CDD505-2E9C-101B-9397-08002B2CF9AE}" pid="20" name="Mendeley Recent Style Id 9_1">
    <vt:lpwstr>http://www.zotero.org/styles/social-psychiatry-and-psychiatric-epidemiology</vt:lpwstr>
  </property>
  <property fmtid="{D5CDD505-2E9C-101B-9397-08002B2CF9AE}" pid="21" name="Mendeley Recent Style Name 9_1">
    <vt:lpwstr>Social Psychiatry and Psychiatric Epidemiology</vt:lpwstr>
  </property>
  <property fmtid="{D5CDD505-2E9C-101B-9397-08002B2CF9AE}" pid="22" name="Mendeley Document_1">
    <vt:lpwstr>True</vt:lpwstr>
  </property>
  <property fmtid="{D5CDD505-2E9C-101B-9397-08002B2CF9AE}" pid="23" name="Mendeley Unique User Id_1">
    <vt:lpwstr>675270ed-eb8a-3e59-8a83-3a70f8200187</vt:lpwstr>
  </property>
  <property fmtid="{D5CDD505-2E9C-101B-9397-08002B2CF9AE}" pid="24" name="Mendeley Citation Style_1">
    <vt:lpwstr>http://www.zotero.org/styles/social-psychiatry-and-psychiatric-epidemiology</vt:lpwstr>
  </property>
</Properties>
</file>