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360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40"/>
        <w:gridCol w:w="900"/>
        <w:gridCol w:w="900"/>
        <w:gridCol w:w="1320"/>
        <w:gridCol w:w="900"/>
        <w:tblGridChange w:id="0">
          <w:tblGrid>
            <w:gridCol w:w="2340"/>
            <w:gridCol w:w="900"/>
            <w:gridCol w:w="900"/>
            <w:gridCol w:w="1320"/>
            <w:gridCol w:w="9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Supplements 3. Prevalence of sexual orientation by sex.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Country income 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Lesbian/Gay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Bisexual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% (SE)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% (SE)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High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15944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 (0.1)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 (0.1)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21037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 (0.1)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 (0.1)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36981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 (0.1)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 (0.1)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Low-middle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 (0.1)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 (0.1)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5965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 (0.0)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 (0.1)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9908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 (0.1)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 (0.1)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All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19887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 (0.1)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 (0.0)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 (0.1)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 (0.1)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46889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 (0.1)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 (0.0)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de-D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OTiy1S/iq5I1Wce6OtlLukP3rw==">AMUW2mWmitL9HCYZgcLMUcBzCA0BUf+g48THaPcHuGglHISB0PkI8I29lInyKj2/ABEVbc5bYf8slJKGqoI1R1ZIENHFr6j8TXwWqq6q8ERVvxp0lfWRpFc=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