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6EFF3" w14:textId="77777777" w:rsidR="00A7171A" w:rsidRPr="00840C78" w:rsidRDefault="00C61A44" w:rsidP="00541D5D">
      <w:pPr>
        <w:pStyle w:val="Rubrik2"/>
        <w:rPr>
          <w:color w:val="auto"/>
        </w:rPr>
      </w:pPr>
      <w:r w:rsidRPr="00840C78">
        <w:rPr>
          <w:color w:val="auto"/>
        </w:rPr>
        <w:t>Additional file 1</w:t>
      </w:r>
      <w:r w:rsidR="002E1448" w:rsidRPr="00840C78">
        <w:rPr>
          <w:color w:val="auto"/>
        </w:rPr>
        <w:t xml:space="preserve"> </w:t>
      </w:r>
    </w:p>
    <w:p w14:paraId="28EFDA11" w14:textId="10F63E74" w:rsidR="00BD3B62" w:rsidRPr="00840C78" w:rsidRDefault="00BD3B62" w:rsidP="00BD3B62">
      <w:pPr>
        <w:rPr>
          <w:lang w:val="en-US"/>
        </w:rPr>
      </w:pPr>
      <w:bookmarkStart w:id="0" w:name="_Toc304458647"/>
      <w:r w:rsidRPr="00840C78">
        <w:rPr>
          <w:lang w:val="en-GB"/>
        </w:rPr>
        <w:t xml:space="preserve">Additional file 1 includes additional information regarding study setting, instruments used, subject identification and design of original study, recoded variables, definition </w:t>
      </w:r>
      <w:r w:rsidR="00D74ACE" w:rsidRPr="00D04A85">
        <w:rPr>
          <w:lang w:val="en-GB"/>
        </w:rPr>
        <w:t>of</w:t>
      </w:r>
      <w:r w:rsidR="00D74ACE">
        <w:rPr>
          <w:lang w:val="en-GB"/>
        </w:rPr>
        <w:t xml:space="preserve"> </w:t>
      </w:r>
      <w:r w:rsidRPr="00840C78">
        <w:rPr>
          <w:lang w:val="en-GB"/>
        </w:rPr>
        <w:t xml:space="preserve">affective, episodes, origins of secondary outcome data, results: IQR – interquartile ranges. </w:t>
      </w:r>
    </w:p>
    <w:p w14:paraId="035CDB7B" w14:textId="77777777" w:rsidR="00B714D6" w:rsidRPr="00840C78" w:rsidRDefault="00B714D6" w:rsidP="00541D5D">
      <w:pPr>
        <w:pStyle w:val="Rubrik2"/>
        <w:rPr>
          <w:color w:val="auto"/>
        </w:rPr>
      </w:pPr>
      <w:r w:rsidRPr="00840C78">
        <w:rPr>
          <w:color w:val="auto"/>
        </w:rPr>
        <w:t>Setting</w:t>
      </w:r>
      <w:bookmarkEnd w:id="0"/>
    </w:p>
    <w:p w14:paraId="1C5CABB1" w14:textId="52BE580C" w:rsidR="00B714D6" w:rsidRPr="00840C78" w:rsidRDefault="00B714D6" w:rsidP="00541D5D">
      <w:pPr>
        <w:spacing w:line="360" w:lineRule="auto"/>
        <w:rPr>
          <w:lang w:val="en-GB"/>
        </w:rPr>
      </w:pPr>
      <w:r w:rsidRPr="00840C78">
        <w:rPr>
          <w:lang w:val="en-GB"/>
        </w:rPr>
        <w:t xml:space="preserve">This thesis is based on cross-sectional and limited follow-up epidemiological data from a study on schizophrenia and bipolar disorder, which was part of the Butajira rural health project </w:t>
      </w:r>
      <w:r w:rsidRPr="00840C78">
        <w:rPr>
          <w:lang w:val="en-GB"/>
        </w:rPr>
        <w:fldChar w:fldCharType="begin">
          <w:fldData xml:space="preserve">PEVuZE5vdGU+PENpdGU+PEF1dGhvcj5LZWJlZGU8L0F1dGhvcj48WWVhcj4yMDAzPC9ZZWFyPjxS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</w:fldData>
        </w:fldChar>
      </w:r>
      <w:r w:rsidR="00743945" w:rsidRPr="00840C78">
        <w:rPr>
          <w:lang w:val="en-GB"/>
        </w:rPr>
        <w:instrText xml:space="preserve"> ADDIN EN.CITE </w:instrText>
      </w:r>
      <w:r w:rsidR="00743945" w:rsidRPr="00840C78">
        <w:rPr>
          <w:lang w:val="en-GB"/>
        </w:rPr>
        <w:fldChar w:fldCharType="begin">
          <w:fldData xml:space="preserve">PEVuZE5vdGU+PENpdGU+PEF1dGhvcj5LZWJlZGU8L0F1dGhvcj48WWVhcj4yMDAzPC9ZZWFyPjxS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</w:fldData>
        </w:fldChar>
      </w:r>
      <w:r w:rsidR="00743945" w:rsidRPr="00840C78">
        <w:rPr>
          <w:lang w:val="en-GB"/>
        </w:rPr>
        <w:instrText xml:space="preserve"> ADDIN EN.CITE.DATA </w:instrText>
      </w:r>
      <w:r w:rsidR="00743945" w:rsidRPr="00840C78">
        <w:rPr>
          <w:lang w:val="en-GB"/>
        </w:rPr>
      </w:r>
      <w:r w:rsidR="00743945" w:rsidRPr="00840C78">
        <w:rPr>
          <w:lang w:val="en-GB"/>
        </w:rPr>
        <w:fldChar w:fldCharType="end"/>
      </w:r>
      <w:r w:rsidRPr="00840C78">
        <w:rPr>
          <w:lang w:val="en-GB"/>
        </w:rPr>
      </w:r>
      <w:r w:rsidRPr="00840C78">
        <w:rPr>
          <w:lang w:val="en-GB"/>
        </w:rPr>
        <w:fldChar w:fldCharType="separate"/>
      </w:r>
      <w:r w:rsidR="00A93D43" w:rsidRPr="00840C78">
        <w:rPr>
          <w:lang w:val="en-GB"/>
        </w:rPr>
        <w:fldChar w:fldCharType="begin"/>
      </w:r>
      <w:r w:rsidR="005D2AFF" w:rsidRPr="00840C78">
        <w:rPr>
          <w:lang w:val="en-GB"/>
        </w:rPr>
        <w:instrText xml:space="preserve"> ADDIN ZOTERO_ITEM CSL_CITATION {"citationID":"BPc4aL6t","properties":{"formattedCitation":"(Kebede et al. 2003; 2006; Fekadu et al. 2006)","plainCitation":"(Kebede et al. 2003; 2006; Fekadu et al. 2006)","noteIndex":0},"citationItems":[{"id":220,"uris":["http://zotero.org/users/6633655/items/T2R8BZS7"],"itemData":{"id":220,"type":"article-journal","abstract":"BACKGROUND: There are reports on favourable course and outcome of schizophrenia in lowincome countries. The aim of the present study was to examine onset and clinical course of the illness in a community-based sample in rural Ethiopia based on crosssectional information. METHOD: A two-stage survey was carried out in Butajira-Ethiopia, a predominantly rural district. Altogether 68,378 individuals aged 15-49 years were CIDI-interviewed, of whom 2,159 were identified as cases according to the CIDI interview with regard to psychotic or affective disorders. Key informants identified another group of 719 individuals as being probable cases and a total of 2,285 individuals were SCAN-interviewed. The present paper reports on cases with schizophrenia. RESULTS: There were 321 cases of schizophrenia giving an estimated lifetime prevalence of 4.7/1,000). Of the cases,83.2% (N = 267) were males. Mean age of first onset of psychotic symptoms for males was 23.8 (sd 8.6) compared to 21.0 (sd 7.8) for females (P = 0.037; 95 %CI 0.16-5.47). Over 80% had negative symptoms and over 67% reported continuous course of the illness. Less than 10% had a history of previous treatment with neuroleptic medication. About 7% were vagrants, 9 % had a history of assaultive behaviour,and 3.8% had attempted suicide. The male to female ratio was nearly 5:1. CONCLUSION: This large community-based study differs from most previous studies in terms of higher male to female ratio, earlier age of onset in females and the predominance of negative symptoms.","container-title":"Soc Psychiatry Psychiatr Epidemiol","DOI":"10.1007/s00127-003-0678-4","ISSN":"0933-7954 (Print) 0933-7954 (Linking)","issue":"11","language":"eng","page":"625-31","title":"Onset and clinical course of schizophrenia in Butajira-Ethiopia--a community-based study","volume":"38","author":[{"family":"Kebede","given":"D."},{"family":"Alem","given":"A."},{"family":"Shibre","given":"T."},{"family":"Negash","given":"A."},{"family":"Fekadu","given":"A."},{"family":"Fekadu","given":"D."},{"family":"Deyassa","given":"N."},{"family":"Jacobsson","given":"L."},{"family":"Kullgren","given":"G."}],"issued":{"date-parts":[["2003",11]]}}},{"id":225,"uris":["http://zotero.org/users/6633655/items/JKJ5ASYI"],"itemData":{"id":225,"type":"article-journal","abstract":"BACKGROUND: Limited information is available on the outcome of bipolar disorder in developing countries. OBJECTIVE: To describe the symptomatic and functional outcome of bipolar disorder. METHODS: The psychoses and affective disorder modules of the CIDI were used to screen 68,378 individuals by a door-to-door survey of a defined district in Ethiopia. In addition, key informants were used to identify individuals with probable major mental illnesses. SCAN interviews were completed at the second stage to confirm the diagnosis. A total of 315 cases of bipolar disorder were identified, of which 264 (69 recent-onset and 195 prevalent cases) were prospectively followed for a mean of 2.5 (range 1-4) years by baseline and annual clinical assessments using symptom rating scales. Functional dimensions of the SF-36 scale were used to describe functional outcome. Random coefficient analyses were used to evaluate potential correlates of outcome. RESULTS: The magnitudes of mania and depression symptoms were elevated at baseline but improved with follow-up, although the improvement was less marked for depression. Sociodemographic or clinical variables were not associated with the improvements in symptomatic outcome. Between 35% and 47% of the recent-onset cases had functional role restrictions, while 42-52% of long-standing cases had such restrictions during the follow-up years. Similarly, social and physical functioning deficits were also present in 52-86% and 35-47% of recent-onset and long-standing cases, respectively. The magnitude of depression and mania symptoms was associated with poor functional outcome, while male sex, rural residence and being married were associated with better functional outcome. CONCLUSION: Although there were improvements in function with follow-up, between one-third and one-half of cases continued to have functional deficits.","container-title":"J Affect Disord","DOI":"10.1016/j.jad.2005.11.009","ISSN":"0165-0327 (Print) 0165-0327 (Linking)","issue":"2-3","language":"eng","page":"239-49","title":"Symptomatic and functional outcome of bipolar disorder in Butajira, Ethiopia","volume":"90","author":[{"family":"Kebede","given":"D."},{"family":"Alem","given":"A."},{"family":"Shibire","given":"T."},{"family":"Deyassa","given":"N."},{"family":"Negash","given":"A."},{"family":"Beyero","given":"T."},{"family":"Medhin","given":"G."},{"family":"Fekadu","given":"A."}],"issued":{"date-parts":[["2006",2]]}}},{"id":229,"uris":["http://zotero.org/users/6633655/items/PIPCF872"],"itemData":{"id":229,"type":"article-journal","abstract":"Objective: To determine the clinical outcome of bipolar disorder in a developing country setup.\nMethod: After assessing 68 378 individuals, aged 15–49 years, in a double-sampling design in a rural community in Ethiopia, 312 patients with bipolar disorder were prospectively monitored with symptom rating scales and clinically for an average of 2.5 years.\nResults: Overall, 65.9% of the cohort experienced a relapse – 47.8% manic, 44.3% depressive and 7.7% mixed episodes – and 31.1% had persistent illness. Female gender predicted depressive relapse, while male gender predicted manic relapse. Being on psychotropic medication was associated with remission.\nConclusion: This large community-based study conﬁrms the relapsing nature of bipolar disorder and a tendency for chronicity. This may be partly because of lack of appropriate interventions in this setting; however, it may also indicate the underlying severity of the disorder irrespective of setting.","container-title":"Acta Psychiatrica Scandinavica","DOI":"10.1111/j.1600-0447.2006.00825.x","ISSN":"0001-690X, 1600-0447","issue":"6","journalAbbreviation":"Acta Psychiatr Scand","language":"en","page":"426-434","source":"DOI.org (Crossref)","title":"Clinical outcome in bipolar disorder in a community-based follow-up study in Butajira, Ethiopia","volume":"114","author":[{"family":"Fekadu","given":"A."},{"family":"Kebede","given":"D."},{"family":"Alem","given":"A."},{"family":"Fekadu","given":"D."},{"family":"Mogga","given":"S."},{"family":"Negash","given":"A."},{"family":"Medhin","given":"G."},{"family":"Beyero","given":"T."},{"family":"Shibre","given":"T."}],"issued":{"date-parts":[["2006",12]]}}}],"schema":"https://github.com/citation-style-language/schema/raw/master/csl-citation.json"} </w:instrText>
      </w:r>
      <w:r w:rsidR="00A93D43" w:rsidRPr="00840C78">
        <w:rPr>
          <w:lang w:val="en-GB"/>
        </w:rPr>
        <w:fldChar w:fldCharType="separate"/>
      </w:r>
      <w:r w:rsidR="00A93D43" w:rsidRPr="00840C78">
        <w:rPr>
          <w:noProof/>
          <w:lang w:val="en-GB"/>
        </w:rPr>
        <w:t>(Kebede et al. 2003; 2006; Fekadu et al. 2006)</w:t>
      </w:r>
      <w:r w:rsidR="00A93D43" w:rsidRPr="00840C78">
        <w:rPr>
          <w:lang w:val="en-GB"/>
        </w:rPr>
        <w:fldChar w:fldCharType="end"/>
      </w:r>
      <w:r w:rsidRPr="00840C78">
        <w:rPr>
          <w:lang w:val="en-GB"/>
        </w:rPr>
        <w:fldChar w:fldCharType="end"/>
      </w:r>
      <w:r w:rsidRPr="00840C78">
        <w:rPr>
          <w:lang w:val="en-GB"/>
        </w:rPr>
        <w:t xml:space="preserve">. The Butajira project was carried out in the Meskan and Mareko District in south central Ethiopia and established a demographic surveillance site, which ran continuous health and demographic surveillance for 10% of the population. The district capital town, which is located 135 km south of Addis Ababa, is named Butajira and the whole district is also commonly referred to as Butajira. The area is predominantly rural and situated at an altitude of 1500 to 3400 meters above sea level. </w:t>
      </w:r>
    </w:p>
    <w:p w14:paraId="2A336D02" w14:textId="6EA3BB0C" w:rsidR="00B714D6" w:rsidRPr="00840C78" w:rsidRDefault="00B714D6" w:rsidP="00541D5D">
      <w:pPr>
        <w:spacing w:line="360" w:lineRule="auto"/>
        <w:rPr>
          <w:lang w:val="en-GB"/>
        </w:rPr>
      </w:pPr>
      <w:r w:rsidRPr="00840C78">
        <w:rPr>
          <w:lang w:val="en-GB"/>
        </w:rPr>
        <w:t>A census prior to the project was carried out in 1994 and estimated the total population to be 227</w:t>
      </w:r>
      <w:r w:rsidR="00D065E0" w:rsidRPr="00840C78">
        <w:rPr>
          <w:lang w:val="en-GB"/>
        </w:rPr>
        <w:t>,</w:t>
      </w:r>
      <w:r w:rsidRPr="00840C78">
        <w:rPr>
          <w:lang w:val="en-GB"/>
        </w:rPr>
        <w:t>135. A majority of the population is from the Gurage ethnic group and of Islamic faith. Agriculture is the dominating trade. The local language is Guragigna but the national language Amharic is also widely spoken. Health care is limited and accessible only in towns and to some degree at health posts in sub-districts. Prior to the project there was no psychiatric service in the district. The project, however, made the establishment of a mental health service in the district possible</w:t>
      </w:r>
      <w:r w:rsidR="00A93D43" w:rsidRPr="00840C78">
        <w:rPr>
          <w:lang w:val="en-GB"/>
        </w:rPr>
        <w:t xml:space="preserve"> </w:t>
      </w:r>
      <w:r w:rsidR="00A93D43" w:rsidRPr="00840C78">
        <w:rPr>
          <w:lang w:val="en-GB"/>
        </w:rPr>
        <w:fldChar w:fldCharType="begin"/>
      </w:r>
      <w:r w:rsidR="005D2AFF" w:rsidRPr="00840C78">
        <w:rPr>
          <w:lang w:val="en-GB"/>
        </w:rPr>
        <w:instrText xml:space="preserve"> ADDIN ZOTERO_ITEM CSL_CITATION {"citationID":"1jyMzhPW","properties":{"formattedCitation":"(Kebede et al. 2006; Fekadu et al. 2006)","plainCitation":"(Kebede et al. 2006; Fekadu et al. 2006)","noteIndex":0},"citationItems":[{"id":225,"uris":["http://zotero.org/users/6633655/items/JKJ5ASYI"],"itemData":{"id":225,"type":"article-journal","abstract":"BACKGROUND: Limited information is available on the outcome of bipolar disorder in developing countries. OBJECTIVE: To describe the symptomatic and functional outcome of bipolar disorder. METHODS: The psychoses and affective disorder modules of the CIDI were used to screen 68,378 individuals by a door-to-door survey of a defined district in Ethiopia. In addition, key informants were used to identify individuals with probable major mental illnesses. SCAN interviews were completed at the second stage to confirm the diagnosis. A total of 315 cases of bipolar disorder were identified, of which 264 (69 recent-onset and 195 prevalent cases) were prospectively followed for a mean of 2.5 (range 1-4) years by baseline and annual clinical assessments using symptom rating scales. Functional dimensions of the SF-36 scale were used to describe functional outcome. Random coefficient analyses were used to evaluate potential correlates of outcome. RESULTS: The magnitudes of mania and depression symptoms were elevated at baseline but improved with follow-up, although the improvement was less marked for depression. Sociodemographic or clinical variables were not associated with the improvements in symptomatic outcome. Between 35% and 47% of the recent-onset cases had functional role restrictions, while 42-52% of long-standing cases had such restrictions during the follow-up years. Similarly, social and physical functioning deficits were also present in 52-86% and 35-47% of recent-onset and long-standing cases, respectively. The magnitude of depression and mania symptoms was associated with poor functional outcome, while male sex, rural residence and being married were associated with better functional outcome. CONCLUSION: Although there were improvements in function with follow-up, between one-third and one-half of cases continued to have functional deficits.","container-title":"J Affect Disord","DOI":"10.1016/j.jad.2005.11.009","ISSN":"0165-0327 (Print) 0165-0327 (Linking)","issue":"2-3","language":"eng","page":"239-49","title":"Symptomatic and functional outcome of bipolar disorder in Butajira, Ethiopia","volume":"90","author":[{"family":"Kebede","given":"D."},{"family":"Alem","given":"A."},{"family":"Shibire","given":"T."},{"family":"Deyassa","given":"N."},{"family":"Negash","given":"A."},{"family":"Beyero","given":"T."},{"family":"Medhin","given":"G."},{"family":"Fekadu","given":"A."}],"issued":{"date-parts":[["2006",2]]}}},{"id":229,"uris":["http://zotero.org/users/6633655/items/PIPCF872"],"itemData":{"id":229,"type":"article-journal","abstract":"Objective: To determine the clinical outcome of bipolar disorder in a developing country setup.\nMethod: After assessing 68 378 individuals, aged 15–49 years, in a double-sampling design in a rural community in Ethiopia, 312 patients with bipolar disorder were prospectively monitored with symptom rating scales and clinically for an average of 2.5 years.\nResults: Overall, 65.9% of the cohort experienced a relapse – 47.8% manic, 44.3% depressive and 7.7% mixed episodes – and 31.1% had persistent illness. Female gender predicted depressive relapse, while male gender predicted manic relapse. Being on psychotropic medication was associated with remission.\nConclusion: This large community-based study conﬁrms the relapsing nature of bipolar disorder and a tendency for chronicity. This may be partly because of lack of appropriate interventions in this setting; however, it may also indicate the underlying severity of the disorder irrespective of setting.","container-title":"Acta Psychiatrica Scandinavica","DOI":"10.1111/j.1600-0447.2006.00825.x","ISSN":"0001-690X, 1600-0447","issue":"6","journalAbbreviation":"Acta Psychiatr Scand","language":"en","page":"426-434","source":"DOI.org (Crossref)","title":"Clinical outcome in bipolar disorder in a community-based follow-up study in Butajira, Ethiopia","volume":"114","author":[{"family":"Fekadu","given":"A."},{"family":"Kebede","given":"D."},{"family":"Alem","given":"A."},{"family":"Fekadu","given":"D."},{"family":"Mogga","given":"S."},{"family":"Negash","given":"A."},{"family":"Medhin","given":"G."},{"family":"Beyero","given":"T."},{"family":"Shibre","given":"T."}],"issued":{"date-parts":[["2006",12]]}}}],"schema":"https://github.com/citation-style-language/schema/raw/master/csl-citation.json"} </w:instrText>
      </w:r>
      <w:r w:rsidR="00A93D43" w:rsidRPr="00840C78">
        <w:rPr>
          <w:lang w:val="en-GB"/>
        </w:rPr>
        <w:fldChar w:fldCharType="separate"/>
      </w:r>
      <w:r w:rsidR="00A93D43" w:rsidRPr="00840C78">
        <w:rPr>
          <w:noProof/>
          <w:lang w:val="en-GB"/>
        </w:rPr>
        <w:t>(Kebede et al. 2006; Fekadu et al. 2006)</w:t>
      </w:r>
      <w:r w:rsidR="00A93D43" w:rsidRPr="00840C78">
        <w:rPr>
          <w:lang w:val="en-GB"/>
        </w:rPr>
        <w:fldChar w:fldCharType="end"/>
      </w:r>
      <w:r w:rsidRPr="00840C78">
        <w:rPr>
          <w:lang w:val="en-GB"/>
        </w:rPr>
        <w:t xml:space="preserve">. </w:t>
      </w:r>
    </w:p>
    <w:p w14:paraId="11E9B90D" w14:textId="77777777" w:rsidR="00B714D6" w:rsidRPr="00840C78" w:rsidRDefault="00B714D6" w:rsidP="00541D5D">
      <w:pPr>
        <w:pStyle w:val="Rubrik2"/>
        <w:rPr>
          <w:color w:val="auto"/>
        </w:rPr>
      </w:pPr>
      <w:bookmarkStart w:id="1" w:name="_Toc304458648"/>
      <w:r w:rsidRPr="00840C78">
        <w:rPr>
          <w:color w:val="auto"/>
        </w:rPr>
        <w:t>Instruments</w:t>
      </w:r>
      <w:bookmarkEnd w:id="1"/>
    </w:p>
    <w:p w14:paraId="4E6CDA99" w14:textId="59EB5F18" w:rsidR="00B714D6" w:rsidRPr="00840C78" w:rsidRDefault="00B714D6" w:rsidP="00541D5D">
      <w:pPr>
        <w:spacing w:line="360" w:lineRule="auto"/>
        <w:rPr>
          <w:lang w:val="en-GB"/>
        </w:rPr>
      </w:pPr>
      <w:r w:rsidRPr="00840C78">
        <w:rPr>
          <w:lang w:val="en-GB"/>
        </w:rPr>
        <w:t xml:space="preserve">Initial screening used the CIDI 2.1 (Composite International Diagnostic Interview 2.1) </w:t>
      </w:r>
      <w:r w:rsidR="00A93D43" w:rsidRPr="00840C78">
        <w:rPr>
          <w:lang w:val="en-GB"/>
        </w:rPr>
        <w:fldChar w:fldCharType="begin"/>
      </w:r>
      <w:r w:rsidR="005D2AFF" w:rsidRPr="00840C78">
        <w:rPr>
          <w:lang w:val="en-GB"/>
        </w:rPr>
        <w:instrText xml:space="preserve"> ADDIN ZOTERO_ITEM CSL_CITATION {"citationID":"NPYkTxpi","properties":{"formattedCitation":"(WHO 1997)","plainCitation":"(WHO 1997)","noteIndex":0},"citationItems":[{"id":219,"uris":["http://zotero.org/users/6633655/items/UHIHKYQR"],"itemData":{"id":219,"type":"article-journal","title":"Composite international diagnostic interview, Ver. 2.1 (CIDI 2.1). Geneva: WHO, 1997.","author":[{"family":"WHO","given":""}],"issued":{"date-parts":[["1997"]]}}}],"schema":"https://github.com/citation-style-language/schema/raw/master/csl-citation.json"} </w:instrText>
      </w:r>
      <w:r w:rsidR="00A93D43" w:rsidRPr="00840C78">
        <w:rPr>
          <w:lang w:val="en-GB"/>
        </w:rPr>
        <w:fldChar w:fldCharType="separate"/>
      </w:r>
      <w:r w:rsidR="00A93D43" w:rsidRPr="00840C78">
        <w:rPr>
          <w:noProof/>
          <w:lang w:val="en-GB"/>
        </w:rPr>
        <w:t>(WHO 1997)</w:t>
      </w:r>
      <w:r w:rsidR="00A93D43" w:rsidRPr="00840C78">
        <w:rPr>
          <w:lang w:val="en-GB"/>
        </w:rPr>
        <w:fldChar w:fldCharType="end"/>
      </w:r>
      <w:r w:rsidR="00A93D43" w:rsidRPr="00840C78">
        <w:rPr>
          <w:lang w:val="en-GB"/>
        </w:rPr>
        <w:t xml:space="preserve"> </w:t>
      </w:r>
      <w:r w:rsidRPr="00840C78">
        <w:rPr>
          <w:lang w:val="en-GB"/>
        </w:rPr>
        <w:t>and trained key informants to identify probable cases with severe mental illness. The combination of these two methods has been found effective</w:t>
      </w:r>
      <w:r w:rsidR="00A93D43" w:rsidRPr="00840C78">
        <w:rPr>
          <w:lang w:val="en-GB"/>
        </w:rPr>
        <w:t xml:space="preserve"> </w:t>
      </w:r>
      <w:r w:rsidR="00A93D43" w:rsidRPr="00840C78">
        <w:rPr>
          <w:lang w:val="en-GB"/>
        </w:rPr>
        <w:fldChar w:fldCharType="begin"/>
      </w:r>
      <w:r w:rsidR="005D2AFF" w:rsidRPr="00840C78">
        <w:rPr>
          <w:lang w:val="en-GB"/>
        </w:rPr>
        <w:instrText xml:space="preserve"> ADDIN ZOTERO_ITEM CSL_CITATION {"citationID":"z1JHPtRx","properties":{"formattedCitation":"(Shibre et al. 2002)","plainCitation":"(Shibre et al. 2002)","noteIndex":0},"citationItems":[{"id":218,"uris":["http://zotero.org/users/6633655/items/F5KAJU8Y"],"itemData":{"id":218,"type":"article-journal","abstract":"BACKGROUND: Detecting cases with psychiatric disorders in the general population is costly and it is not clear which is the method of choice for community surveys in low-income countries. AIM: To compare the performance of a standardized diagnostic layman interview instrument--the Composite International Diagnostic Interview (CIDI 2.1) versus the Key Informant method in identifying cases with schizophrenia and major affective disorders in a community survey. METHOD: Both screening methods were tested against an expert interview--the Schedule for Clinical Assessment in Neuropsychiatry (SCAN 2.1) in a rural district in Ethiopia with 25,632 inhabitants. RESULT: CIDI identified 524 and key informants 192 individuals as probable cases who were invited for a further SCAN interview. Seventy-two individuals were identified by both methods. Of those identified as probable cases by either method, a total of 481 volunteered the SCAN interviews. The Key Informant method alone detected more cases of schizophrenia, 59 vs. 29 for CIDI, whereas CIDI alone detected more cases of affective disorders, 45 vs. 30. Key informants performed better in detecting chronic cases. CONCLUSION: For community surveys, which aim at identifying cases with major mental disorders in low-income countries like Ethiopia, the combined use of both CIDI and the Key Informant method is recommended.","container-title":"Int J Soc Psychiatry","ISSN":"0020-7640 (Print) 0020-7640 (Linking)","issue":"3","language":"eng","page":"200-8","title":"An evaluation of two screening methods to identify cases with schizophrenia and affective disorders in a community survey in rural Ethiopia","volume":"48","author":[{"family":"Shibre","given":"T."},{"family":"Kebede","given":"D."},{"family":"Alem","given":"A."},{"family":"Negash","given":"A."},{"family":"Kibreab","given":"S."},{"family":"Fekadu","given":"A."},{"family":"Fekadu","given":"D."},{"family":"Jacobsson","given":"L."},{"family":"Kullgren","given":"G."}],"issued":{"date-parts":[["2002",9]]}}}],"schema":"https://github.com/citation-style-language/schema/raw/master/csl-citation.json"} </w:instrText>
      </w:r>
      <w:r w:rsidR="00A93D43" w:rsidRPr="00840C78">
        <w:rPr>
          <w:lang w:val="en-GB"/>
        </w:rPr>
        <w:fldChar w:fldCharType="separate"/>
      </w:r>
      <w:r w:rsidR="00A93D43" w:rsidRPr="00840C78">
        <w:rPr>
          <w:noProof/>
          <w:lang w:val="en-GB"/>
        </w:rPr>
        <w:t>(Shibre et al. 2002)</w:t>
      </w:r>
      <w:r w:rsidR="00A93D43" w:rsidRPr="00840C78">
        <w:rPr>
          <w:lang w:val="en-GB"/>
        </w:rPr>
        <w:fldChar w:fldCharType="end"/>
      </w:r>
      <w:r w:rsidRPr="00840C78">
        <w:rPr>
          <w:lang w:val="en-GB"/>
        </w:rPr>
        <w:t xml:space="preserve">. </w:t>
      </w:r>
    </w:p>
    <w:p w14:paraId="410B063C" w14:textId="5FFD10BE" w:rsidR="00B714D6" w:rsidRPr="00840C78" w:rsidRDefault="00B714D6" w:rsidP="00541D5D">
      <w:pPr>
        <w:spacing w:line="360" w:lineRule="auto"/>
        <w:rPr>
          <w:lang w:val="en-GB"/>
        </w:rPr>
      </w:pPr>
      <w:r w:rsidRPr="00840C78">
        <w:rPr>
          <w:lang w:val="en-GB"/>
        </w:rPr>
        <w:t xml:space="preserve">The CIDI 1.0 was initially translated into Amharic and evaluated </w:t>
      </w:r>
      <w:r w:rsidR="00A93D43" w:rsidRPr="00840C78">
        <w:rPr>
          <w:lang w:val="en-GB"/>
        </w:rPr>
        <w:fldChar w:fldCharType="begin"/>
      </w:r>
      <w:r w:rsidR="005D2AFF" w:rsidRPr="00840C78">
        <w:rPr>
          <w:lang w:val="en-GB"/>
        </w:rPr>
        <w:instrText xml:space="preserve"> ADDIN ZOTERO_ITEM CSL_CITATION {"citationID":"waxt8Zt8","properties":{"formattedCitation":"(E Rashid, D Kebede, and A Alem 1996)","plainCitation":"(E Rashid, D Kebede, and A Alem 1996)","noteIndex":0},"citationItems":[{"id":206,"uris":["http://zotero.org/users/6633655/items/GA7AUEIX"],"itemData":{"id":206,"type":"article-journal","container-title":"Ethiop J Health Dev 1996;2:69–77.","title":"Evaluation of an Amharic version of the CIDI and prevalence estimation of DSMIII-R disorders in Addis Ababa.","author":[{"family":"E Rashid","given":""},{"family":"D Kebede","given":""},{"family":"A Alem","given":""}],"issued":{"date-parts":[["1996"]]}}}],"schema":"https://github.com/citation-style-language/schema/raw/master/csl-citation.json"} </w:instrText>
      </w:r>
      <w:r w:rsidR="00A93D43" w:rsidRPr="00840C78">
        <w:rPr>
          <w:lang w:val="en-GB"/>
        </w:rPr>
        <w:fldChar w:fldCharType="separate"/>
      </w:r>
      <w:r w:rsidR="00A93D43" w:rsidRPr="00840C78">
        <w:rPr>
          <w:noProof/>
          <w:lang w:val="en-GB"/>
        </w:rPr>
        <w:t>(E Rashid, D Kebede, and A Alem 1996)</w:t>
      </w:r>
      <w:r w:rsidR="00A93D43" w:rsidRPr="00840C78">
        <w:rPr>
          <w:lang w:val="en-GB"/>
        </w:rPr>
        <w:fldChar w:fldCharType="end"/>
      </w:r>
      <w:r w:rsidRPr="00840C78">
        <w:rPr>
          <w:lang w:val="en-GB"/>
        </w:rPr>
        <w:t xml:space="preserve"> and subsequently updated to version 2.1. Reliability and acceptability of the CIDI in Ethiopia have been found acceptable </w:t>
      </w:r>
      <w:r w:rsidRPr="00840C78">
        <w:rPr>
          <w:lang w:val="en-GB"/>
        </w:rPr>
        <w:fldChar w:fldCharType="begin"/>
      </w:r>
      <w:r w:rsidR="00743945" w:rsidRPr="00840C78">
        <w:rPr>
          <w:lang w:val="en-GB"/>
        </w:rPr>
        <w:instrText xml:space="preserve"> ADDIN EN.CITE &lt;EndNote&gt;&lt;Cite&gt;&lt;Author&gt;Eskindir&lt;/Author&gt;&lt;Year&gt;1996&lt;/Year&gt;&lt;RecNum&gt;117&lt;/RecNum&gt;&lt;DisplayText&gt;[7]&lt;/DisplayText&gt;&lt;record&gt;&lt;rec-number&gt;117&lt;/rec-number&gt;&lt;foreign-keys&gt;&lt;key app="EN" db-id="dffr922s7v5dwbede08px9092za0wrxv2zew" timestamp="1437829364"&gt;117&lt;/key&gt;&lt;/foreign-keys&gt;&lt;ref-type name="Journal Article"&gt;17&lt;/ref-type&gt;&lt;contributors&gt;&lt;authors&gt;&lt;author&gt;Rashid, Eskindir&lt;/author&gt;&lt;author&gt;Kebede, Derege&lt;/author&gt;&lt;author&gt;Alem, Atalay&lt;/author&gt;&lt;/authors&gt;&lt;/contributors&gt;&lt;titles&gt;&lt;title&gt;Evaluation of an Amharic version of the Composite International Diagnostic Interview (CIDI) in Ethiopia&lt;/title&gt;&lt;secondary-title&gt;Ethiopian Journal of Health Development&lt;/secondary-title&gt;&lt;/titles&gt;&lt;periodical&gt;&lt;full-title&gt;Ethiopian Journal of Health Development&lt;/full-title&gt;&lt;/periodical&gt;&lt;pages&gt;69-77&lt;/pages&gt;&lt;volume&gt;10&lt;/volume&gt;&lt;number&gt;2&lt;/number&gt;&lt;keywords&gt;&lt;keyword&gt;Ethiopia&lt;/keyword&gt;&lt;keyword&gt;Northeast Africa&lt;/keyword&gt;&lt;/keywords&gt;&lt;dates&gt;&lt;year&gt;1996&lt;/year&gt;&lt;pub-dates&gt;&lt;date&gt;August&lt;/date&gt;&lt;/pub-dates&gt;&lt;/dates&gt;&lt;isbn&gt;1021-6790&lt;/isbn&gt;&lt;urls&gt;&lt;/urls&gt;&lt;/record&gt;&lt;/Cite&gt;&lt;/EndNote&gt;</w:instrText>
      </w:r>
      <w:r w:rsidRPr="00840C78">
        <w:rPr>
          <w:lang w:val="en-GB"/>
        </w:rPr>
        <w:fldChar w:fldCharType="separate"/>
      </w:r>
      <w:r w:rsidR="00A93D43" w:rsidRPr="00840C78">
        <w:rPr>
          <w:noProof/>
          <w:lang w:val="en-GB"/>
        </w:rPr>
        <w:fldChar w:fldCharType="begin"/>
      </w:r>
      <w:r w:rsidR="005D2AFF" w:rsidRPr="00840C78">
        <w:rPr>
          <w:noProof/>
          <w:lang w:val="en-GB"/>
        </w:rPr>
        <w:instrText xml:space="preserve"> ADDIN ZOTERO_ITEM CSL_CITATION {"citationID":"L9dDAer7","properties":{"formattedCitation":"(E Rashid, D Kebede, and A Alem 1996)","plainCitation":"(E Rashid, D Kebede, and A Alem 1996)","noteIndex":0},"citationItems":[{"id":206,"uris":["http://zotero.org/users/6633655/items/GA7AUEIX"],"itemData":{"id":206,"type":"article-journal","container-title":"Ethiop J Health Dev 1996;2:69–77.","title":"Evaluation of an Amharic version of the CIDI and prevalence estimation of DSMIII-R disorders in Addis Ababa.","author":[{"family":"E Rashid","given":""},{"family":"D Kebede","given":""},{"family":"A Alem","given":""}],"issued":{"date-parts":[["1996"]]}}}],"schema":"https://github.com/citation-style-language/schema/raw/master/csl-citation.json"} </w:instrText>
      </w:r>
      <w:r w:rsidR="00A93D43" w:rsidRPr="00840C78">
        <w:rPr>
          <w:noProof/>
          <w:lang w:val="en-GB"/>
        </w:rPr>
        <w:fldChar w:fldCharType="separate"/>
      </w:r>
      <w:r w:rsidR="00A93D43" w:rsidRPr="00840C78">
        <w:rPr>
          <w:noProof/>
          <w:lang w:val="en-GB"/>
        </w:rPr>
        <w:t>(E Rashid, D Kebede, and A Alem 1996)</w:t>
      </w:r>
      <w:r w:rsidR="00A93D43" w:rsidRPr="00840C78">
        <w:rPr>
          <w:noProof/>
          <w:lang w:val="en-GB"/>
        </w:rPr>
        <w:fldChar w:fldCharType="end"/>
      </w:r>
      <w:r w:rsidRPr="00840C78">
        <w:rPr>
          <w:lang w:val="en-GB"/>
        </w:rPr>
        <w:fldChar w:fldCharType="end"/>
      </w:r>
      <w:r w:rsidRPr="00840C78">
        <w:rPr>
          <w:lang w:val="en-GB"/>
        </w:rPr>
        <w:t>. CIDI-cases were confirmed with DSM-IV diagnoses using the Amharic version of the SCAN 2.1 (Schedules for Clinical Assessment in Neuropsychiatry)</w:t>
      </w:r>
      <w:r w:rsidR="00A93D43" w:rsidRPr="00840C78">
        <w:rPr>
          <w:lang w:val="en-GB"/>
        </w:rPr>
        <w:t xml:space="preserve"> </w:t>
      </w:r>
      <w:r w:rsidR="00A93D43" w:rsidRPr="00840C78">
        <w:rPr>
          <w:lang w:val="en-GB"/>
        </w:rPr>
        <w:fldChar w:fldCharType="begin"/>
      </w:r>
      <w:r w:rsidR="005D2AFF" w:rsidRPr="00840C78">
        <w:rPr>
          <w:lang w:val="en-GB"/>
        </w:rPr>
        <w:instrText xml:space="preserve"> ADDIN ZOTERO_ITEM CSL_CITATION {"citationID":"MoEvx79m","properties":{"formattedCitation":"(Fekadu et al. 2006; Wing et al. 1990; Andrews and Peters 1998)","plainCitation":"(Fekadu et al. 2006; Wing et al. 1990; Andrews and Peters 1998)","noteIndex":0},"citationItems":[{"id":229,"uris":["http://zotero.org/users/6633655/items/PIPCF872"],"itemData":{"id":229,"type":"article-journal","abstract":"Objective: To determine the clinical outcome of bipolar disorder in a developing country setup.\nMethod: After assessing 68 378 individuals, aged 15–49 years, in a double-sampling design in a rural community in Ethiopia, 312 patients with bipolar disorder were prospectively monitored with symptom rating scales and clinically for an average of 2.5 years.\nResults: Overall, 65.9% of the cohort experienced a relapse – 47.8% manic, 44.3% depressive and 7.7% mixed episodes – and 31.1% had persistent illness. Female gender predicted depressive relapse, while male gender predicted manic relapse. Being on psychotropic medication was associated with remission.\nConclusion: This large community-based study conﬁrms the relapsing nature of bipolar disorder and a tendency for chronicity. This may be partly because of lack of appropriate interventions in this setting; however, it may also indicate the underlying severity of the disorder irrespective of setting.","container-title":"Acta Psychiatrica Scandinavica","DOI":"10.1111/j.1600-0447.2006.00825.x","ISSN":"0001-690X, 1600-0447","issue":"6","journalAbbreviation":"Acta Psychiatr Scand","language":"en","page":"426-434","source":"DOI.org (Crossref)","title":"Clinical outcome in bipolar disorder in a community-based follow-up study in Butajira, Ethiopia","volume":"114","author":[{"family":"Fekadu","given":"A."},{"family":"Kebede","given":"D."},{"family":"Alem","given":"A."},{"family":"Fekadu","given":"D."},{"family":"Mogga","given":"S."},{"family":"Negash","given":"A."},{"family":"Medhin","given":"G."},{"family":"Beyero","given":"T."},{"family":"Shibre","given":"T."}],"issued":{"date-parts":[["2006",12]]}}},{"id":217,"uris":["http://zotero.org/users/6633655/items/ICKDICV6"],"itemData":{"id":217,"type":"article-journal","abstract":"After more than 12 years of development, the ninth edition of the Present State Examination (PSE-9) was published, together with associated instruments and computer algorithm, in 1974. The system has now been expanded, in the framework of the World Health Organization/Alcohol, Drug Abuse, and Mental Health Administration Joint Project on Standardization of Diagnosis and Classification, and is being tested with the aim of developing a comprehensive procedure for clinical examination that is also capable of generating many of the categories of the International Classification of Diseases, 10th edition, and the Diagnostic and Statistical Manual of Mental Disorders, revised third edition. The new system is known as SCAN (Schedules for Clinical Assessment in Neuropsychiatry). It includes the 10th edition of the PSE as one of its core schedules, preliminary tests of which have suggested that reliability is similar to that of PSE-9. SCAN is being field tested in 20 centers in 11 countries. A final version is expected to be available in January 1990.","container-title":"Arch Gen Psychiatry","ISSN":"0003-990X (Print) 0003-990X (Linking)","issue":"6","journalAbbreviation":"Archives of general psychiatry","language":"eng","page":"589-93","title":"SCAN. Schedules for Clinical Assessment in Neuropsychiatry","volume":"47","author":[{"family":"Wing","given":"J. K."},{"family":"Babor","given":"T."},{"family":"Brugha","given":"T."},{"family":"Burke","given":"J."},{"family":"Cooper","given":"J. E."},{"family":"Giel","given":"R."},{"family":"Jablenski","given":"A."},{"family":"Regier","given":"D."},{"family":"Sartorius","given":"N."}],"issued":{"date-parts":[["1990",6]]}}},{"id":216,"uris":["http://zotero.org/users/6633655/items/DC5A7Z9M"],"itemData":{"id":216,"type":"article-journal","abstract":"The Composite International Diagnostic Interview, or CIDI, is a fully structured interview that maps the symptoms elicited during the interview onto DSM-IV and ICD-10 diagnostic criteria and reports whether the diagnostic criteria are satisfied--nothing more, nothing less. The inter-rater reliability has been demonstrated to be excellent, the test-retest reliability good, and the validity has been demonstrated to be good, given the methodological constraints. The CIDI is available in lifetime and 12-month versions, and in both paper-and-pencil and computer-administered forms. The latter version is suitable for self-administration in cooperative subjects. The CIDI is available in many languages. It is supported by ten centres around the world, which conduct regular training programmes for interviewers. The training programmes are standardised and the training materials are comprehensive. The data from the CIDI is entered into standard data entry and scoring programmes that give as output the diagnostic criteria satisfied. The interviews, the training materials, and the scoring programmes are copyright by the World Health Organization (WHO) and are supervised by an advisory committee on behalf of WHO. That committee and the training centres welcome enquiries from researchers and clinicians who are interested in using the CIDI.","container-title":"Soc Psychiatry Psychiatr Epidemiol","ISSN":"0933-7954 (Print) 0933-7954 (Linking)","issue":"2","language":"eng","page":"80-8","title":"The psychometric properties of the Composite International Diagnostic Interview","volume":"33","author":[{"family":"Andrews","given":"G."},{"family":"Peters","given":"L."}],"issued":{"date-parts":[["1998",2]]}}}],"schema":"https://github.com/citation-style-language/schema/raw/master/csl-citation.json"} </w:instrText>
      </w:r>
      <w:r w:rsidR="00A93D43" w:rsidRPr="00840C78">
        <w:rPr>
          <w:lang w:val="en-GB"/>
        </w:rPr>
        <w:fldChar w:fldCharType="separate"/>
      </w:r>
      <w:r w:rsidR="00A93D43" w:rsidRPr="00840C78">
        <w:rPr>
          <w:noProof/>
          <w:lang w:val="en-GB"/>
        </w:rPr>
        <w:t>(Fekadu et al. 2006; Wing et al. 1990; Andrews and Peters 1998)</w:t>
      </w:r>
      <w:r w:rsidR="00A93D43" w:rsidRPr="00840C78">
        <w:rPr>
          <w:lang w:val="en-GB"/>
        </w:rPr>
        <w:fldChar w:fldCharType="end"/>
      </w:r>
      <w:r w:rsidRPr="00840C78">
        <w:rPr>
          <w:lang w:val="en-GB"/>
        </w:rPr>
        <w:t xml:space="preserve">. The SCAN was translated into Amharic by two psychiatry residents with formal WHO SCAN training and subsequently developed together with </w:t>
      </w:r>
      <w:r w:rsidRPr="00840C78">
        <w:rPr>
          <w:lang w:val="en-GB"/>
        </w:rPr>
        <w:lastRenderedPageBreak/>
        <w:t xml:space="preserve">consultant psychiatrists. Satisfactory agreement between interviewers was reached in clinical and community settings but no formal reliability testing of the SCAN was done. </w:t>
      </w:r>
    </w:p>
    <w:p w14:paraId="090D0B50" w14:textId="77777777" w:rsidR="00BE4A66" w:rsidRPr="00840C78" w:rsidRDefault="00BE4A66" w:rsidP="00541D5D">
      <w:pPr>
        <w:spacing w:line="360" w:lineRule="auto"/>
        <w:rPr>
          <w:lang w:val="en-GB"/>
        </w:rPr>
      </w:pPr>
    </w:p>
    <w:p w14:paraId="1B730A16" w14:textId="1907274B" w:rsidR="005D2AFF" w:rsidRPr="00840C78" w:rsidRDefault="00C965CE" w:rsidP="00541D5D">
      <w:pPr>
        <w:spacing w:line="360" w:lineRule="auto"/>
        <w:rPr>
          <w:lang w:val="en-GB"/>
        </w:rPr>
      </w:pPr>
      <w:r w:rsidRPr="00840C78">
        <w:rPr>
          <w:lang w:val="en-GB"/>
        </w:rPr>
        <w:t>Correct use and validation of instruments are important to minimise the risk for classification error. As can be seen above, m</w:t>
      </w:r>
      <w:r w:rsidR="00BE4A66" w:rsidRPr="00840C78">
        <w:rPr>
          <w:lang w:val="en-GB"/>
        </w:rPr>
        <w:t xml:space="preserve">any steps have been taken to </w:t>
      </w:r>
      <w:r w:rsidR="000C74A8" w:rsidRPr="00840C78">
        <w:rPr>
          <w:lang w:val="en-GB"/>
        </w:rPr>
        <w:t>decrease</w:t>
      </w:r>
      <w:r w:rsidRPr="00840C78">
        <w:rPr>
          <w:lang w:val="en-GB"/>
        </w:rPr>
        <w:t xml:space="preserve"> this </w:t>
      </w:r>
      <w:r w:rsidR="00BE4A66" w:rsidRPr="00840C78">
        <w:rPr>
          <w:lang w:val="en-GB"/>
        </w:rPr>
        <w:t>risk. Following is an excerpt from the PhD thesis</w:t>
      </w:r>
      <w:r w:rsidR="005D2AFF" w:rsidRPr="00840C78">
        <w:rPr>
          <w:lang w:val="en-GB"/>
        </w:rPr>
        <w:t xml:space="preserve"> </w:t>
      </w:r>
      <w:r w:rsidR="005D2AFF" w:rsidRPr="00840C78">
        <w:rPr>
          <w:lang w:val="en-GB"/>
        </w:rPr>
        <w:fldChar w:fldCharType="begin"/>
      </w:r>
      <w:r w:rsidR="005D2AFF" w:rsidRPr="00840C78">
        <w:rPr>
          <w:lang w:val="en-GB"/>
        </w:rPr>
        <w:instrText xml:space="preserve"> ADDIN ZOTERO_ITEM CSL_CITATION {"citationID":"q5GCZIyr","properties":{"formattedCitation":"(Fekadu 2010)","plainCitation":"(Fekadu 2010)","noteIndex":0},"citationItems":[{"id":17,"uris":["http://zotero.org/users/6633655/items/IYPEYKB2"],"itemData":{"id":17,"type":"article-journal","title":"Studies on Affective Disorders in Rural Ethiopia - Dissertation","author":[{"family":"Fekadu","given":"A."}],"issued":{"date-parts":[["2010"]]}}}],"schema":"https://github.com/citation-style-language/schema/raw/master/csl-citation.json"} </w:instrText>
      </w:r>
      <w:r w:rsidR="005D2AFF" w:rsidRPr="00840C78">
        <w:rPr>
          <w:lang w:val="en-GB"/>
        </w:rPr>
        <w:fldChar w:fldCharType="separate"/>
      </w:r>
      <w:r w:rsidR="005D2AFF" w:rsidRPr="00840C78">
        <w:rPr>
          <w:noProof/>
          <w:lang w:val="en-GB"/>
        </w:rPr>
        <w:t>(Fekadu 2010)</w:t>
      </w:r>
      <w:r w:rsidR="005D2AFF" w:rsidRPr="00840C78">
        <w:rPr>
          <w:lang w:val="en-GB"/>
        </w:rPr>
        <w:fldChar w:fldCharType="end"/>
      </w:r>
      <w:r w:rsidR="00BE4A66" w:rsidRPr="00840C78">
        <w:rPr>
          <w:lang w:val="en-GB"/>
        </w:rPr>
        <w:t xml:space="preserve"> laying the ground for the current study, </w:t>
      </w:r>
      <w:r w:rsidRPr="00840C78">
        <w:rPr>
          <w:lang w:val="en-GB"/>
        </w:rPr>
        <w:t xml:space="preserve">further </w:t>
      </w:r>
      <w:r w:rsidR="00BE4A66" w:rsidRPr="00840C78">
        <w:rPr>
          <w:lang w:val="en-GB"/>
        </w:rPr>
        <w:t xml:space="preserve">commenting </w:t>
      </w:r>
      <w:r w:rsidR="00912413" w:rsidRPr="00840C78">
        <w:rPr>
          <w:lang w:val="en-GB"/>
        </w:rPr>
        <w:t xml:space="preserve">on </w:t>
      </w:r>
      <w:r w:rsidR="00BE4A66" w:rsidRPr="00840C78">
        <w:rPr>
          <w:lang w:val="en-GB"/>
        </w:rPr>
        <w:t xml:space="preserve">this risk: </w:t>
      </w:r>
      <w:r w:rsidR="005D2AFF" w:rsidRPr="00840C78">
        <w:rPr>
          <w:i/>
          <w:iCs/>
          <w:lang w:val="en-GB"/>
        </w:rPr>
        <w:t xml:space="preserve">“Classificatory error is an important consideration. But this seems unlikely given the care taken to ascertain the cases. First cases were identified through a clinical interview using the SCAN. Second, interviewers had access to second opinion when they were in doubt of the diagnosis of a disorder. Third, an additional diagnostic step was required when it was found that most of the identified cases had bipolar disorder. This third step involved clinical diagnosis by senior psychiatrists trained in the UK. In fact, this third step excluded cases who were categorised as having bipolar disorder and may have </w:t>
      </w:r>
      <w:r w:rsidR="000C74A8" w:rsidRPr="00840C78">
        <w:rPr>
          <w:i/>
          <w:iCs/>
          <w:lang w:val="en-GB"/>
        </w:rPr>
        <w:t>led</w:t>
      </w:r>
      <w:r w:rsidR="005D2AFF" w:rsidRPr="00840C78">
        <w:rPr>
          <w:i/>
          <w:iCs/>
          <w:lang w:val="en-GB"/>
        </w:rPr>
        <w:t xml:space="preserve"> to underestimation in the actual prevalence of bipolar disorder.”</w:t>
      </w:r>
    </w:p>
    <w:p w14:paraId="518A6550" w14:textId="77777777" w:rsidR="00BE4A66" w:rsidRPr="00840C78" w:rsidRDefault="00BE4A66" w:rsidP="00541D5D">
      <w:pPr>
        <w:spacing w:line="360" w:lineRule="auto"/>
        <w:rPr>
          <w:lang w:val="en-GB"/>
        </w:rPr>
      </w:pPr>
    </w:p>
    <w:p w14:paraId="5EFAFFCA" w14:textId="70A5F1DB" w:rsidR="00B714D6" w:rsidRPr="00840C78" w:rsidRDefault="00B714D6" w:rsidP="00541D5D">
      <w:pPr>
        <w:spacing w:line="360" w:lineRule="auto"/>
        <w:rPr>
          <w:lang w:val="en-GB"/>
        </w:rPr>
      </w:pPr>
      <w:r w:rsidRPr="00840C78">
        <w:rPr>
          <w:lang w:val="en-GB"/>
        </w:rPr>
        <w:t>Baseline assessment also included the YMRS (Young Mania Rating Scale)</w:t>
      </w:r>
      <w:r w:rsidR="00EF1569" w:rsidRPr="00840C78">
        <w:rPr>
          <w:lang w:val="en-GB"/>
        </w:rPr>
        <w:fldChar w:fldCharType="begin"/>
      </w:r>
      <w:r w:rsidR="005D2AFF" w:rsidRPr="00840C78">
        <w:rPr>
          <w:lang w:val="en-GB"/>
        </w:rPr>
        <w:instrText xml:space="preserve"> ADDIN ZOTERO_ITEM CSL_CITATION {"citationID":"Ykwvl1PX","properties":{"formattedCitation":"(Young et al. 1978)","plainCitation":"(Young et al. 1978)","noteIndex":0},"citationItems":[{"id":203,"uris":["http://zotero.org/users/6633655/items/PH8Y8ZXS"],"itemData":{"id":203,"type":"article-journal","abstract":"An eleven item clinician-administered Mania Rating Scale (MRS) is introduced, and its reliability, validity and sensitivity are examined. There was a high correlation between the scores of two independent clinicians on both the total score (0.93) and the individual item scores (0.66 to 0.92). The MRS score correlated highly with an independent global rating, and with scores of two other mania rating scales administered concurrently. The score also correlated with the number of days of subsequent stay in hospital. It was able to differentiate statistically patients before and after two weeks of treatment and to distinguish levels of severity based on the global rating.","container-title":"Br J Psychiatry","ISSN":"0007-1250 (Print) 0007-1250 (Linking)","journalAbbreviation":"The British journal of psychiatry : the journal of mental science","language":"eng","page":"429-35","title":"A rating scale for mania: reliability, validity and sensitivity","volume":"133","author":[{"family":"Young","given":"R. C."},{"family":"Biggs","given":"J. T."},{"family":"Ziegler","given":"V. E."},{"family":"Meyer","given":"D. A."}],"issued":{"date-parts":[["1978",11]]}}}],"schema":"https://github.com/citation-style-language/schema/raw/master/csl-citation.json"} </w:instrText>
      </w:r>
      <w:r w:rsidR="00EF1569" w:rsidRPr="00840C78">
        <w:rPr>
          <w:lang w:val="en-GB"/>
        </w:rPr>
        <w:fldChar w:fldCharType="separate"/>
      </w:r>
      <w:r w:rsidR="00EF1569" w:rsidRPr="00840C78">
        <w:rPr>
          <w:noProof/>
          <w:lang w:val="en-GB"/>
        </w:rPr>
        <w:t>(Young et al. 1978)</w:t>
      </w:r>
      <w:r w:rsidR="00EF1569" w:rsidRPr="00840C78">
        <w:rPr>
          <w:lang w:val="en-GB"/>
        </w:rPr>
        <w:fldChar w:fldCharType="end"/>
      </w:r>
      <w:r w:rsidRPr="00840C78">
        <w:rPr>
          <w:lang w:val="en-GB"/>
        </w:rPr>
        <w:t>, the HDRS (Hamilton Depression Rating Scale)</w:t>
      </w:r>
      <w:r w:rsidR="00EF1569" w:rsidRPr="00840C78">
        <w:rPr>
          <w:lang w:val="en-GB"/>
        </w:rPr>
        <w:t xml:space="preserve"> </w:t>
      </w:r>
      <w:r w:rsidR="00EF1569" w:rsidRPr="00840C78">
        <w:rPr>
          <w:lang w:val="en-GB"/>
        </w:rPr>
        <w:fldChar w:fldCharType="begin"/>
      </w:r>
      <w:r w:rsidR="005D2AFF" w:rsidRPr="00840C78">
        <w:rPr>
          <w:lang w:val="en-GB"/>
        </w:rPr>
        <w:instrText xml:space="preserve"> ADDIN ZOTERO_ITEM CSL_CITATION {"citationID":"iE2aQl8p","properties":{"formattedCitation":"(Hamilton 1960)","plainCitation":"(Hamilton 1960)","noteIndex":0},"citationItems":[{"id":204,"uris":["http://zotero.org/users/6633655/items/K7LDKINW"],"itemData":{"id":204,"type":"article-journal","container-title":"J Neurol Neurosurg Psychiatry","ISSN":"0022-3050 (Print) 0022-3050 (Linking)","language":"eng","note":"PMCID: PMC495331","page":"56-62","title":"A rating scale for depression","volume":"23","author":[{"family":"Hamilton","given":"M."}],"issued":{"date-parts":[["1960",2]]}}}],"schema":"https://github.com/citation-style-language/schema/raw/master/csl-citation.json"} </w:instrText>
      </w:r>
      <w:r w:rsidR="00EF1569" w:rsidRPr="00840C78">
        <w:rPr>
          <w:lang w:val="en-GB"/>
        </w:rPr>
        <w:fldChar w:fldCharType="separate"/>
      </w:r>
      <w:r w:rsidR="00EF1569" w:rsidRPr="00840C78">
        <w:rPr>
          <w:noProof/>
          <w:lang w:val="en-GB"/>
        </w:rPr>
        <w:t>(Hamilton 1960)</w:t>
      </w:r>
      <w:r w:rsidR="00EF1569" w:rsidRPr="00840C78">
        <w:rPr>
          <w:lang w:val="en-GB"/>
        </w:rPr>
        <w:fldChar w:fldCharType="end"/>
      </w:r>
      <w:r w:rsidRPr="00840C78">
        <w:rPr>
          <w:lang w:val="en-GB"/>
        </w:rPr>
        <w:t xml:space="preserve">, the SF-36 (Short-Form-36 Health Survey) </w:t>
      </w:r>
      <w:r w:rsidR="00EF1569" w:rsidRPr="00840C78">
        <w:rPr>
          <w:lang w:val="en-GB"/>
        </w:rPr>
        <w:fldChar w:fldCharType="begin"/>
      </w:r>
      <w:r w:rsidR="005D2AFF" w:rsidRPr="00840C78">
        <w:rPr>
          <w:lang w:val="en-GB"/>
        </w:rPr>
        <w:instrText xml:space="preserve"> ADDIN ZOTERO_ITEM CSL_CITATION {"citationID":"4GX5XHNg","properties":{"formattedCitation":"(Ware 1993)","plainCitation":"(Ware 1993)","noteIndex":0},"citationItems":[{"id":202,"uris":["http://zotero.org/users/6633655/items/LP7EPXER"],"itemData":{"id":202,"type":"article-journal","title":"SF-36 Health Survey: Manual and Interpretation Guide. The Health Institute, New England Medical Centre, Boston","author":[{"family":"Ware","given":"J. E."}],"issued":{"date-parts":[["1993"]]}}}],"schema":"https://github.com/citation-style-language/schema/raw/master/csl-citation.json"} </w:instrText>
      </w:r>
      <w:r w:rsidR="00EF1569" w:rsidRPr="00840C78">
        <w:rPr>
          <w:lang w:val="en-GB"/>
        </w:rPr>
        <w:fldChar w:fldCharType="separate"/>
      </w:r>
      <w:r w:rsidR="00EF1569" w:rsidRPr="00840C78">
        <w:rPr>
          <w:noProof/>
          <w:lang w:val="en-GB"/>
        </w:rPr>
        <w:t>(Ware 1993)</w:t>
      </w:r>
      <w:r w:rsidR="00EF1569" w:rsidRPr="00840C78">
        <w:rPr>
          <w:lang w:val="en-GB"/>
        </w:rPr>
        <w:fldChar w:fldCharType="end"/>
      </w:r>
      <w:r w:rsidRPr="00840C78">
        <w:rPr>
          <w:lang w:val="en-GB"/>
        </w:rPr>
        <w:t xml:space="preserve"> (se</w:t>
      </w:r>
      <w:r w:rsidR="00D065E0" w:rsidRPr="00840C78">
        <w:rPr>
          <w:lang w:val="en-GB"/>
        </w:rPr>
        <w:t>e</w:t>
      </w:r>
      <w:r w:rsidRPr="00840C78">
        <w:rPr>
          <w:lang w:val="en-GB"/>
        </w:rPr>
        <w:t xml:space="preserve"> </w:t>
      </w:r>
      <w:r w:rsidR="00D065E0" w:rsidRPr="00840C78">
        <w:rPr>
          <w:lang w:val="en-GB"/>
        </w:rPr>
        <w:t>below</w:t>
      </w:r>
      <w:r w:rsidRPr="00840C78">
        <w:rPr>
          <w:lang w:val="en-GB"/>
        </w:rPr>
        <w:t xml:space="preserve"> for description), the BISS (Basic Information on Study Subjects), and the LCSS (Life Chart Score Sheet)</w:t>
      </w:r>
      <w:r w:rsidR="00EF1569" w:rsidRPr="00840C78">
        <w:rPr>
          <w:lang w:val="en-GB"/>
        </w:rPr>
        <w:t xml:space="preserve"> </w:t>
      </w:r>
      <w:r w:rsidR="00EF1569" w:rsidRPr="00840C78">
        <w:rPr>
          <w:lang w:val="en-GB"/>
        </w:rPr>
        <w:fldChar w:fldCharType="begin"/>
      </w:r>
      <w:r w:rsidR="005D2AFF" w:rsidRPr="00840C78">
        <w:rPr>
          <w:lang w:val="en-GB"/>
        </w:rPr>
        <w:instrText xml:space="preserve"> ADDIN ZOTERO_ITEM CSL_CITATION {"citationID":"UP94PUOc","properties":{"formattedCitation":"(Sartorius and Janca 1996)","plainCitation":"(Sartorius and Janca 1996)","noteIndex":0},"citationItems":[{"id":201,"uris":["http://zotero.org/users/6633655/items/ZCMAA99K"],"itemData":{"id":201,"type":"article-journal","abstract":"Over the past 30 years the World Health Organization (WHO) has produced a number of assessment instruments intended for national and cross-cultural psychiatric research. WHO instruments have been tested and used in many collaborative studies involving more than 100 centres in different parts of the world. This article reviews the main WHO instruments for the assessment of (a) psychopathology, (b) disability, quality of life and satisfaction, (c) services, and (d) environment, and risks to mental health. The principles used in the development of WHO instruments, their translation and their use across cultures and settings are discussed.","container-title":"Soc Psychiatry Psychiatr Epidemiol","ISSN":"0933-7954 (Print) 0933-7954 (Linking)","issue":"2","language":"eng","page":"55-69","title":"Psychiatric assessment instruments developed by the World Health Organization","volume":"31","author":[{"family":"Sartorius","given":"N."},{"family":"Janca","given":"A."}],"issued":{"date-parts":[["1996",3]]}}}],"schema":"https://github.com/citation-style-language/schema/raw/master/csl-citation.json"} </w:instrText>
      </w:r>
      <w:r w:rsidR="00EF1569" w:rsidRPr="00840C78">
        <w:rPr>
          <w:lang w:val="en-GB"/>
        </w:rPr>
        <w:fldChar w:fldCharType="separate"/>
      </w:r>
      <w:r w:rsidR="00EF1569" w:rsidRPr="00840C78">
        <w:rPr>
          <w:noProof/>
          <w:lang w:val="en-GB"/>
        </w:rPr>
        <w:t>(Sartorius and Janca 1996)</w:t>
      </w:r>
      <w:r w:rsidR="00EF1569" w:rsidRPr="00840C78">
        <w:rPr>
          <w:lang w:val="en-GB"/>
        </w:rPr>
        <w:fldChar w:fldCharType="end"/>
      </w:r>
      <w:r w:rsidR="00EF1569" w:rsidRPr="00840C78">
        <w:rPr>
          <w:lang w:val="en-GB"/>
        </w:rPr>
        <w:t>.</w:t>
      </w:r>
      <w:r w:rsidRPr="00840C78">
        <w:rPr>
          <w:lang w:val="en-GB"/>
        </w:rPr>
        <w:t xml:space="preserve"> Annual follow-up data on affective episodes (manic, </w:t>
      </w:r>
      <w:r w:rsidR="000C74A8" w:rsidRPr="00840C78">
        <w:rPr>
          <w:lang w:val="en-GB"/>
        </w:rPr>
        <w:t>depressive,</w:t>
      </w:r>
      <w:r w:rsidRPr="00840C78">
        <w:rPr>
          <w:lang w:val="en-GB"/>
        </w:rPr>
        <w:t xml:space="preserve"> and mixed according to DSM-IV) was collected using SCAN, YMRS &amp; HDRS. The BISS and SF-36 were administered by trained psychiatric nurses, the CIDI by high school graduates trained by WHO-affiliated trainers, and follow-up data collection as well as other baseline assessments were carried out by psychiatric residents, having formal SCAN training and at least 4 years of experience in clinical psychiatry. A data manager was employed full time controlling completeness, </w:t>
      </w:r>
      <w:r w:rsidR="000C74A8" w:rsidRPr="00840C78">
        <w:rPr>
          <w:lang w:val="en-GB"/>
        </w:rPr>
        <w:t>consistency,</w:t>
      </w:r>
      <w:r w:rsidRPr="00840C78">
        <w:rPr>
          <w:lang w:val="en-GB"/>
        </w:rPr>
        <w:t xml:space="preserve"> and accuracy of all questionnaires. Double data-entry was employed. </w:t>
      </w:r>
    </w:p>
    <w:p w14:paraId="5E33D9F9" w14:textId="39C30492" w:rsidR="00B714D6" w:rsidRPr="00840C78" w:rsidRDefault="00B714D6" w:rsidP="00541D5D">
      <w:pPr>
        <w:spacing w:line="360" w:lineRule="auto"/>
        <w:rPr>
          <w:lang w:val="en-GB"/>
        </w:rPr>
      </w:pPr>
      <w:r w:rsidRPr="00840C78">
        <w:rPr>
          <w:lang w:val="en-GB"/>
        </w:rPr>
        <w:t xml:space="preserve">The SF-36 is widely used for measuring outcomes of mental illness and has been validated for measuring functioning and health related quality of life </w:t>
      </w:r>
      <w:r w:rsidR="00EF1569" w:rsidRPr="00840C78">
        <w:rPr>
          <w:lang w:val="en-GB"/>
        </w:rPr>
        <w:fldChar w:fldCharType="begin"/>
      </w:r>
      <w:r w:rsidR="005D2AFF" w:rsidRPr="00840C78">
        <w:rPr>
          <w:lang w:val="en-GB"/>
        </w:rPr>
        <w:instrText xml:space="preserve"> ADDIN ZOTERO_ITEM CSL_CITATION {"citationID":"P30VO6kl","properties":{"formattedCitation":"(Brazier et al. 1992)","plainCitation":"(Brazier et al. 1992)","noteIndex":0},"citationItems":[{"id":200,"uris":["http://zotero.org/users/6633655/items/PRZDWQT5"],"itemData":{"id":200,"type":"article-journal","abstract":"OBJECTIVES: To test the acceptability, validity, and reliability of the short form 36 health survey questionnaire (SF-36) and to compare it with the Nottingham health profile. DESIGN: Postal survey using a questionnaire booklet together with a letter from the general practitioner. Non-respondents received two reminders at two week intervals. The SF-36 questionnaire was retested on a subsample of respondents two weeks after the first mailing. SETTING: Two general practices in Sheffield. PATIENTS: 1980 patients aged 16-74 years randomly selected from the two practice lists. MAIN OUTCOME MEASURES: Scores for each health dimension on the SF-36 questionnaire and the Nottingham health profile. Response to questions on recent use of health services and sociodemographic characteristics. RESULTS: The response rate for the SF-36 questionnaire was high (83%) and the rate of completion for each dimension was over 95%. Considerable evidence was found for the reliability of the SF-36 (Cronbach's alpha greater than 0.85, reliability coefficient greater than 0.75 for all dimensions except social functioning) and for construct validity in terms of distinguishing between groups with expected health differences. The SF-36 was able to detect low levels of ill health in patients who had scored 0 (good health) on the Nottingham health profile. CONCLUSIONS: The SF-36 is a promising new instrument for measuring health perception in a general population. It is easy to use, acceptable to patients, and fulfils stringent criteria of reliability and validity. Its use in other contexts and with different disease groups requires further research.","container-title":"BMJ","ISSN":"0959-8138 (Print) 0959-535X (Linking)","issue":"6846","language":"eng","note":"PMCID: PMC1883187","page":"160-4","title":"Validating the SF-36 health survey questionnaire: new outcome measure for primary care","volume":"305","author":[{"family":"Brazier","given":"J. E."},{"family":"Harper","given":"R."},{"family":"Jones","given":"N. M."},{"family":"O'Cathain","given":"A."},{"family":"Thomas","given":"K. J."},{"family":"Usherwood","given":"T."},{"family":"Westlake","given":"L."}],"issued":{"date-parts":[["1992",7,18]]}}}],"schema":"https://github.com/citation-style-language/schema/raw/master/csl-citation.json"} </w:instrText>
      </w:r>
      <w:r w:rsidR="00EF1569" w:rsidRPr="00840C78">
        <w:rPr>
          <w:lang w:val="en-GB"/>
        </w:rPr>
        <w:fldChar w:fldCharType="separate"/>
      </w:r>
      <w:r w:rsidR="00EF1569" w:rsidRPr="00840C78">
        <w:rPr>
          <w:noProof/>
          <w:lang w:val="en-GB"/>
        </w:rPr>
        <w:t>(Brazier et al. 1992)</w:t>
      </w:r>
      <w:r w:rsidR="00EF1569" w:rsidRPr="00840C78">
        <w:rPr>
          <w:lang w:val="en-GB"/>
        </w:rPr>
        <w:fldChar w:fldCharType="end"/>
      </w:r>
      <w:r w:rsidRPr="00840C78">
        <w:rPr>
          <w:lang w:val="en-GB"/>
        </w:rPr>
        <w:t>, and for use with bipolar disorder</w:t>
      </w:r>
      <w:r w:rsidR="00E94105" w:rsidRPr="00840C78">
        <w:rPr>
          <w:lang w:val="en-GB"/>
        </w:rPr>
        <w:t xml:space="preserve"> </w:t>
      </w:r>
      <w:r w:rsidR="00E94105" w:rsidRPr="00840C78">
        <w:rPr>
          <w:lang w:val="en-GB"/>
        </w:rPr>
        <w:fldChar w:fldCharType="begin"/>
      </w:r>
      <w:r w:rsidR="005D2AFF" w:rsidRPr="00840C78">
        <w:rPr>
          <w:lang w:val="en-GB"/>
        </w:rPr>
        <w:instrText xml:space="preserve"> ADDIN ZOTERO_ITEM CSL_CITATION {"citationID":"jE9NQOV3","properties":{"formattedCitation":"(Leidy et al. 1998)","plainCitation":"(Leidy et al. 1998)","noteIndex":0},"citationItems":[{"id":199,"uris":["http://zotero.org/users/6633655/items/2MVS8QJM"],"itemData":{"id":199,"type":"article-journal","abstract":"The purpose of this study was to evaluate the psychometric properties of selected health-related quality of life (HRQL) self-report measures in 62 euthymic and depressed patients diagnosed with bipolar disorder. Patients completed the Quality of Life in Depression Scale (QLDS), Mental Health Index-17 (MHI-17), Cognitive Function Scale, and Medical Outcomes Study Short Form-36 (SF-36) at baseline and 8 weeks following treatment. Hamilton and Young Rating Scales were used to assess clinical status and validate the HRQL measures. The MHI-17, Cognitive Function Scale, QLDS, and SF-36 social function, vitality, role limitations-emotional, and mental health scales have good reliability and validity, and are responsive to changes in clinical status in patients with bipolar disorder. Although the small sample size limits generalizablity, euthymic and depressed outpatients with bipolar disorder appear to contribute reliable self reports on selected aspects of their quality of life.","container-title":"J Affect Disord","ISSN":"0165-0327 (Print) 0165-0327 (Linking)","issue":"2-3","language":"eng","page":"207-14","title":"Health-related quality of life assessment in euthymic and depressed patients with bipolar disorder. Psychometric performance of four self-report measures","volume":"48","author":[{"family":"Leidy","given":"N. K."},{"family":"Palmer","given":"C."},{"family":"Murray","given":"M."},{"family":"Robb","given":"J."},{"family":"Revicki","given":"D. A."}],"issued":{"date-parts":[["1998",3]]}}}],"schema":"https://github.com/citation-style-language/schema/raw/master/csl-citation.json"} </w:instrText>
      </w:r>
      <w:r w:rsidR="00E94105" w:rsidRPr="00840C78">
        <w:rPr>
          <w:lang w:val="en-GB"/>
        </w:rPr>
        <w:fldChar w:fldCharType="separate"/>
      </w:r>
      <w:r w:rsidR="00E94105" w:rsidRPr="00840C78">
        <w:rPr>
          <w:noProof/>
          <w:lang w:val="en-GB"/>
        </w:rPr>
        <w:t>(Leidy et al. 1998)</w:t>
      </w:r>
      <w:r w:rsidR="00E94105" w:rsidRPr="00840C78">
        <w:rPr>
          <w:lang w:val="en-GB"/>
        </w:rPr>
        <w:fldChar w:fldCharType="end"/>
      </w:r>
      <w:r w:rsidRPr="00840C78">
        <w:rPr>
          <w:lang w:val="en-GB"/>
        </w:rPr>
        <w:t>. The Amharic translation has been validated in Butajira</w:t>
      </w:r>
      <w:r w:rsidR="00E94105" w:rsidRPr="00840C78">
        <w:rPr>
          <w:lang w:val="en-GB"/>
        </w:rPr>
        <w:t xml:space="preserve"> </w:t>
      </w:r>
      <w:r w:rsidR="00E94105" w:rsidRPr="00840C78">
        <w:rPr>
          <w:lang w:val="en-GB"/>
        </w:rPr>
        <w:fldChar w:fldCharType="begin"/>
      </w:r>
      <w:r w:rsidR="005D2AFF" w:rsidRPr="00840C78">
        <w:rPr>
          <w:lang w:val="en-GB"/>
        </w:rPr>
        <w:instrText xml:space="preserve"> ADDIN ZOTERO_ITEM CSL_CITATION {"citationID":"00ooBld3","properties":{"formattedCitation":"(Kebede et al. 2004)","plainCitation":"(Kebede et al. 2004)","noteIndex":0},"citationItems":[{"id":198,"uris":["http://zotero.org/users/6633655/items/BXYHYZU9"],"itemData":{"id":198,"type":"article-journal","abstract":"The SF-36 health survey, a generic measure of health related quality of life (HRQOL), has been translated, evaluated in various languages and used in over 40 countries worldwide, although it has not been used in Ethiopia. OBJECTIVE: To measure the reliability and validity of the SF-36, to establish general population norms for various sex and age groups, to describe the effects of socio-demographic factors on SF-36 scores, and SF-36 scores in patients with major mental disorders. METHODS: Following the standard procedures of forward and back translation and adaptation, an Amharic SF-36 was developed This was subsequently used in a health survey of a general rural population of 1.990 in Butajira. The instrument was also used to interview a group of patients with schizophrenia, bipolar and depressive disorders. RESULTS: Mean scores of all of the eight domains of the SF-36 general population of Butajira decreased (indicating poorer HRQOL) with increasing age in both males and females. The odds of being in the lowest quartile of the PCS were 3.6 times higher in those aged 40-49 years when compared to those younger than 20 years Adjusted Odds Ratio (95% CI) = 3.62 (2.32, 5.66). In both males and females, the SF-36 scores for the eight domains and the two summary scales were significantly lower among all the three cases of major mental disorders compared to the general population. CONCLUSION: The SF-36 appears to be an appropriate measure for measuring health related quality of life in various population groups in Ethiopia.","container-title":"Ethiop Med J","ISSN":"0014-1755 (Print) 0014-1755 (Linking)","issue":"4","language":"eng","page":"289-97","title":"Health related quality of life (SF-36) survey in Butajira, rural Ethiopia: normative data and evaluation of reliability and validity","volume":"42","author":[{"family":"Kebede","given":"D."},{"family":"Alem","given":"A."},{"family":"Shibre","given":"T."},{"family":"Negash","given":"A."},{"family":"Deyassa","given":"N."},{"family":"Beyero","given":"T."}],"issued":{"date-parts":[["2004",10]]}}}],"schema":"https://github.com/citation-style-language/schema/raw/master/csl-citation.json"} </w:instrText>
      </w:r>
      <w:r w:rsidR="00E94105" w:rsidRPr="00840C78">
        <w:rPr>
          <w:lang w:val="en-GB"/>
        </w:rPr>
        <w:fldChar w:fldCharType="separate"/>
      </w:r>
      <w:r w:rsidR="00E94105" w:rsidRPr="00840C78">
        <w:rPr>
          <w:noProof/>
          <w:lang w:val="en-GB"/>
        </w:rPr>
        <w:t>(Kebede et al. 2004)</w:t>
      </w:r>
      <w:r w:rsidR="00E94105" w:rsidRPr="00840C78">
        <w:rPr>
          <w:lang w:val="en-GB"/>
        </w:rPr>
        <w:fldChar w:fldCharType="end"/>
      </w:r>
      <w:r w:rsidR="00E94105" w:rsidRPr="00840C78">
        <w:rPr>
          <w:lang w:val="en-GB"/>
        </w:rPr>
        <w:t xml:space="preserve">. </w:t>
      </w:r>
      <w:r w:rsidRPr="00840C78">
        <w:rPr>
          <w:lang w:val="en-GB"/>
        </w:rPr>
        <w:t xml:space="preserve">The instrument includes 36 items yielding 8 subscales. A scoring algorithm authored by the developers was used to calculate sub-scale scores </w:t>
      </w:r>
      <w:r w:rsidR="00E94105" w:rsidRPr="00840C78">
        <w:rPr>
          <w:lang w:val="en-GB"/>
        </w:rPr>
        <w:fldChar w:fldCharType="begin"/>
      </w:r>
      <w:r w:rsidR="005D2AFF" w:rsidRPr="00840C78">
        <w:rPr>
          <w:lang w:val="en-GB"/>
        </w:rPr>
        <w:instrText xml:space="preserve"> ADDIN ZOTERO_ITEM CSL_CITATION {"citationID":"K1aub8VD","properties":{"formattedCitation":"(Ware and Sherbourne 1993)","plainCitation":"(Ware and Sherbourne 1993)","noteIndex":0},"citationItems":[{"id":197,"uris":["http://zotero.org/users/6633655/items/9HQTKPYD"],"itemData":{"id":197,"type":"article-journal","title":"The MOS 36-item Short-Form Health Survey (SF-36). I. Conceptual framework and item election. Med. Care 30, 473– 483.","author":[{"family":"Ware","given":"J. E."},{"family":"Sherbourne","given":"C. D."}],"issued":{"date-parts":[["1993"]]}}}],"schema":"https://github.com/citation-style-language/schema/raw/master/csl-citation.json"} </w:instrText>
      </w:r>
      <w:r w:rsidR="00E94105" w:rsidRPr="00840C78">
        <w:rPr>
          <w:lang w:val="en-GB"/>
        </w:rPr>
        <w:fldChar w:fldCharType="separate"/>
      </w:r>
      <w:r w:rsidR="00E94105" w:rsidRPr="00840C78">
        <w:rPr>
          <w:noProof/>
          <w:lang w:val="en-GB"/>
        </w:rPr>
        <w:t>(Ware and Sherbourne 1993)</w:t>
      </w:r>
      <w:r w:rsidR="00E94105" w:rsidRPr="00840C78">
        <w:rPr>
          <w:lang w:val="en-GB"/>
        </w:rPr>
        <w:fldChar w:fldCharType="end"/>
      </w:r>
      <w:r w:rsidRPr="00840C78">
        <w:rPr>
          <w:lang w:val="en-GB"/>
        </w:rPr>
        <w:t xml:space="preserve">. The social functioning sub-scale with two items measures the active </w:t>
      </w:r>
      <w:r w:rsidRPr="00840C78">
        <w:rPr>
          <w:lang w:val="en-GB"/>
        </w:rPr>
        <w:lastRenderedPageBreak/>
        <w:t xml:space="preserve">effect of physical and emotional health on normal social activities. The remaining seven subscales (physical functioning, role-physical, role-emotional, bodily pain, vitality, mental </w:t>
      </w:r>
      <w:r w:rsidR="000C74A8" w:rsidRPr="00840C78">
        <w:rPr>
          <w:lang w:val="en-GB"/>
        </w:rPr>
        <w:t>health,</w:t>
      </w:r>
      <w:r w:rsidRPr="00840C78">
        <w:rPr>
          <w:lang w:val="en-GB"/>
        </w:rPr>
        <w:t xml:space="preserve"> and general health perception) have been described in the original study. Scores of sub-scales range from 0 to 100 and higher SF-36 scores indicate better functioning</w:t>
      </w:r>
      <w:r w:rsidR="00E94105" w:rsidRPr="00840C78">
        <w:rPr>
          <w:lang w:val="en-GB"/>
        </w:rPr>
        <w:t xml:space="preserve"> </w:t>
      </w:r>
      <w:r w:rsidR="00E94105" w:rsidRPr="00840C78">
        <w:rPr>
          <w:lang w:val="en-GB"/>
        </w:rPr>
        <w:fldChar w:fldCharType="begin"/>
      </w:r>
      <w:r w:rsidR="005D2AFF" w:rsidRPr="00840C78">
        <w:rPr>
          <w:lang w:val="en-GB"/>
        </w:rPr>
        <w:instrText xml:space="preserve"> ADDIN ZOTERO_ITEM CSL_CITATION {"citationID":"eS0qe1wg","properties":{"formattedCitation":"(Kebede et al. 2006)","plainCitation":"(Kebede et al. 2006)","noteIndex":0},"citationItems":[{"id":225,"uris":["http://zotero.org/users/6633655/items/JKJ5ASYI"],"itemData":{"id":225,"type":"article-journal","abstract":"BACKGROUND: Limited information is available on the outcome of bipolar disorder in developing countries. OBJECTIVE: To describe the symptomatic and functional outcome of bipolar disorder. METHODS: The psychoses and affective disorder modules of the CIDI were used to screen 68,378 individuals by a door-to-door survey of a defined district in Ethiopia. In addition, key informants were used to identify individuals with probable major mental illnesses. SCAN interviews were completed at the second stage to confirm the diagnosis. A total of 315 cases of bipolar disorder were identified, of which 264 (69 recent-onset and 195 prevalent cases) were prospectively followed for a mean of 2.5 (range 1-4) years by baseline and annual clinical assessments using symptom rating scales. Functional dimensions of the SF-36 scale were used to describe functional outcome. Random coefficient analyses were used to evaluate potential correlates of outcome. RESULTS: The magnitudes of mania and depression symptoms were elevated at baseline but improved with follow-up, although the improvement was less marked for depression. Sociodemographic or clinical variables were not associated with the improvements in symptomatic outcome. Between 35% and 47% of the recent-onset cases had functional role restrictions, while 42-52% of long-standing cases had such restrictions during the follow-up years. Similarly, social and physical functioning deficits were also present in 52-86% and 35-47% of recent-onset and long-standing cases, respectively. The magnitude of depression and mania symptoms was associated with poor functional outcome, while male sex, rural residence and being married were associated with better functional outcome. CONCLUSION: Although there were improvements in function with follow-up, between one-third and one-half of cases continued to have functional deficits.","container-title":"J Affect Disord","DOI":"10.1016/j.jad.2005.11.009","ISSN":"0165-0327 (Print) 0165-0327 (Linking)","issue":"2-3","language":"eng","page":"239-49","title":"Symptomatic and functional outcome of bipolar disorder in Butajira, Ethiopia","volume":"90","author":[{"family":"Kebede","given":"D."},{"family":"Alem","given":"A."},{"family":"Shibire","given":"T."},{"family":"Deyassa","given":"N."},{"family":"Negash","given":"A."},{"family":"Beyero","given":"T."},{"family":"Medhin","given":"G."},{"family":"Fekadu","given":"A."}],"issued":{"date-parts":[["2006",2]]}}}],"schema":"https://github.com/citation-style-language/schema/raw/master/csl-citation.json"} </w:instrText>
      </w:r>
      <w:r w:rsidR="00E94105" w:rsidRPr="00840C78">
        <w:rPr>
          <w:lang w:val="en-GB"/>
        </w:rPr>
        <w:fldChar w:fldCharType="separate"/>
      </w:r>
      <w:r w:rsidR="00E94105" w:rsidRPr="00840C78">
        <w:rPr>
          <w:noProof/>
          <w:lang w:val="en-GB"/>
        </w:rPr>
        <w:t>(Kebede et al. 2006)</w:t>
      </w:r>
      <w:r w:rsidR="00E94105" w:rsidRPr="00840C78">
        <w:rPr>
          <w:lang w:val="en-GB"/>
        </w:rPr>
        <w:fldChar w:fldCharType="end"/>
      </w:r>
      <w:r w:rsidRPr="00840C78">
        <w:rPr>
          <w:lang w:val="en-GB"/>
        </w:rPr>
        <w:t>.</w:t>
      </w:r>
    </w:p>
    <w:p w14:paraId="063E0D63" w14:textId="77777777" w:rsidR="00B714D6" w:rsidRPr="00840C78" w:rsidRDefault="00B714D6" w:rsidP="00541D5D">
      <w:pPr>
        <w:pStyle w:val="Rubrik2"/>
        <w:rPr>
          <w:color w:val="auto"/>
        </w:rPr>
      </w:pPr>
      <w:bookmarkStart w:id="2" w:name="_Toc304458649"/>
      <w:r w:rsidRPr="00840C78">
        <w:rPr>
          <w:color w:val="auto"/>
        </w:rPr>
        <w:t>Subject identification and design of original study</w:t>
      </w:r>
      <w:bookmarkEnd w:id="2"/>
    </w:p>
    <w:p w14:paraId="15943FF9" w14:textId="7E59BD2C" w:rsidR="00B714D6" w:rsidRPr="00840C78" w:rsidRDefault="00B714D6" w:rsidP="00541D5D">
      <w:pPr>
        <w:spacing w:line="360" w:lineRule="auto"/>
        <w:rPr>
          <w:lang w:val="en-GB"/>
        </w:rPr>
      </w:pPr>
      <w:r w:rsidRPr="00840C78">
        <w:rPr>
          <w:lang w:val="en-GB"/>
        </w:rPr>
        <w:t xml:space="preserve">The original study was a cross-sectional door-to-door survey screening the whole population for bipolar disorder, </w:t>
      </w:r>
      <w:r w:rsidR="000C74A8" w:rsidRPr="00840C78">
        <w:rPr>
          <w:lang w:val="en-GB"/>
        </w:rPr>
        <w:t>schizophrenia,</w:t>
      </w:r>
      <w:r w:rsidRPr="00840C78">
        <w:rPr>
          <w:lang w:val="en-GB"/>
        </w:rPr>
        <w:t xml:space="preserve"> and major depression. Prisons were included. One of the 45 sub-districts, with an estimated 17</w:t>
      </w:r>
      <w:r w:rsidR="007861DD" w:rsidRPr="00840C78">
        <w:rPr>
          <w:lang w:val="en-GB"/>
        </w:rPr>
        <w:t>,</w:t>
      </w:r>
      <w:r w:rsidRPr="00840C78">
        <w:rPr>
          <w:lang w:val="en-GB"/>
        </w:rPr>
        <w:t>000 people in the targeted age range, was inaccessible for screening. Of the 68</w:t>
      </w:r>
      <w:r w:rsidR="007861DD" w:rsidRPr="00840C78">
        <w:rPr>
          <w:lang w:val="en-GB"/>
        </w:rPr>
        <w:t>,</w:t>
      </w:r>
      <w:r w:rsidRPr="00840C78">
        <w:rPr>
          <w:lang w:val="en-GB"/>
        </w:rPr>
        <w:t>378 CIDI interviews 42.5% were carried out with males and 57.5% with females. Of the subsequent 2878 potential cases, 719 had been identified by key informants, and 79.4% completed confirmatory SCAN interviews. 315 patients were diagnosed as having bipolar 1 disorder, 321 as having schizophrenia</w:t>
      </w:r>
      <w:r w:rsidR="007861DD" w:rsidRPr="00840C78">
        <w:rPr>
          <w:lang w:val="en-GB"/>
        </w:rPr>
        <w:t>,</w:t>
      </w:r>
      <w:r w:rsidRPr="00840C78">
        <w:rPr>
          <w:lang w:val="en-GB"/>
        </w:rPr>
        <w:t xml:space="preserve"> and 212 as having major depression, according to DSM-IV criteria. </w:t>
      </w:r>
    </w:p>
    <w:p w14:paraId="7366DEFD" w14:textId="2E494C21" w:rsidR="00B714D6" w:rsidRPr="00840C78" w:rsidRDefault="00B714D6" w:rsidP="00541D5D">
      <w:pPr>
        <w:spacing w:line="360" w:lineRule="auto"/>
        <w:rPr>
          <w:lang w:val="en-GB"/>
        </w:rPr>
      </w:pPr>
      <w:r w:rsidRPr="00840C78">
        <w:rPr>
          <w:lang w:val="en-GB"/>
        </w:rPr>
        <w:t>Single manic episode qualified as bipolar disorder. Annual follow-up data on affective episodes for an average of 2.5 years were available for the current study</w:t>
      </w:r>
      <w:r w:rsidR="00457841" w:rsidRPr="00840C78">
        <w:rPr>
          <w:lang w:val="en-GB"/>
        </w:rPr>
        <w:t xml:space="preserve">. Of 264 cases 30.3% had four yearly </w:t>
      </w:r>
      <w:r w:rsidR="00D065E0" w:rsidRPr="00840C78">
        <w:rPr>
          <w:lang w:val="en-GB"/>
        </w:rPr>
        <w:t>assessments</w:t>
      </w:r>
      <w:r w:rsidR="00457841" w:rsidRPr="00840C78">
        <w:rPr>
          <w:lang w:val="en-GB"/>
        </w:rPr>
        <w:t xml:space="preserve">, 38.6% had three, 19.3%% had two, and 11.7% had one yearly follow-up assessment </w:t>
      </w:r>
      <w:r w:rsidR="00E94105" w:rsidRPr="00840C78">
        <w:rPr>
          <w:lang w:val="en-GB"/>
        </w:rPr>
        <w:fldChar w:fldCharType="begin"/>
      </w:r>
      <w:r w:rsidR="005D2AFF" w:rsidRPr="00840C78">
        <w:rPr>
          <w:lang w:val="en-GB"/>
        </w:rPr>
        <w:instrText xml:space="preserve"> ADDIN ZOTERO_ITEM CSL_CITATION {"citationID":"pK8VoOGu","properties":{"formattedCitation":"(Kebede et al. 2006; Fekadu et al. 2006)","plainCitation":"(Kebede et al. 2006; Fekadu et al. 2006)","noteIndex":0},"citationItems":[{"id":225,"uris":["http://zotero.org/users/6633655/items/JKJ5ASYI"],"itemData":{"id":225,"type":"article-journal","abstract":"BACKGROUND: Limited information is available on the outcome of bipolar disorder in developing countries. OBJECTIVE: To describe the symptomatic and functional outcome of bipolar disorder. METHODS: The psychoses and affective disorder modules of the CIDI were used to screen 68,378 individuals by a door-to-door survey of a defined district in Ethiopia. In addition, key informants were used to identify individuals with probable major mental illnesses. SCAN interviews were completed at the second stage to confirm the diagnosis. A total of 315 cases of bipolar disorder were identified, of which 264 (69 recent-onset and 195 prevalent cases) were prospectively followed for a mean of 2.5 (range 1-4) years by baseline and annual clinical assessments using symptom rating scales. Functional dimensions of the SF-36 scale were used to describe functional outcome. Random coefficient analyses were used to evaluate potential correlates of outcome. RESULTS: The magnitudes of mania and depression symptoms were elevated at baseline but improved with follow-up, although the improvement was less marked for depression. Sociodemographic or clinical variables were not associated with the improvements in symptomatic outcome. Between 35% and 47% of the recent-onset cases had functional role restrictions, while 42-52% of long-standing cases had such restrictions during the follow-up years. Similarly, social and physical functioning deficits were also present in 52-86% and 35-47% of recent-onset and long-standing cases, respectively. The magnitude of depression and mania symptoms was associated with poor functional outcome, while male sex, rural residence and being married were associated with better functional outcome. CONCLUSION: Although there were improvements in function with follow-up, between one-third and one-half of cases continued to have functional deficits.","container-title":"J Affect Disord","DOI":"10.1016/j.jad.2005.11.009","ISSN":"0165-0327 (Print) 0165-0327 (Linking)","issue":"2-3","language":"eng","page":"239-49","title":"Symptomatic and functional outcome of bipolar disorder in Butajira, Ethiopia","volume":"90","author":[{"family":"Kebede","given":"D."},{"family":"Alem","given":"A."},{"family":"Shibire","given":"T."},{"family":"Deyassa","given":"N."},{"family":"Negash","given":"A."},{"family":"Beyero","given":"T."},{"family":"Medhin","given":"G."},{"family":"Fekadu","given":"A."}],"issued":{"date-parts":[["2006",2]]}}},{"id":229,"uris":["http://zotero.org/users/6633655/items/PIPCF872"],"itemData":{"id":229,"type":"article-journal","abstract":"Objective: To determine the clinical outcome of bipolar disorder in a developing country setup.\nMethod: After assessing 68 378 individuals, aged 15–49 years, in a double-sampling design in a rural community in Ethiopia, 312 patients with bipolar disorder were prospectively monitored with symptom rating scales and clinically for an average of 2.5 years.\nResults: Overall, 65.9% of the cohort experienced a relapse – 47.8% manic, 44.3% depressive and 7.7% mixed episodes – and 31.1% had persistent illness. Female gender predicted depressive relapse, while male gender predicted manic relapse. Being on psychotropic medication was associated with remission.\nConclusion: This large community-based study conﬁrms the relapsing nature of bipolar disorder and a tendency for chronicity. This may be partly because of lack of appropriate interventions in this setting; however, it may also indicate the underlying severity of the disorder irrespective of setting.","container-title":"Acta Psychiatrica Scandinavica","DOI":"10.1111/j.1600-0447.2006.00825.x","ISSN":"0001-690X, 1600-0447","issue":"6","journalAbbreviation":"Acta Psychiatr Scand","language":"en","page":"426-434","source":"DOI.org (Crossref)","title":"Clinical outcome in bipolar disorder in a community-based follow-up study in Butajira, Ethiopia","volume":"114","author":[{"family":"Fekadu","given":"A."},{"family":"Kebede","given":"D."},{"family":"Alem","given":"A."},{"family":"Fekadu","given":"D."},{"family":"Mogga","given":"S."},{"family":"Negash","given":"A."},{"family":"Medhin","given":"G."},{"family":"Beyero","given":"T."},{"family":"Shibre","given":"T."}],"issued":{"date-parts":[["2006",12]]}}}],"schema":"https://github.com/citation-style-language/schema/raw/master/csl-citation.json"} </w:instrText>
      </w:r>
      <w:r w:rsidR="00E94105" w:rsidRPr="00840C78">
        <w:rPr>
          <w:lang w:val="en-GB"/>
        </w:rPr>
        <w:fldChar w:fldCharType="separate"/>
      </w:r>
      <w:r w:rsidR="00E94105" w:rsidRPr="00840C78">
        <w:rPr>
          <w:noProof/>
          <w:lang w:val="en-GB"/>
        </w:rPr>
        <w:t>(Kebede et al. 2006; Fekadu et al. 2006)</w:t>
      </w:r>
      <w:r w:rsidR="00E94105" w:rsidRPr="00840C78">
        <w:rPr>
          <w:lang w:val="en-GB"/>
        </w:rPr>
        <w:fldChar w:fldCharType="end"/>
      </w:r>
      <w:r w:rsidRPr="00840C78">
        <w:rPr>
          <w:lang w:val="en-GB"/>
        </w:rPr>
        <w:t xml:space="preserve">. Inclusion criteria were age 15-49 and having lived in the area for at least 6 months. Exclusion criteria were bipolar II disorder and organic manic disorder after physical and neurological assessment by a physician. The age limit of 49 was chosen for efficiency and the fact that life expectancy was reported to be 50 years </w:t>
      </w:r>
      <w:r w:rsidR="00E94105" w:rsidRPr="00840C78">
        <w:rPr>
          <w:lang w:val="en-GB"/>
        </w:rPr>
        <w:fldChar w:fldCharType="begin"/>
      </w:r>
      <w:r w:rsidR="005D2AFF" w:rsidRPr="00840C78">
        <w:rPr>
          <w:lang w:val="en-GB"/>
        </w:rPr>
        <w:instrText xml:space="preserve"> ADDIN ZOTERO_ITEM CSL_CITATION {"citationID":"VZHVKCUb","properties":{"formattedCitation":"(Byass et al. 2002)","plainCitation":"(Byass et al. 2002)","noteIndex":0},"citationItems":[{"id":215,"uris":["http://zotero.org/users/6633655/items/3R7792JH"],"itemData":{"id":215,"type":"article-journal","abstract":"Longitudinal demographic surveillance systems (DSSs) in selected populations can provide important information in situations where routine health information is incomplete or absent, particularly in developing countries. The Butajira Rural Health Project is one such example, initiated in rural Ethiopia in 1987. DSSs rely on regular community-based surveillance as a means of vital event registration, among a sufficient population base to draw meaningful conclusions about rates and trends in relatively rare events such as maternal death. Enquiries into specific health problems can also then use this framework to quantify particular issues or evaluate interventions. Demographic characteristics and trends for a rural Ethiopian population over a 10-y period are presented as an illustration of the DSS approach, based on 336 000 person-years observed. Overall life expectancy at birth was 50 y. Demographic parameters generally showed modest trends towards improvement over the 10-y period. The DSS approach is useful in characterising populations at the community level over a period of time, providing important information for health planning and intervention. Methodological issues underlying this approach need further exploration and development.","container-title":"Public Health","DOI":"10.1038/sj.ph.1900837","ISSN":"0033-3506 (Print) 0033-3506 (Linking)","issue":"3","language":"eng","page":"145-50","title":"The role of demographic surveillance systems (DSS) in assessing the health of communities: an example from rural Ethiopia","volume":"116","author":[{"family":"Byass","given":"P."},{"family":"Berhane","given":"Y."},{"family":"Emmelin","given":"A."},{"family":"Kebede","given":"D."},{"family":"Andersson","given":"T."},{"family":"Hogberg","given":"U."},{"family":"Wall","given":"S."}],"issued":{"date-parts":[["2002",5]]}}}],"schema":"https://github.com/citation-style-language/schema/raw/master/csl-citation.json"} </w:instrText>
      </w:r>
      <w:r w:rsidR="00E94105" w:rsidRPr="00840C78">
        <w:rPr>
          <w:lang w:val="en-GB"/>
        </w:rPr>
        <w:fldChar w:fldCharType="separate"/>
      </w:r>
      <w:r w:rsidR="00E94105" w:rsidRPr="00840C78">
        <w:rPr>
          <w:noProof/>
          <w:lang w:val="en-GB"/>
        </w:rPr>
        <w:t>(Byass et al. 2002)</w:t>
      </w:r>
      <w:r w:rsidR="00E94105" w:rsidRPr="00840C78">
        <w:rPr>
          <w:lang w:val="en-GB"/>
        </w:rPr>
        <w:fldChar w:fldCharType="end"/>
      </w:r>
      <w:r w:rsidRPr="00840C78">
        <w:rPr>
          <w:lang w:val="en-GB"/>
        </w:rPr>
        <w:t xml:space="preserve">. </w:t>
      </w:r>
    </w:p>
    <w:p w14:paraId="28FE40C7" w14:textId="77777777" w:rsidR="00B714D6" w:rsidRPr="00840C78" w:rsidRDefault="00B714D6" w:rsidP="00541D5D">
      <w:pPr>
        <w:pStyle w:val="Rubrik3"/>
        <w:rPr>
          <w:color w:val="auto"/>
          <w:sz w:val="26"/>
          <w:szCs w:val="26"/>
        </w:rPr>
      </w:pPr>
      <w:bookmarkStart w:id="3" w:name="_Toc304458651"/>
      <w:r w:rsidRPr="00840C78">
        <w:rPr>
          <w:color w:val="auto"/>
          <w:sz w:val="26"/>
          <w:szCs w:val="26"/>
        </w:rPr>
        <w:t>Recoded variables</w:t>
      </w:r>
      <w:bookmarkEnd w:id="3"/>
    </w:p>
    <w:p w14:paraId="3D07D3B5" w14:textId="77777777" w:rsidR="00B714D6" w:rsidRPr="00840C78" w:rsidRDefault="00B714D6" w:rsidP="00541D5D">
      <w:pPr>
        <w:spacing w:line="360" w:lineRule="auto"/>
        <w:rPr>
          <w:rFonts w:cs="Arial"/>
          <w:szCs w:val="22"/>
          <w:lang w:val="en-GB"/>
        </w:rPr>
      </w:pPr>
      <w:r w:rsidRPr="00840C78">
        <w:rPr>
          <w:rFonts w:cs="Arial"/>
          <w:szCs w:val="22"/>
          <w:lang w:val="en-GB"/>
        </w:rPr>
        <w:t xml:space="preserve">Age was coded into decennial categories for practical and comparative reasons. Occupational status (SCAN item 0.027: Full time paid, Part time paid, Household duties, Unemployed, Retired, Disablement, Pensioneer, Sheltered work, Primarily a student) was recoded into three categories (Not working, Paid work, Domestic work). Marital status (SCAN item 0.024: Married, Cohabiting, Separated, Divorced, Widowed, Never married and Not cohabiting) was recoded into three categories (Single/never married, Married, Other). Number of children (0-20) was recoded into three categories (0, 1-3, 4 and more) and age of onset of disorder was recoded into 4 categories (0-15, 16-20, 21-25, 26-49), based on the </w:t>
      </w:r>
      <w:r w:rsidRPr="00840C78">
        <w:rPr>
          <w:rFonts w:cs="Arial"/>
          <w:szCs w:val="22"/>
          <w:lang w:val="en-GB"/>
        </w:rPr>
        <w:lastRenderedPageBreak/>
        <w:t xml:space="preserve">author's subjective judgment of relevance. Suicidal ideation (HDRS item 3: Absent, Feels life is not worth living, Wishes he/she were dead or any thoughts of possible death to self, Ideas or gestures of suicide, Attempts at suicide) was recoded into 2 categories (No, Yes). For the logistic regression modelling the variable "khat use" was recoded to binary categories because of small numbers. </w:t>
      </w:r>
    </w:p>
    <w:p w14:paraId="7051902E" w14:textId="287A56D6" w:rsidR="00B714D6" w:rsidRPr="00840C78" w:rsidRDefault="00A7171A" w:rsidP="00541D5D">
      <w:pPr>
        <w:pStyle w:val="Rubrik3"/>
        <w:rPr>
          <w:color w:val="auto"/>
          <w:sz w:val="26"/>
          <w:szCs w:val="26"/>
        </w:rPr>
      </w:pPr>
      <w:bookmarkStart w:id="4" w:name="_Toc304458652"/>
      <w:r w:rsidRPr="00840C78">
        <w:rPr>
          <w:color w:val="auto"/>
          <w:sz w:val="26"/>
          <w:szCs w:val="26"/>
        </w:rPr>
        <w:t xml:space="preserve">Definition of </w:t>
      </w:r>
      <w:bookmarkEnd w:id="4"/>
      <w:r w:rsidR="00A26BB1" w:rsidRPr="00840C78">
        <w:rPr>
          <w:color w:val="auto"/>
          <w:sz w:val="26"/>
          <w:szCs w:val="26"/>
        </w:rPr>
        <w:t>affective episodes</w:t>
      </w:r>
    </w:p>
    <w:p w14:paraId="04153538" w14:textId="03A6D2DA" w:rsidR="00B714D6" w:rsidRPr="00840C78" w:rsidRDefault="00B714D6" w:rsidP="00541D5D">
      <w:pPr>
        <w:spacing w:line="360" w:lineRule="auto"/>
        <w:rPr>
          <w:lang w:val="en-GB"/>
        </w:rPr>
      </w:pPr>
      <w:r w:rsidRPr="00840C78">
        <w:rPr>
          <w:lang w:val="en-GB"/>
        </w:rPr>
        <w:t xml:space="preserve">Affective episodes used for </w:t>
      </w:r>
      <w:r w:rsidR="007A1F55" w:rsidRPr="00840C78">
        <w:rPr>
          <w:lang w:val="en-GB"/>
        </w:rPr>
        <w:t>the unipolar mania (UM)</w:t>
      </w:r>
      <w:r w:rsidRPr="00840C78">
        <w:rPr>
          <w:lang w:val="en-GB"/>
        </w:rPr>
        <w:t xml:space="preserve"> definitions were: </w:t>
      </w:r>
    </w:p>
    <w:p w14:paraId="3CA7463D" w14:textId="77777777" w:rsidR="00B714D6" w:rsidRPr="00840C78" w:rsidRDefault="00B714D6" w:rsidP="00541D5D">
      <w:pPr>
        <w:spacing w:line="360" w:lineRule="auto"/>
        <w:rPr>
          <w:lang w:val="en-GB"/>
        </w:rPr>
      </w:pPr>
      <w:r w:rsidRPr="00840C78">
        <w:rPr>
          <w:i/>
          <w:lang w:val="en-GB"/>
        </w:rPr>
        <w:t xml:space="preserve">(numbers indicate SCAN item number) </w:t>
      </w:r>
    </w:p>
    <w:p w14:paraId="783E6208" w14:textId="77777777" w:rsidR="00B714D6" w:rsidRPr="00840C78" w:rsidRDefault="00B714D6" w:rsidP="00541D5D">
      <w:pPr>
        <w:spacing w:line="360" w:lineRule="auto"/>
        <w:rPr>
          <w:lang w:val="en-GB"/>
        </w:rPr>
      </w:pPr>
      <w:r w:rsidRPr="00840C78">
        <w:rPr>
          <w:lang w:val="en-GB"/>
        </w:rPr>
        <w:t xml:space="preserve">a) number of previous affective episodes (1.053), </w:t>
      </w:r>
    </w:p>
    <w:p w14:paraId="0C43BEE0" w14:textId="77777777" w:rsidR="00B714D6" w:rsidRPr="00840C78" w:rsidRDefault="00B714D6" w:rsidP="00541D5D">
      <w:pPr>
        <w:spacing w:line="360" w:lineRule="auto"/>
        <w:rPr>
          <w:lang w:val="en-GB"/>
        </w:rPr>
      </w:pPr>
      <w:r w:rsidRPr="00840C78">
        <w:rPr>
          <w:lang w:val="en-GB"/>
        </w:rPr>
        <w:t xml:space="preserve">b) depression or mania at baseline (1.003 &amp; 1.004. These were used by the original research team to indicate severity of any current episode. Mild, moderate, and severe distress were all recoded to current affective episode.). </w:t>
      </w:r>
    </w:p>
    <w:p w14:paraId="1DFE557E" w14:textId="77777777" w:rsidR="00B714D6" w:rsidRPr="00840C78" w:rsidRDefault="00B714D6" w:rsidP="00541D5D">
      <w:pPr>
        <w:spacing w:line="360" w:lineRule="auto"/>
        <w:rPr>
          <w:lang w:val="en-GB"/>
        </w:rPr>
      </w:pPr>
      <w:r w:rsidRPr="00840C78">
        <w:rPr>
          <w:lang w:val="en-GB"/>
        </w:rPr>
        <w:t xml:space="preserve">c) in case of missing data on previous episodes, age of onset of manic disorder (1.017) were coded as a previous manic episode, if the age of onset differed from the current age by at least one year or if no manic episode was present at baseline.  </w:t>
      </w:r>
    </w:p>
    <w:p w14:paraId="41228C81" w14:textId="77777777" w:rsidR="00B714D6" w:rsidRPr="00840C78" w:rsidRDefault="00B714D6" w:rsidP="00541D5D">
      <w:pPr>
        <w:spacing w:line="360" w:lineRule="auto"/>
        <w:rPr>
          <w:lang w:val="en-GB"/>
        </w:rPr>
      </w:pPr>
      <w:r w:rsidRPr="00840C78">
        <w:rPr>
          <w:lang w:val="en-GB"/>
        </w:rPr>
        <w:t xml:space="preserve">d) three variables indicating any episode, any manic episode and any depressive episode during follow-up were provided by the holder of the original data. "Any manic episode" during follow-up was coded as one manic episode. </w:t>
      </w:r>
    </w:p>
    <w:p w14:paraId="65750083" w14:textId="77777777" w:rsidR="00B714D6" w:rsidRPr="00840C78" w:rsidRDefault="00B714D6" w:rsidP="00541D5D">
      <w:pPr>
        <w:spacing w:line="360" w:lineRule="auto"/>
        <w:rPr>
          <w:lang w:val="en-GB"/>
        </w:rPr>
      </w:pPr>
      <w:r w:rsidRPr="00840C78">
        <w:rPr>
          <w:lang w:val="en-GB"/>
        </w:rPr>
        <w:t xml:space="preserve">e) any registered age of onset of depression (1.016), any registered start date of a depressive episode (1.012), any depression at baseline (1.003), any depressive episode during follow-up, any "any episode" during follow-up not accounted for by manic or depressive episode during follow-up (indicating a mixed episode). </w:t>
      </w:r>
    </w:p>
    <w:p w14:paraId="3EAB510C" w14:textId="77777777" w:rsidR="00B66969" w:rsidRPr="00840C78" w:rsidRDefault="00B66969" w:rsidP="00541D5D">
      <w:pPr>
        <w:spacing w:line="360" w:lineRule="auto"/>
        <w:rPr>
          <w:lang w:val="en-GB"/>
        </w:rPr>
      </w:pPr>
    </w:p>
    <w:p w14:paraId="0C3D40C7" w14:textId="5E22DA14" w:rsidR="007F326B" w:rsidRPr="00840C78" w:rsidRDefault="00B714D6" w:rsidP="00541D5D">
      <w:pPr>
        <w:spacing w:line="360" w:lineRule="auto"/>
        <w:rPr>
          <w:lang w:val="en-GB"/>
        </w:rPr>
      </w:pPr>
      <w:r w:rsidRPr="00840C78">
        <w:rPr>
          <w:lang w:val="en-GB"/>
        </w:rPr>
        <w:t>All cases with a depressive or mixed episode (e) were defined as having a bipolar course</w:t>
      </w:r>
      <w:r w:rsidR="007F326B" w:rsidRPr="00840C78">
        <w:rPr>
          <w:lang w:val="en-GB"/>
        </w:rPr>
        <w:t xml:space="preserve"> with both depression and mania (DM)</w:t>
      </w:r>
      <w:r w:rsidRPr="00840C78">
        <w:rPr>
          <w:lang w:val="en-GB"/>
        </w:rPr>
        <w:t xml:space="preserve">. Manic episodes (a-d) were summed for each case to make up the total number of manic episodes. Cases without a registered depressive episode at baseline, but where the data also failed to indicate a specific manic episode at baseline (due to missing data), were defined as having one single episode of mania, since all cases are diagnosed with bipolar disorder which required at least one manic episode. Cases were excluded for definitions requiring two episodes of mania if data indicated two episodes but had missing data on the specific episodes. </w:t>
      </w:r>
      <w:bookmarkStart w:id="5" w:name="_Toc304458653"/>
    </w:p>
    <w:p w14:paraId="73E1C030" w14:textId="7ADD3BB6" w:rsidR="00B66969" w:rsidRPr="00840C78" w:rsidRDefault="007A1F55" w:rsidP="00541D5D">
      <w:pPr>
        <w:pStyle w:val="Rubrik3"/>
        <w:rPr>
          <w:color w:val="auto"/>
          <w:sz w:val="26"/>
          <w:szCs w:val="26"/>
        </w:rPr>
      </w:pPr>
      <w:r w:rsidRPr="00840C78">
        <w:rPr>
          <w:color w:val="auto"/>
          <w:sz w:val="26"/>
          <w:szCs w:val="26"/>
        </w:rPr>
        <w:lastRenderedPageBreak/>
        <w:t>Explored definitions and d</w:t>
      </w:r>
      <w:r w:rsidR="00B714D6" w:rsidRPr="00840C78">
        <w:rPr>
          <w:color w:val="auto"/>
          <w:sz w:val="26"/>
          <w:szCs w:val="26"/>
        </w:rPr>
        <w:t xml:space="preserve">iagnostic stability of </w:t>
      </w:r>
      <w:bookmarkEnd w:id="5"/>
      <w:r w:rsidRPr="00840C78">
        <w:rPr>
          <w:color w:val="auto"/>
          <w:sz w:val="26"/>
          <w:szCs w:val="26"/>
        </w:rPr>
        <w:t>UM</w:t>
      </w:r>
    </w:p>
    <w:p w14:paraId="52849712" w14:textId="4CD7166F" w:rsidR="00B714D6" w:rsidRPr="00840C78" w:rsidRDefault="00B714D6" w:rsidP="00541D5D">
      <w:pPr>
        <w:spacing w:line="360" w:lineRule="auto"/>
        <w:rPr>
          <w:lang w:val="en-GB"/>
        </w:rPr>
      </w:pPr>
      <w:r w:rsidRPr="00840C78">
        <w:rPr>
          <w:lang w:val="en-GB"/>
        </w:rPr>
        <w:t xml:space="preserve">Diagnostic </w:t>
      </w:r>
      <w:r w:rsidR="00317E8E" w:rsidRPr="00840C78">
        <w:rPr>
          <w:lang w:val="en-GB"/>
        </w:rPr>
        <w:t xml:space="preserve">baseline </w:t>
      </w:r>
      <w:r w:rsidRPr="00840C78">
        <w:rPr>
          <w:lang w:val="en-GB"/>
        </w:rPr>
        <w:t xml:space="preserve">stability of UM over the follow-up time was calculated for each of the definitions not using follow-up data. This was done by calculating the percentage of UM cases not experiencing a depressive or mixed episode during follow-up. Cases meeting the UM definition due to an episode of mania during follow-up were not included in this calculation. </w:t>
      </w:r>
    </w:p>
    <w:p w14:paraId="72846BA0" w14:textId="39525D0D" w:rsidR="000F0FA2" w:rsidRPr="00840C78" w:rsidRDefault="00EB7902" w:rsidP="00541D5D">
      <w:pPr>
        <w:spacing w:line="360" w:lineRule="auto"/>
        <w:rPr>
          <w:lang w:val="en-GB"/>
        </w:rPr>
      </w:pPr>
      <w:r w:rsidRPr="00840C78">
        <w:rPr>
          <w:lang w:val="en-GB"/>
        </w:rPr>
        <w:t xml:space="preserve">The original bipolar cohort included 315 individuals. </w:t>
      </w:r>
      <w:r w:rsidR="000F0FA2" w:rsidRPr="00840C78">
        <w:rPr>
          <w:lang w:val="en-GB"/>
        </w:rPr>
        <w:t xml:space="preserve">Missing data and </w:t>
      </w:r>
      <w:r w:rsidRPr="00840C78">
        <w:rPr>
          <w:lang w:val="en-GB"/>
        </w:rPr>
        <w:t xml:space="preserve">insufficient episodes to ascertain course of the disorder reduced the cohort size with </w:t>
      </w:r>
      <w:r w:rsidR="007861DD" w:rsidRPr="00840C78">
        <w:rPr>
          <w:lang w:val="en-GB"/>
        </w:rPr>
        <w:t xml:space="preserve">ever </w:t>
      </w:r>
      <w:r w:rsidRPr="00840C78">
        <w:rPr>
          <w:lang w:val="en-GB"/>
        </w:rPr>
        <w:t xml:space="preserve">increased strictness of definition. The six explored definitions were: </w:t>
      </w:r>
    </w:p>
    <w:p w14:paraId="6A038058" w14:textId="3F28FF7F" w:rsidR="000F0FA2" w:rsidRPr="00840C78" w:rsidRDefault="000F0FA2" w:rsidP="00541D5D">
      <w:pPr>
        <w:spacing w:line="360" w:lineRule="auto"/>
        <w:rPr>
          <w:rFonts w:eastAsia="Times New Roman" w:cs="Arial"/>
          <w:lang w:val="en-GB"/>
        </w:rPr>
      </w:pPr>
      <w:r w:rsidRPr="00840C78">
        <w:rPr>
          <w:lang w:val="en-GB"/>
        </w:rPr>
        <w:t xml:space="preserve">Definition 1 with </w:t>
      </w:r>
      <w:r w:rsidRPr="00840C78">
        <w:rPr>
          <w:rFonts w:eastAsia="Times New Roman" w:cs="Arial"/>
          <w:lang w:val="en-GB"/>
        </w:rPr>
        <w:t>1</w:t>
      </w:r>
      <w:r w:rsidR="00EB7902" w:rsidRPr="00840C78">
        <w:rPr>
          <w:rFonts w:eastAsia="Times New Roman" w:cs="Arial"/>
          <w:lang w:val="en-GB"/>
        </w:rPr>
        <w:t xml:space="preserve"> </w:t>
      </w:r>
      <w:r w:rsidRPr="00840C78">
        <w:rPr>
          <w:rStyle w:val="huge"/>
          <w:rFonts w:eastAsia="Times New Roman" w:cs="Times New Roman"/>
          <w:lang w:val="en-GB"/>
        </w:rPr>
        <w:t>≤</w:t>
      </w:r>
      <w:r w:rsidRPr="00840C78">
        <w:rPr>
          <w:rFonts w:eastAsia="Times New Roman" w:cs="Arial"/>
          <w:lang w:val="en-GB"/>
        </w:rPr>
        <w:t xml:space="preserve"> manic episodes at baseline resulted in a cohort with n</w:t>
      </w:r>
      <w:r w:rsidR="00EB7902" w:rsidRPr="00840C78">
        <w:rPr>
          <w:rFonts w:eastAsia="Times New Roman" w:cs="Arial"/>
          <w:lang w:val="en-GB"/>
        </w:rPr>
        <w:t xml:space="preserve"> </w:t>
      </w:r>
      <w:r w:rsidRPr="00840C78">
        <w:rPr>
          <w:rFonts w:eastAsia="Times New Roman" w:cs="Arial"/>
          <w:lang w:val="en-GB"/>
        </w:rPr>
        <w:t>=</w:t>
      </w:r>
      <w:r w:rsidR="00EB7902" w:rsidRPr="00840C78">
        <w:rPr>
          <w:rFonts w:eastAsia="Times New Roman" w:cs="Arial"/>
          <w:lang w:val="en-GB"/>
        </w:rPr>
        <w:t xml:space="preserve"> </w:t>
      </w:r>
      <w:r w:rsidRPr="00840C78">
        <w:rPr>
          <w:rFonts w:eastAsia="Times New Roman" w:cs="Arial"/>
          <w:lang w:val="en-GB"/>
        </w:rPr>
        <w:t>289</w:t>
      </w:r>
      <w:r w:rsidR="00EB7902" w:rsidRPr="00840C78">
        <w:rPr>
          <w:rFonts w:eastAsia="Times New Roman" w:cs="Arial"/>
          <w:lang w:val="en-GB"/>
        </w:rPr>
        <w:t>, u</w:t>
      </w:r>
      <w:r w:rsidRPr="00840C78">
        <w:rPr>
          <w:rFonts w:eastAsia="Times New Roman" w:cs="Arial"/>
          <w:lang w:val="en-GB"/>
        </w:rPr>
        <w:t>nipolar manic course n = 179 (61.9%)</w:t>
      </w:r>
      <w:r w:rsidR="00EB7902" w:rsidRPr="00840C78">
        <w:rPr>
          <w:rFonts w:eastAsia="Times New Roman" w:cs="Arial"/>
          <w:lang w:val="en-GB"/>
        </w:rPr>
        <w:t>,</w:t>
      </w:r>
      <w:r w:rsidRPr="00840C78">
        <w:rPr>
          <w:rFonts w:eastAsia="Times New Roman" w:cs="Arial"/>
          <w:lang w:val="en-GB"/>
        </w:rPr>
        <w:t xml:space="preserve"> </w:t>
      </w:r>
      <w:r w:rsidR="00EB7902" w:rsidRPr="00840C78">
        <w:rPr>
          <w:rFonts w:eastAsia="Times New Roman" w:cs="Arial"/>
          <w:lang w:val="en-GB"/>
        </w:rPr>
        <w:t>b</w:t>
      </w:r>
      <w:r w:rsidRPr="00840C78">
        <w:rPr>
          <w:rFonts w:eastAsia="Times New Roman" w:cs="Arial"/>
          <w:lang w:val="en-GB"/>
        </w:rPr>
        <w:t>ipolar course n = 110 (38.1 %)</w:t>
      </w:r>
      <w:r w:rsidR="005F6A29" w:rsidRPr="00840C78">
        <w:rPr>
          <w:rFonts w:eastAsia="Times New Roman" w:cs="Arial"/>
          <w:lang w:val="en-GB"/>
        </w:rPr>
        <w:t>,</w:t>
      </w:r>
      <w:r w:rsidR="00EB7902" w:rsidRPr="00840C78">
        <w:rPr>
          <w:rFonts w:eastAsia="Times New Roman" w:cs="Arial"/>
          <w:lang w:val="en-GB"/>
        </w:rPr>
        <w:t xml:space="preserve"> and</w:t>
      </w:r>
      <w:r w:rsidRPr="00840C78">
        <w:rPr>
          <w:rFonts w:eastAsia="Times New Roman" w:cs="Arial"/>
          <w:lang w:val="en-GB"/>
        </w:rPr>
        <w:t xml:space="preserve"> </w:t>
      </w:r>
      <w:r w:rsidR="00EB7902" w:rsidRPr="00840C78">
        <w:rPr>
          <w:rFonts w:eastAsia="Times New Roman" w:cs="Arial"/>
          <w:lang w:val="en-GB"/>
        </w:rPr>
        <w:t>a d</w:t>
      </w:r>
      <w:r w:rsidRPr="00840C78">
        <w:rPr>
          <w:rFonts w:eastAsia="Times New Roman" w:cs="Arial"/>
          <w:lang w:val="en-GB"/>
        </w:rPr>
        <w:t xml:space="preserve">iagnostic stability </w:t>
      </w:r>
      <w:r w:rsidR="00EB7902" w:rsidRPr="00840C78">
        <w:rPr>
          <w:rFonts w:eastAsia="Times New Roman" w:cs="Arial"/>
          <w:lang w:val="en-GB"/>
        </w:rPr>
        <w:t xml:space="preserve">of </w:t>
      </w:r>
      <w:r w:rsidRPr="00840C78">
        <w:rPr>
          <w:rFonts w:eastAsia="Times New Roman" w:cs="Arial"/>
          <w:lang w:val="en-GB"/>
        </w:rPr>
        <w:t xml:space="preserve">78.3%. </w:t>
      </w:r>
    </w:p>
    <w:p w14:paraId="56B020D8" w14:textId="22DE8654" w:rsidR="00EB7902" w:rsidRPr="00840C78" w:rsidRDefault="00EB7902" w:rsidP="00EB7902">
      <w:pPr>
        <w:spacing w:line="360" w:lineRule="auto"/>
        <w:rPr>
          <w:lang w:val="en-GB"/>
        </w:rPr>
      </w:pPr>
      <w:r w:rsidRPr="00840C78">
        <w:rPr>
          <w:lang w:val="en-GB"/>
        </w:rPr>
        <w:t xml:space="preserve">Definition 2 with </w:t>
      </w:r>
      <w:r w:rsidRPr="00840C78">
        <w:rPr>
          <w:rFonts w:eastAsia="Times New Roman" w:cs="Arial"/>
          <w:lang w:val="en-GB"/>
        </w:rPr>
        <w:t xml:space="preserve">1 </w:t>
      </w:r>
      <w:r w:rsidRPr="00840C78">
        <w:rPr>
          <w:rStyle w:val="huge"/>
          <w:rFonts w:eastAsia="Times New Roman" w:cs="Times New Roman"/>
          <w:lang w:val="en-GB"/>
        </w:rPr>
        <w:t>≤</w:t>
      </w:r>
      <w:r w:rsidRPr="00840C78">
        <w:rPr>
          <w:rFonts w:eastAsia="Times New Roman" w:cs="Arial"/>
          <w:lang w:val="en-GB"/>
        </w:rPr>
        <w:t xml:space="preserve"> manic episodes including follow-up data resulted in a cohort with n = 270, unipolar manic course n = 130 (48.1%)</w:t>
      </w:r>
      <w:r w:rsidR="005F6A29" w:rsidRPr="00840C78">
        <w:rPr>
          <w:rFonts w:eastAsia="Times New Roman" w:cs="Arial"/>
          <w:lang w:val="en-GB"/>
        </w:rPr>
        <w:t>,</w:t>
      </w:r>
      <w:r w:rsidRPr="00840C78">
        <w:rPr>
          <w:rFonts w:eastAsia="Times New Roman" w:cs="Arial"/>
          <w:lang w:val="en-GB"/>
        </w:rPr>
        <w:t xml:space="preserve"> and bipolar course n = 140 (51.9 %). </w:t>
      </w:r>
    </w:p>
    <w:p w14:paraId="16B4299B" w14:textId="4DD3FA2A" w:rsidR="00EB7902" w:rsidRPr="00840C78" w:rsidRDefault="00EB7902" w:rsidP="00EB7902">
      <w:pPr>
        <w:spacing w:line="360" w:lineRule="auto"/>
        <w:rPr>
          <w:rFonts w:eastAsia="Times New Roman" w:cs="Arial"/>
          <w:lang w:val="en-GB"/>
        </w:rPr>
      </w:pPr>
      <w:r w:rsidRPr="00840C78">
        <w:rPr>
          <w:lang w:val="en-GB"/>
        </w:rPr>
        <w:t xml:space="preserve">Definition 3 with </w:t>
      </w:r>
      <w:r w:rsidRPr="00840C78">
        <w:rPr>
          <w:rFonts w:eastAsia="Times New Roman" w:cs="Arial"/>
          <w:lang w:val="en-GB"/>
        </w:rPr>
        <w:t xml:space="preserve">2 </w:t>
      </w:r>
      <w:r w:rsidRPr="00840C78">
        <w:rPr>
          <w:rStyle w:val="huge"/>
          <w:rFonts w:eastAsia="Times New Roman" w:cs="Times New Roman"/>
          <w:lang w:val="en-GB"/>
        </w:rPr>
        <w:t>≤</w:t>
      </w:r>
      <w:r w:rsidRPr="00840C78">
        <w:rPr>
          <w:rFonts w:eastAsia="Times New Roman" w:cs="Arial"/>
          <w:lang w:val="en-GB"/>
        </w:rPr>
        <w:t xml:space="preserve"> manic episodes at baseline resulted in a cohort with n = 234, unipolar manic course n = 124 (53.0%), bipolar course n = 110 (47.0 %)</w:t>
      </w:r>
      <w:r w:rsidR="005F6A29" w:rsidRPr="00840C78">
        <w:rPr>
          <w:rFonts w:eastAsia="Times New Roman" w:cs="Arial"/>
          <w:lang w:val="en-GB"/>
        </w:rPr>
        <w:t>,</w:t>
      </w:r>
      <w:r w:rsidRPr="00840C78">
        <w:rPr>
          <w:rFonts w:eastAsia="Times New Roman" w:cs="Arial"/>
          <w:lang w:val="en-GB"/>
        </w:rPr>
        <w:t xml:space="preserve"> and a diagnostic stability of 76.4%. 55 cases were not possible to define</w:t>
      </w:r>
      <w:r w:rsidR="005F6A29" w:rsidRPr="00840C78">
        <w:rPr>
          <w:rFonts w:eastAsia="Times New Roman" w:cs="Arial"/>
          <w:lang w:val="en-GB"/>
        </w:rPr>
        <w:t>,</w:t>
      </w:r>
      <w:r w:rsidRPr="00840C78">
        <w:rPr>
          <w:rFonts w:eastAsia="Times New Roman" w:cs="Arial"/>
          <w:lang w:val="en-GB"/>
        </w:rPr>
        <w:t xml:space="preserve"> having just one manic episode.  </w:t>
      </w:r>
    </w:p>
    <w:p w14:paraId="18ACEFB6" w14:textId="5830F932" w:rsidR="00EB7902" w:rsidRPr="00840C78" w:rsidRDefault="00EB7902" w:rsidP="00EB7902">
      <w:pPr>
        <w:spacing w:line="360" w:lineRule="auto"/>
        <w:rPr>
          <w:rFonts w:eastAsia="Times New Roman" w:cs="Arial"/>
          <w:lang w:val="en-GB"/>
        </w:rPr>
      </w:pPr>
      <w:r w:rsidRPr="00840C78">
        <w:rPr>
          <w:lang w:val="en-GB"/>
        </w:rPr>
        <w:t xml:space="preserve">Definition 4 with </w:t>
      </w:r>
      <w:r w:rsidRPr="00840C78">
        <w:rPr>
          <w:rFonts w:eastAsia="Times New Roman" w:cs="Arial"/>
          <w:lang w:val="en-GB"/>
        </w:rPr>
        <w:t xml:space="preserve">2 </w:t>
      </w:r>
      <w:r w:rsidRPr="00840C78">
        <w:rPr>
          <w:rStyle w:val="huge"/>
          <w:rFonts w:eastAsia="Times New Roman" w:cs="Times New Roman"/>
          <w:lang w:val="en-GB"/>
        </w:rPr>
        <w:t>≤</w:t>
      </w:r>
      <w:r w:rsidRPr="00840C78">
        <w:rPr>
          <w:rFonts w:eastAsia="Times New Roman" w:cs="Arial"/>
          <w:lang w:val="en-GB"/>
        </w:rPr>
        <w:t xml:space="preserve"> manic episodes including follow-up data resulted in a cohort with n = 240, unipolar manic course n = 100 (41.7%)</w:t>
      </w:r>
      <w:r w:rsidR="005F6A29" w:rsidRPr="00840C78">
        <w:rPr>
          <w:rFonts w:eastAsia="Times New Roman" w:cs="Arial"/>
          <w:lang w:val="en-GB"/>
        </w:rPr>
        <w:t>,</w:t>
      </w:r>
      <w:r w:rsidRPr="00840C78">
        <w:rPr>
          <w:rFonts w:eastAsia="Times New Roman" w:cs="Arial"/>
          <w:lang w:val="en-GB"/>
        </w:rPr>
        <w:t xml:space="preserve"> and bipolar course n = 140 (58.3 %). 30 cases were not possible to define having just one manic episode.</w:t>
      </w:r>
      <w:r w:rsidR="008D740B" w:rsidRPr="00840C78">
        <w:rPr>
          <w:rFonts w:eastAsia="Times New Roman" w:cs="Arial"/>
          <w:lang w:val="en-GB"/>
        </w:rPr>
        <w:t xml:space="preserve"> This definition was chosen for the subsequent study analysis. </w:t>
      </w:r>
    </w:p>
    <w:p w14:paraId="6692A51A" w14:textId="69D4C821" w:rsidR="00EB7902" w:rsidRPr="00840C78" w:rsidRDefault="00EB7902" w:rsidP="00EB7902">
      <w:pPr>
        <w:spacing w:line="360" w:lineRule="auto"/>
        <w:rPr>
          <w:rFonts w:eastAsia="Times New Roman" w:cs="Arial"/>
          <w:lang w:val="en-GB"/>
        </w:rPr>
      </w:pPr>
      <w:r w:rsidRPr="00840C78">
        <w:rPr>
          <w:lang w:val="en-GB"/>
        </w:rPr>
        <w:t xml:space="preserve">Definition 5 with </w:t>
      </w:r>
      <w:r w:rsidRPr="00840C78">
        <w:rPr>
          <w:rFonts w:eastAsia="Times New Roman" w:cs="Arial"/>
          <w:lang w:val="en-GB"/>
        </w:rPr>
        <w:t xml:space="preserve">3 </w:t>
      </w:r>
      <w:r w:rsidRPr="00840C78">
        <w:rPr>
          <w:rStyle w:val="huge"/>
          <w:rFonts w:eastAsia="Times New Roman" w:cs="Times New Roman"/>
          <w:lang w:val="en-GB"/>
        </w:rPr>
        <w:t>≤</w:t>
      </w:r>
      <w:r w:rsidRPr="00840C78">
        <w:rPr>
          <w:rFonts w:eastAsia="Times New Roman" w:cs="Arial"/>
          <w:lang w:val="en-GB"/>
        </w:rPr>
        <w:t xml:space="preserve"> manic episodes at baseline resulted in a cohort with n = 166, unipolar manic course n = 56 (33.7%), bipolar course n = 110 (</w:t>
      </w:r>
      <w:r w:rsidR="00292266" w:rsidRPr="00840C78">
        <w:rPr>
          <w:rFonts w:eastAsia="Times New Roman" w:cs="Arial"/>
          <w:lang w:val="en-GB"/>
        </w:rPr>
        <w:t>66</w:t>
      </w:r>
      <w:r w:rsidRPr="00840C78">
        <w:rPr>
          <w:rFonts w:eastAsia="Times New Roman" w:cs="Arial"/>
          <w:lang w:val="en-GB"/>
        </w:rPr>
        <w:t>.</w:t>
      </w:r>
      <w:r w:rsidR="00292266" w:rsidRPr="00840C78">
        <w:rPr>
          <w:rFonts w:eastAsia="Times New Roman" w:cs="Arial"/>
          <w:lang w:val="en-GB"/>
        </w:rPr>
        <w:t>3</w:t>
      </w:r>
      <w:r w:rsidRPr="00840C78">
        <w:rPr>
          <w:rFonts w:eastAsia="Times New Roman" w:cs="Arial"/>
          <w:lang w:val="en-GB"/>
        </w:rPr>
        <w:t xml:space="preserve"> %)</w:t>
      </w:r>
      <w:r w:rsidR="005F6A29" w:rsidRPr="00840C78">
        <w:rPr>
          <w:rFonts w:eastAsia="Times New Roman" w:cs="Arial"/>
          <w:lang w:val="en-GB"/>
        </w:rPr>
        <w:t>,</w:t>
      </w:r>
      <w:r w:rsidRPr="00840C78">
        <w:rPr>
          <w:rFonts w:eastAsia="Times New Roman" w:cs="Arial"/>
          <w:lang w:val="en-GB"/>
        </w:rPr>
        <w:t xml:space="preserve"> and a diagnostic stability of </w:t>
      </w:r>
      <w:r w:rsidR="00292266" w:rsidRPr="00840C78">
        <w:rPr>
          <w:rFonts w:eastAsia="Times New Roman" w:cs="Arial"/>
          <w:lang w:val="en-GB"/>
        </w:rPr>
        <w:t>64</w:t>
      </w:r>
      <w:r w:rsidRPr="00840C78">
        <w:rPr>
          <w:rFonts w:eastAsia="Times New Roman" w:cs="Arial"/>
          <w:lang w:val="en-GB"/>
        </w:rPr>
        <w:t>.</w:t>
      </w:r>
      <w:r w:rsidR="00292266" w:rsidRPr="00840C78">
        <w:rPr>
          <w:rFonts w:eastAsia="Times New Roman" w:cs="Arial"/>
          <w:lang w:val="en-GB"/>
        </w:rPr>
        <w:t>7</w:t>
      </w:r>
      <w:r w:rsidRPr="00840C78">
        <w:rPr>
          <w:rFonts w:eastAsia="Times New Roman" w:cs="Arial"/>
          <w:lang w:val="en-GB"/>
        </w:rPr>
        <w:t xml:space="preserve">%. </w:t>
      </w:r>
      <w:r w:rsidR="00292266" w:rsidRPr="00840C78">
        <w:rPr>
          <w:rFonts w:eastAsia="Times New Roman" w:cs="Arial"/>
          <w:lang w:val="en-GB"/>
        </w:rPr>
        <w:t>123 cases were not possible to define</w:t>
      </w:r>
      <w:r w:rsidR="005F6A29" w:rsidRPr="00840C78">
        <w:rPr>
          <w:rFonts w:eastAsia="Times New Roman" w:cs="Arial"/>
          <w:lang w:val="en-GB"/>
        </w:rPr>
        <w:t>,</w:t>
      </w:r>
      <w:r w:rsidR="00292266" w:rsidRPr="00840C78">
        <w:rPr>
          <w:rFonts w:eastAsia="Times New Roman" w:cs="Arial"/>
          <w:lang w:val="en-GB"/>
        </w:rPr>
        <w:t xml:space="preserve"> having just one or two manic episodes.  </w:t>
      </w:r>
    </w:p>
    <w:p w14:paraId="76528473" w14:textId="230E9972" w:rsidR="00EB7902" w:rsidRPr="00840C78" w:rsidRDefault="00EB7902" w:rsidP="00541D5D">
      <w:pPr>
        <w:spacing w:line="360" w:lineRule="auto"/>
        <w:rPr>
          <w:rFonts w:eastAsia="Times New Roman" w:cs="Arial"/>
          <w:lang w:val="en-GB"/>
        </w:rPr>
      </w:pPr>
      <w:r w:rsidRPr="00840C78">
        <w:rPr>
          <w:lang w:val="en-GB"/>
        </w:rPr>
        <w:t xml:space="preserve">Definition 6 with </w:t>
      </w:r>
      <w:r w:rsidR="00292266" w:rsidRPr="00840C78">
        <w:rPr>
          <w:rFonts w:eastAsia="Times New Roman" w:cs="Arial"/>
          <w:lang w:val="en-GB"/>
        </w:rPr>
        <w:t>3</w:t>
      </w:r>
      <w:r w:rsidRPr="00840C78">
        <w:rPr>
          <w:rFonts w:eastAsia="Times New Roman" w:cs="Arial"/>
          <w:lang w:val="en-GB"/>
        </w:rPr>
        <w:t xml:space="preserve"> </w:t>
      </w:r>
      <w:r w:rsidRPr="00840C78">
        <w:rPr>
          <w:rStyle w:val="huge"/>
          <w:rFonts w:eastAsia="Times New Roman" w:cs="Times New Roman"/>
          <w:lang w:val="en-GB"/>
        </w:rPr>
        <w:t>≤</w:t>
      </w:r>
      <w:r w:rsidRPr="00840C78">
        <w:rPr>
          <w:rFonts w:eastAsia="Times New Roman" w:cs="Arial"/>
          <w:lang w:val="en-GB"/>
        </w:rPr>
        <w:t xml:space="preserve"> manic episodes including follow-up data resulted in a cohort with n = </w:t>
      </w:r>
      <w:r w:rsidR="00292266" w:rsidRPr="00840C78">
        <w:rPr>
          <w:rFonts w:eastAsia="Times New Roman" w:cs="Arial"/>
          <w:lang w:val="en-GB"/>
        </w:rPr>
        <w:t>187</w:t>
      </w:r>
      <w:r w:rsidRPr="00840C78">
        <w:rPr>
          <w:rFonts w:eastAsia="Times New Roman" w:cs="Arial"/>
          <w:lang w:val="en-GB"/>
        </w:rPr>
        <w:t xml:space="preserve">, unipolar manic course n = </w:t>
      </w:r>
      <w:r w:rsidR="00292266" w:rsidRPr="00840C78">
        <w:rPr>
          <w:rFonts w:eastAsia="Times New Roman" w:cs="Arial"/>
          <w:lang w:val="en-GB"/>
        </w:rPr>
        <w:t>47</w:t>
      </w:r>
      <w:r w:rsidRPr="00840C78">
        <w:rPr>
          <w:rFonts w:eastAsia="Times New Roman" w:cs="Arial"/>
          <w:lang w:val="en-GB"/>
        </w:rPr>
        <w:t xml:space="preserve"> (</w:t>
      </w:r>
      <w:r w:rsidR="00292266" w:rsidRPr="00840C78">
        <w:rPr>
          <w:rFonts w:eastAsia="Times New Roman" w:cs="Arial"/>
          <w:lang w:val="en-GB"/>
        </w:rPr>
        <w:t>25</w:t>
      </w:r>
      <w:r w:rsidRPr="00840C78">
        <w:rPr>
          <w:rFonts w:eastAsia="Times New Roman" w:cs="Arial"/>
          <w:lang w:val="en-GB"/>
        </w:rPr>
        <w:t>.1%)</w:t>
      </w:r>
      <w:r w:rsidR="005F6A29" w:rsidRPr="00840C78">
        <w:rPr>
          <w:rFonts w:eastAsia="Times New Roman" w:cs="Arial"/>
          <w:lang w:val="en-GB"/>
        </w:rPr>
        <w:t>,</w:t>
      </w:r>
      <w:r w:rsidRPr="00840C78">
        <w:rPr>
          <w:rFonts w:eastAsia="Times New Roman" w:cs="Arial"/>
          <w:lang w:val="en-GB"/>
        </w:rPr>
        <w:t xml:space="preserve"> and bipolar course n = 140 (</w:t>
      </w:r>
      <w:r w:rsidR="00292266" w:rsidRPr="00840C78">
        <w:rPr>
          <w:rFonts w:eastAsia="Times New Roman" w:cs="Arial"/>
          <w:lang w:val="en-GB"/>
        </w:rPr>
        <w:t>74</w:t>
      </w:r>
      <w:r w:rsidRPr="00840C78">
        <w:rPr>
          <w:rFonts w:eastAsia="Times New Roman" w:cs="Arial"/>
          <w:lang w:val="en-GB"/>
        </w:rPr>
        <w:t xml:space="preserve">.9 %). </w:t>
      </w:r>
      <w:r w:rsidR="00292266" w:rsidRPr="00840C78">
        <w:rPr>
          <w:rFonts w:eastAsia="Times New Roman" w:cs="Arial"/>
          <w:lang w:val="en-GB"/>
        </w:rPr>
        <w:t>83 cases were not possible to define</w:t>
      </w:r>
      <w:r w:rsidR="005F6A29" w:rsidRPr="00840C78">
        <w:rPr>
          <w:rFonts w:eastAsia="Times New Roman" w:cs="Arial"/>
          <w:lang w:val="en-GB"/>
        </w:rPr>
        <w:t>,</w:t>
      </w:r>
      <w:r w:rsidR="00292266" w:rsidRPr="00840C78">
        <w:rPr>
          <w:rFonts w:eastAsia="Times New Roman" w:cs="Arial"/>
          <w:lang w:val="en-GB"/>
        </w:rPr>
        <w:t xml:space="preserve"> having just one or two manic episodes.  </w:t>
      </w:r>
    </w:p>
    <w:p w14:paraId="43A4758A" w14:textId="414B7228" w:rsidR="00B714D6" w:rsidRPr="00840C78" w:rsidRDefault="005A40D4" w:rsidP="00541D5D">
      <w:pPr>
        <w:pStyle w:val="Rubrik3"/>
        <w:rPr>
          <w:color w:val="auto"/>
          <w:sz w:val="26"/>
          <w:szCs w:val="26"/>
        </w:rPr>
      </w:pPr>
      <w:bookmarkStart w:id="6" w:name="_Toc304458654"/>
      <w:r w:rsidRPr="00840C78">
        <w:rPr>
          <w:color w:val="auto"/>
          <w:sz w:val="26"/>
          <w:szCs w:val="26"/>
        </w:rPr>
        <w:t>Origins of s</w:t>
      </w:r>
      <w:r w:rsidR="00B714D6" w:rsidRPr="00840C78">
        <w:rPr>
          <w:color w:val="auto"/>
          <w:sz w:val="26"/>
          <w:szCs w:val="26"/>
        </w:rPr>
        <w:t>econdary outcome</w:t>
      </w:r>
      <w:bookmarkEnd w:id="6"/>
      <w:r w:rsidR="00466D74" w:rsidRPr="00840C78">
        <w:rPr>
          <w:color w:val="auto"/>
          <w:sz w:val="26"/>
          <w:szCs w:val="26"/>
        </w:rPr>
        <w:t xml:space="preserve"> data</w:t>
      </w:r>
    </w:p>
    <w:p w14:paraId="626055CD" w14:textId="7861B380" w:rsidR="00466D74" w:rsidRPr="00840C78" w:rsidRDefault="000F0FA2" w:rsidP="00541D5D">
      <w:pPr>
        <w:spacing w:line="360" w:lineRule="auto"/>
        <w:rPr>
          <w:rFonts w:cs="Times New Roman"/>
          <w:szCs w:val="22"/>
          <w:lang w:val="en-GB"/>
        </w:rPr>
      </w:pPr>
      <w:r w:rsidRPr="00840C78">
        <w:rPr>
          <w:lang w:val="en-GB"/>
        </w:rPr>
        <w:t xml:space="preserve">Variables used in logistic regression: </w:t>
      </w:r>
      <w:r w:rsidR="00B714D6" w:rsidRPr="00840C78">
        <w:rPr>
          <w:lang w:val="en-GB"/>
        </w:rPr>
        <w:t xml:space="preserve"> </w:t>
      </w:r>
      <w:r w:rsidR="00B714D6" w:rsidRPr="00840C78">
        <w:rPr>
          <w:lang w:val="en-GB"/>
        </w:rPr>
        <w:br/>
      </w:r>
      <w:r w:rsidR="00B714D6" w:rsidRPr="00840C78">
        <w:rPr>
          <w:i/>
          <w:lang w:val="en-GB"/>
        </w:rPr>
        <w:t>(numbers indicate SCAN item numbers)</w:t>
      </w:r>
      <w:r w:rsidR="00B714D6" w:rsidRPr="00840C78">
        <w:rPr>
          <w:lang w:val="en-GB"/>
        </w:rPr>
        <w:br/>
      </w:r>
      <w:r w:rsidRPr="00840C78">
        <w:rPr>
          <w:lang w:val="en-GB"/>
        </w:rPr>
        <w:t>-</w:t>
      </w:r>
      <w:r w:rsidR="00B714D6" w:rsidRPr="00840C78">
        <w:rPr>
          <w:lang w:val="en-GB"/>
        </w:rPr>
        <w:t xml:space="preserve">"gender" </w:t>
      </w:r>
      <w:r w:rsidR="00B714D6" w:rsidRPr="00840C78">
        <w:rPr>
          <w:szCs w:val="22"/>
          <w:lang w:val="en-GB"/>
        </w:rPr>
        <w:t>(</w:t>
      </w:r>
      <w:r w:rsidR="00B714D6" w:rsidRPr="00840C78">
        <w:rPr>
          <w:rFonts w:cs="Times New Roman"/>
          <w:szCs w:val="22"/>
          <w:lang w:val="en-GB"/>
        </w:rPr>
        <w:t xml:space="preserve">0.023), </w:t>
      </w:r>
      <w:r w:rsidR="00B714D6" w:rsidRPr="00840C78">
        <w:rPr>
          <w:rFonts w:cs="Times New Roman"/>
          <w:szCs w:val="22"/>
          <w:lang w:val="en-GB"/>
        </w:rPr>
        <w:br/>
      </w:r>
      <w:r w:rsidRPr="00840C78">
        <w:rPr>
          <w:rFonts w:cs="Times New Roman"/>
          <w:szCs w:val="22"/>
          <w:lang w:val="en-GB"/>
        </w:rPr>
        <w:lastRenderedPageBreak/>
        <w:t>-</w:t>
      </w:r>
      <w:r w:rsidR="00B714D6" w:rsidRPr="00840C78">
        <w:rPr>
          <w:rFonts w:cs="Times New Roman"/>
          <w:szCs w:val="22"/>
          <w:lang w:val="en-GB"/>
        </w:rPr>
        <w:t xml:space="preserve">"Problems due to alcohol or other substances" as a proxy for "Khat use" (1.006, coded 0-3, "No evidence that symptom category was ever present.", "Present, but only mildly distressing or disabling.", "Present and moderately distressing or disabling.", Present and severely distressing or disabling."), </w:t>
      </w:r>
      <w:r w:rsidR="00B714D6" w:rsidRPr="00840C78">
        <w:rPr>
          <w:rFonts w:cs="Times New Roman"/>
          <w:szCs w:val="22"/>
          <w:lang w:val="en-GB"/>
        </w:rPr>
        <w:br/>
      </w:r>
      <w:r w:rsidRPr="00840C78">
        <w:rPr>
          <w:rFonts w:cs="Times New Roman"/>
          <w:szCs w:val="22"/>
          <w:lang w:val="en-GB"/>
        </w:rPr>
        <w:t>-“</w:t>
      </w:r>
      <w:r w:rsidR="00B714D6" w:rsidRPr="00840C78">
        <w:rPr>
          <w:rFonts w:cs="Times New Roman"/>
          <w:szCs w:val="22"/>
          <w:lang w:val="en-GB"/>
        </w:rPr>
        <w:t>age of onset of disorder</w:t>
      </w:r>
      <w:r w:rsidRPr="00840C78">
        <w:rPr>
          <w:rFonts w:cs="Times New Roman"/>
          <w:szCs w:val="22"/>
          <w:lang w:val="en-GB"/>
        </w:rPr>
        <w:t>”</w:t>
      </w:r>
      <w:r w:rsidR="00B714D6" w:rsidRPr="00840C78">
        <w:rPr>
          <w:rFonts w:cs="Times New Roman"/>
          <w:szCs w:val="22"/>
          <w:lang w:val="en-GB"/>
        </w:rPr>
        <w:t xml:space="preserve"> (combining items for onset of depression and mania, 1.016 &amp; 1.017)</w:t>
      </w:r>
      <w:r w:rsidR="00B714D6" w:rsidRPr="00840C78">
        <w:rPr>
          <w:rFonts w:cs="Times New Roman"/>
          <w:szCs w:val="22"/>
          <w:lang w:val="en-GB"/>
        </w:rPr>
        <w:br/>
        <w:t xml:space="preserve"> </w:t>
      </w:r>
      <w:r w:rsidRPr="00840C78">
        <w:rPr>
          <w:rFonts w:cs="Times New Roman"/>
          <w:szCs w:val="22"/>
          <w:lang w:val="en-GB"/>
        </w:rPr>
        <w:t>-</w:t>
      </w:r>
      <w:r w:rsidR="00B714D6" w:rsidRPr="00840C78">
        <w:rPr>
          <w:rFonts w:cs="Times New Roman"/>
          <w:szCs w:val="22"/>
          <w:lang w:val="en-GB"/>
        </w:rPr>
        <w:t>social functioning (</w:t>
      </w:r>
      <w:r w:rsidRPr="00840C78">
        <w:rPr>
          <w:rFonts w:cs="Times New Roman"/>
          <w:szCs w:val="22"/>
          <w:lang w:val="en-GB"/>
        </w:rPr>
        <w:t xml:space="preserve">= </w:t>
      </w:r>
      <w:r w:rsidR="00B714D6" w:rsidRPr="00840C78">
        <w:rPr>
          <w:rFonts w:cs="Times New Roman"/>
          <w:szCs w:val="22"/>
          <w:lang w:val="en-GB"/>
        </w:rPr>
        <w:t>transcoded SF-36 items 6 &amp; 10) above population mean</w:t>
      </w:r>
      <w:r w:rsidR="002E1448" w:rsidRPr="00840C78">
        <w:rPr>
          <w:rFonts w:cs="Times New Roman"/>
          <w:szCs w:val="22"/>
          <w:lang w:val="en-GB"/>
        </w:rPr>
        <w:t xml:space="preserve"> </w:t>
      </w:r>
      <w:r w:rsidR="002E1448" w:rsidRPr="00840C78">
        <w:rPr>
          <w:rFonts w:cs="Times New Roman"/>
          <w:szCs w:val="22"/>
          <w:lang w:val="en-GB"/>
        </w:rPr>
        <w:fldChar w:fldCharType="begin"/>
      </w:r>
      <w:r w:rsidR="005D2AFF" w:rsidRPr="00840C78">
        <w:rPr>
          <w:rFonts w:cs="Times New Roman"/>
          <w:szCs w:val="22"/>
          <w:lang w:val="en-GB"/>
        </w:rPr>
        <w:instrText xml:space="preserve"> ADDIN ZOTERO_ITEM CSL_CITATION {"citationID":"anuVzhyl","properties":{"formattedCitation":"(Kebede et al. 2004)","plainCitation":"(Kebede et al. 2004)","noteIndex":0},"citationItems":[{"id":198,"uris":["http://zotero.org/users/6633655/items/BXYHYZU9"],"itemData":{"id":198,"type":"article-journal","abstract":"The SF-36 health survey, a generic measure of health related quality of life (HRQOL), has been translated, evaluated in various languages and used in over 40 countries worldwide, although it has not been used in Ethiopia. OBJECTIVE: To measure the reliability and validity of the SF-36, to establish general population norms for various sex and age groups, to describe the effects of socio-demographic factors on SF-36 scores, and SF-36 scores in patients with major mental disorders. METHODS: Following the standard procedures of forward and back translation and adaptation, an Amharic SF-36 was developed This was subsequently used in a health survey of a general rural population of 1.990 in Butajira. The instrument was also used to interview a group of patients with schizophrenia, bipolar and depressive disorders. RESULTS: Mean scores of all of the eight domains of the SF-36 general population of Butajira decreased (indicating poorer HRQOL) with increasing age in both males and females. The odds of being in the lowest quartile of the PCS were 3.6 times higher in those aged 40-49 years when compared to those younger than 20 years Adjusted Odds Ratio (95% CI) = 3.62 (2.32, 5.66). In both males and females, the SF-36 scores for the eight domains and the two summary scales were significantly lower among all the three cases of major mental disorders compared to the general population. CONCLUSION: The SF-36 appears to be an appropriate measure for measuring health related quality of life in various population groups in Ethiopia.","container-title":"Ethiop Med J","ISSN":"0014-1755 (Print) 0014-1755 (Linking)","issue":"4","language":"eng","page":"289-97","title":"Health related quality of life (SF-36) survey in Butajira, rural Ethiopia: normative data and evaluation of reliability and validity","volume":"42","author":[{"family":"Kebede","given":"D."},{"family":"Alem","given":"A."},{"family":"Shibre","given":"T."},{"family":"Negash","given":"A."},{"family":"Deyassa","given":"N."},{"family":"Beyero","given":"T."}],"issued":{"date-parts":[["2004",10]]}}}],"schema":"https://github.com/citation-style-language/schema/raw/master/csl-citation.json"} </w:instrText>
      </w:r>
      <w:r w:rsidR="002E1448" w:rsidRPr="00840C78">
        <w:rPr>
          <w:rFonts w:cs="Times New Roman"/>
          <w:szCs w:val="22"/>
          <w:lang w:val="en-GB"/>
        </w:rPr>
        <w:fldChar w:fldCharType="separate"/>
      </w:r>
      <w:r w:rsidR="002E1448" w:rsidRPr="00840C78">
        <w:rPr>
          <w:rFonts w:cs="Times New Roman"/>
          <w:noProof/>
          <w:szCs w:val="22"/>
          <w:lang w:val="en-GB"/>
        </w:rPr>
        <w:t>(Kebede et al. 2004)</w:t>
      </w:r>
      <w:r w:rsidR="002E1448" w:rsidRPr="00840C78">
        <w:rPr>
          <w:rFonts w:cs="Times New Roman"/>
          <w:szCs w:val="22"/>
          <w:lang w:val="en-GB"/>
        </w:rPr>
        <w:fldChar w:fldCharType="end"/>
      </w:r>
      <w:r w:rsidR="00B714D6" w:rsidRPr="00840C78">
        <w:rPr>
          <w:rFonts w:cs="Times New Roman"/>
          <w:szCs w:val="22"/>
          <w:lang w:val="en-GB"/>
        </w:rPr>
        <w:t xml:space="preserve">. </w:t>
      </w:r>
    </w:p>
    <w:p w14:paraId="2557484E" w14:textId="398E54E6" w:rsidR="00154532" w:rsidRPr="00840C78" w:rsidRDefault="00EC0419" w:rsidP="00541D5D">
      <w:pPr>
        <w:pStyle w:val="Rubrik2"/>
        <w:rPr>
          <w:color w:val="auto"/>
        </w:rPr>
      </w:pPr>
      <w:r w:rsidRPr="00840C78">
        <w:rPr>
          <w:color w:val="auto"/>
        </w:rPr>
        <w:t xml:space="preserve">Results: </w:t>
      </w:r>
      <w:r w:rsidR="00B22CAE" w:rsidRPr="00840C78">
        <w:rPr>
          <w:color w:val="auto"/>
        </w:rPr>
        <w:t>IQRs</w:t>
      </w:r>
      <w:r w:rsidR="00466D74" w:rsidRPr="00840C78">
        <w:rPr>
          <w:color w:val="auto"/>
        </w:rPr>
        <w:t xml:space="preserve"> (interquartile ranges)</w:t>
      </w:r>
    </w:p>
    <w:p w14:paraId="39E05A54" w14:textId="155D411A" w:rsidR="00154532" w:rsidRPr="00840C78" w:rsidRDefault="00154532" w:rsidP="00541D5D">
      <w:pPr>
        <w:spacing w:line="360" w:lineRule="auto"/>
        <w:rPr>
          <w:lang w:val="en-GB"/>
        </w:rPr>
      </w:pPr>
      <w:r w:rsidRPr="00840C78">
        <w:rPr>
          <w:lang w:val="en-GB"/>
        </w:rPr>
        <w:t>Age in years: Median(IQR) =</w:t>
      </w:r>
      <w:r w:rsidR="00E938DB" w:rsidRPr="00840C78">
        <w:rPr>
          <w:lang w:val="en-GB"/>
        </w:rPr>
        <w:t xml:space="preserve"> 28(22-33) for UM, </w:t>
      </w:r>
      <w:r w:rsidR="005F6A29" w:rsidRPr="00840C78">
        <w:rPr>
          <w:lang w:val="en-GB"/>
        </w:rPr>
        <w:t xml:space="preserve">and </w:t>
      </w:r>
      <w:r w:rsidR="00E938DB" w:rsidRPr="00840C78">
        <w:rPr>
          <w:lang w:val="en-GB"/>
        </w:rPr>
        <w:t xml:space="preserve">30(23-36.5) </w:t>
      </w:r>
      <w:r w:rsidR="005F6A29" w:rsidRPr="00840C78">
        <w:rPr>
          <w:lang w:val="en-GB"/>
        </w:rPr>
        <w:t>for bipolar disorder</w:t>
      </w:r>
      <w:r w:rsidR="00E938DB" w:rsidRPr="00840C78">
        <w:rPr>
          <w:lang w:val="en-GB"/>
        </w:rPr>
        <w:t xml:space="preserve">. </w:t>
      </w:r>
    </w:p>
    <w:p w14:paraId="6EF62BF1" w14:textId="021711A0" w:rsidR="00154532" w:rsidRPr="00840C78" w:rsidRDefault="00154532" w:rsidP="00541D5D">
      <w:pPr>
        <w:spacing w:line="360" w:lineRule="auto"/>
        <w:rPr>
          <w:lang w:val="en-GB"/>
        </w:rPr>
      </w:pPr>
      <w:r w:rsidRPr="00840C78">
        <w:rPr>
          <w:lang w:val="en-GB"/>
        </w:rPr>
        <w:t>Age of onset in years: Median(IQR) =</w:t>
      </w:r>
      <w:r w:rsidR="00E938DB" w:rsidRPr="00840C78">
        <w:rPr>
          <w:lang w:val="en-GB"/>
        </w:rPr>
        <w:t xml:space="preserve"> </w:t>
      </w:r>
      <w:r w:rsidR="00B22CAE" w:rsidRPr="00840C78">
        <w:rPr>
          <w:lang w:val="en-GB"/>
        </w:rPr>
        <w:t>20 (IQR 17-25) years for UM</w:t>
      </w:r>
      <w:r w:rsidR="005F6A29" w:rsidRPr="00840C78">
        <w:rPr>
          <w:lang w:val="en-GB"/>
        </w:rPr>
        <w:t>,</w:t>
      </w:r>
      <w:r w:rsidR="00B22CAE" w:rsidRPr="00840C78">
        <w:rPr>
          <w:lang w:val="en-GB"/>
        </w:rPr>
        <w:t xml:space="preserve"> and 21.7 and 20 years (16-25) for </w:t>
      </w:r>
      <w:r w:rsidR="005F6A29" w:rsidRPr="00840C78">
        <w:rPr>
          <w:lang w:val="en-GB"/>
        </w:rPr>
        <w:t>bipolar disorder</w:t>
      </w:r>
      <w:r w:rsidR="00B22CAE" w:rsidRPr="00840C78">
        <w:rPr>
          <w:lang w:val="en-GB"/>
        </w:rPr>
        <w:t>.</w:t>
      </w:r>
    </w:p>
    <w:p w14:paraId="388CA77B" w14:textId="20A26E01" w:rsidR="00154532" w:rsidRPr="00840C78" w:rsidRDefault="00154532" w:rsidP="00541D5D">
      <w:pPr>
        <w:spacing w:line="360" w:lineRule="auto"/>
        <w:rPr>
          <w:lang w:val="en-GB"/>
        </w:rPr>
      </w:pPr>
      <w:r w:rsidRPr="00840C78">
        <w:rPr>
          <w:lang w:val="en-GB"/>
        </w:rPr>
        <w:t>Duration of illness in years: Median(IQR) =</w:t>
      </w:r>
      <w:r w:rsidR="00E938DB" w:rsidRPr="00840C78">
        <w:rPr>
          <w:lang w:val="en-GB"/>
        </w:rPr>
        <w:t xml:space="preserve"> </w:t>
      </w:r>
      <w:r w:rsidR="00E938DB" w:rsidRPr="00840C78">
        <w:rPr>
          <w:rFonts w:eastAsia="Times New Roman" w:cs="Arial"/>
          <w:szCs w:val="22"/>
          <w:lang w:val="en-GB"/>
        </w:rPr>
        <w:t>6 years for UM (</w:t>
      </w:r>
      <w:r w:rsidR="00E938DB" w:rsidRPr="00840C78">
        <w:rPr>
          <w:lang w:val="en-GB"/>
        </w:rPr>
        <w:t>2.5-11)</w:t>
      </w:r>
      <w:r w:rsidR="005F6A29" w:rsidRPr="00840C78">
        <w:rPr>
          <w:lang w:val="en-GB"/>
        </w:rPr>
        <w:t>,</w:t>
      </w:r>
      <w:r w:rsidR="00E938DB" w:rsidRPr="00840C78">
        <w:rPr>
          <w:lang w:val="en-GB"/>
        </w:rPr>
        <w:t xml:space="preserve"> and 7 years for </w:t>
      </w:r>
      <w:r w:rsidR="005F6A29" w:rsidRPr="00840C78">
        <w:rPr>
          <w:lang w:val="en-GB"/>
        </w:rPr>
        <w:t>bipolar disorder</w:t>
      </w:r>
      <w:r w:rsidR="00826CA6" w:rsidRPr="00840C78">
        <w:rPr>
          <w:lang w:val="en-GB"/>
        </w:rPr>
        <w:t xml:space="preserve"> (</w:t>
      </w:r>
      <w:r w:rsidR="00E938DB" w:rsidRPr="00840C78">
        <w:rPr>
          <w:lang w:val="en-GB"/>
        </w:rPr>
        <w:t>3.5-14.5).</w:t>
      </w:r>
    </w:p>
    <w:p w14:paraId="6CF45ADF" w14:textId="18A3E6F0" w:rsidR="00154532" w:rsidRPr="00840C78" w:rsidRDefault="00154532" w:rsidP="00541D5D">
      <w:pPr>
        <w:spacing w:line="360" w:lineRule="auto"/>
        <w:rPr>
          <w:lang w:val="en-GB"/>
        </w:rPr>
      </w:pPr>
      <w:r w:rsidRPr="00840C78">
        <w:rPr>
          <w:lang w:val="en-GB"/>
        </w:rPr>
        <w:t xml:space="preserve">Social </w:t>
      </w:r>
      <w:r w:rsidR="00826CA6" w:rsidRPr="00840C78">
        <w:rPr>
          <w:lang w:val="en-GB"/>
        </w:rPr>
        <w:t>functioning</w:t>
      </w:r>
      <w:r w:rsidRPr="00840C78">
        <w:rPr>
          <w:lang w:val="en-GB"/>
        </w:rPr>
        <w:t>: Median(IQR) =</w:t>
      </w:r>
      <w:r w:rsidR="00E938DB" w:rsidRPr="00840C78">
        <w:rPr>
          <w:lang w:val="en-GB"/>
        </w:rPr>
        <w:t xml:space="preserve"> 62.5 for UM (50-87.5)</w:t>
      </w:r>
      <w:r w:rsidR="005F6A29" w:rsidRPr="00840C78">
        <w:rPr>
          <w:lang w:val="en-GB"/>
        </w:rPr>
        <w:t>,</w:t>
      </w:r>
      <w:r w:rsidR="00E938DB" w:rsidRPr="00840C78">
        <w:rPr>
          <w:lang w:val="en-GB"/>
        </w:rPr>
        <w:t xml:space="preserve"> and 50 for </w:t>
      </w:r>
      <w:r w:rsidR="005F6A29" w:rsidRPr="00840C78">
        <w:rPr>
          <w:lang w:val="en-GB"/>
        </w:rPr>
        <w:t>bipolar disorder</w:t>
      </w:r>
      <w:r w:rsidR="00E938DB" w:rsidRPr="00840C78">
        <w:rPr>
          <w:lang w:val="en-GB"/>
        </w:rPr>
        <w:t xml:space="preserve"> (37.5-75).</w:t>
      </w:r>
    </w:p>
    <w:p w14:paraId="766F394F" w14:textId="77777777" w:rsidR="00466D74" w:rsidRPr="00840C78" w:rsidRDefault="00466D74" w:rsidP="00541D5D">
      <w:pPr>
        <w:spacing w:line="360" w:lineRule="auto"/>
        <w:rPr>
          <w:lang w:val="en-GB"/>
        </w:rPr>
      </w:pPr>
    </w:p>
    <w:p w14:paraId="6D9A5793" w14:textId="77777777" w:rsidR="00A804D3" w:rsidRPr="00840C78" w:rsidRDefault="00EC0419" w:rsidP="00541D5D">
      <w:pPr>
        <w:spacing w:line="360" w:lineRule="auto"/>
        <w:rPr>
          <w:b/>
          <w:bCs/>
          <w:lang w:val="en-GB"/>
        </w:rPr>
      </w:pPr>
      <w:r w:rsidRPr="00840C78">
        <w:rPr>
          <w:b/>
          <w:bCs/>
          <w:lang w:val="en-GB"/>
        </w:rPr>
        <w:t xml:space="preserve">References: </w:t>
      </w:r>
    </w:p>
    <w:p w14:paraId="0E7CDDAB" w14:textId="77777777" w:rsidR="00A804D3" w:rsidRPr="00840C78" w:rsidRDefault="00A804D3" w:rsidP="00541D5D">
      <w:pPr>
        <w:spacing w:line="360" w:lineRule="auto"/>
        <w:rPr>
          <w:lang w:val="en-GB"/>
        </w:rPr>
      </w:pPr>
    </w:p>
    <w:p w14:paraId="755EA855" w14:textId="77777777" w:rsidR="005D2AFF" w:rsidRPr="00840C78" w:rsidRDefault="00B83F70" w:rsidP="005D2AFF">
      <w:pPr>
        <w:widowControl w:val="0"/>
        <w:autoSpaceDE w:val="0"/>
        <w:autoSpaceDN w:val="0"/>
        <w:adjustRightInd w:val="0"/>
        <w:rPr>
          <w:rFonts w:ascii="Calibri" w:cs="Calibri"/>
          <w:lang w:val="en-US"/>
        </w:rPr>
      </w:pPr>
      <w:r w:rsidRPr="00840C78">
        <w:fldChar w:fldCharType="begin"/>
      </w:r>
      <w:r w:rsidRPr="00840C78">
        <w:rPr>
          <w:lang w:val="en-US"/>
        </w:rPr>
        <w:instrText xml:space="preserve"> ADDIN ZOTERO_BIBL {"uncited":[],"omitted":[],"custom":[]} CSL_BIBLIOGRAPHY </w:instrText>
      </w:r>
      <w:r w:rsidRPr="00840C78">
        <w:fldChar w:fldCharType="separate"/>
      </w:r>
      <w:r w:rsidR="005D2AFF" w:rsidRPr="00840C78">
        <w:rPr>
          <w:rFonts w:ascii="Calibri" w:cs="Calibri"/>
          <w:lang w:val="en-US"/>
        </w:rPr>
        <w:t xml:space="preserve">Andrews, G., and L. Peters. 1998. ‘The Psychometric Properties of the Composite International Diagnostic Interview’. </w:t>
      </w:r>
      <w:r w:rsidR="005D2AFF" w:rsidRPr="00840C78">
        <w:rPr>
          <w:rFonts w:ascii="Calibri" w:cs="Calibri"/>
          <w:i/>
          <w:iCs/>
          <w:lang w:val="en-US"/>
        </w:rPr>
        <w:t>Soc Psychiatry Psychiatr Epidemiol</w:t>
      </w:r>
      <w:r w:rsidR="005D2AFF" w:rsidRPr="00840C78">
        <w:rPr>
          <w:rFonts w:ascii="Calibri" w:cs="Calibri"/>
          <w:lang w:val="en-US"/>
        </w:rPr>
        <w:t xml:space="preserve"> 33 (2): 80–88.</w:t>
      </w:r>
    </w:p>
    <w:p w14:paraId="4B6CC707" w14:textId="77777777" w:rsidR="005D2AFF" w:rsidRPr="00840C78" w:rsidRDefault="005D2AFF" w:rsidP="005D2AFF">
      <w:pPr>
        <w:widowControl w:val="0"/>
        <w:autoSpaceDE w:val="0"/>
        <w:autoSpaceDN w:val="0"/>
        <w:adjustRightInd w:val="0"/>
        <w:rPr>
          <w:rFonts w:ascii="Calibri" w:cs="Calibri"/>
          <w:lang w:val="en-US"/>
        </w:rPr>
      </w:pPr>
      <w:r w:rsidRPr="00840C78">
        <w:rPr>
          <w:rFonts w:ascii="Calibri" w:cs="Calibri"/>
          <w:lang w:val="en-US"/>
        </w:rPr>
        <w:t xml:space="preserve">Brazier, J. E., R. Harper, N. M. Jones, A. O’Cathain, K. J. Thomas, T. Usherwood, and L. Westlake. 1992. ‘Validating the SF-36 Health Survey Questionnaire: New Outcome Measure for Primary Care’. </w:t>
      </w:r>
      <w:r w:rsidRPr="00840C78">
        <w:rPr>
          <w:rFonts w:ascii="Calibri" w:cs="Calibri"/>
          <w:i/>
          <w:iCs/>
          <w:lang w:val="en-US"/>
        </w:rPr>
        <w:t>BMJ</w:t>
      </w:r>
      <w:r w:rsidRPr="00840C78">
        <w:rPr>
          <w:rFonts w:ascii="Calibri" w:cs="Calibri"/>
          <w:lang w:val="en-US"/>
        </w:rPr>
        <w:t xml:space="preserve"> 305 (6846): 160–64.</w:t>
      </w:r>
    </w:p>
    <w:p w14:paraId="271C4504" w14:textId="77777777" w:rsidR="005D2AFF" w:rsidRPr="00840C78" w:rsidRDefault="005D2AFF" w:rsidP="005D2AFF">
      <w:pPr>
        <w:widowControl w:val="0"/>
        <w:autoSpaceDE w:val="0"/>
        <w:autoSpaceDN w:val="0"/>
        <w:adjustRightInd w:val="0"/>
        <w:rPr>
          <w:rFonts w:ascii="Calibri" w:cs="Calibri"/>
          <w:lang w:val="en-US"/>
        </w:rPr>
      </w:pPr>
      <w:r w:rsidRPr="00840C78">
        <w:rPr>
          <w:rFonts w:ascii="Calibri" w:cs="Calibri"/>
          <w:lang w:val="en-US"/>
        </w:rPr>
        <w:t xml:space="preserve">Byass, P., Y. Berhane, A. Emmelin, D. Kebede, T. Andersson, U. Hogberg, and S. Wall. 2002. ‘The Role of Demographic Surveillance Systems (DSS) in Assessing the Health of Communities: An Example from Rural Ethiopia’. </w:t>
      </w:r>
      <w:r w:rsidRPr="00840C78">
        <w:rPr>
          <w:rFonts w:ascii="Calibri" w:cs="Calibri"/>
          <w:i/>
          <w:iCs/>
          <w:lang w:val="en-US"/>
        </w:rPr>
        <w:t>Public Health</w:t>
      </w:r>
      <w:r w:rsidRPr="00840C78">
        <w:rPr>
          <w:rFonts w:ascii="Calibri" w:cs="Calibri"/>
          <w:lang w:val="en-US"/>
        </w:rPr>
        <w:t xml:space="preserve"> 116 (3): 145–50. https://doi.org/10.1038/sj.ph.1900837.</w:t>
      </w:r>
    </w:p>
    <w:p w14:paraId="02906C65" w14:textId="77777777" w:rsidR="005D2AFF" w:rsidRPr="00840C78" w:rsidRDefault="005D2AFF" w:rsidP="005D2AFF">
      <w:pPr>
        <w:widowControl w:val="0"/>
        <w:autoSpaceDE w:val="0"/>
        <w:autoSpaceDN w:val="0"/>
        <w:adjustRightInd w:val="0"/>
        <w:rPr>
          <w:rFonts w:ascii="Calibri" w:cs="Calibri"/>
          <w:lang w:val="en-US"/>
        </w:rPr>
      </w:pPr>
      <w:r w:rsidRPr="00840C78">
        <w:rPr>
          <w:rFonts w:ascii="Calibri" w:cs="Calibri"/>
          <w:lang w:val="en-US"/>
        </w:rPr>
        <w:t xml:space="preserve">E Rashid, D Kebede, and A Alem. 1996. ‘Evaluation of an Amharic Version of the CIDI and Prevalence Estimation of DSMIII-R Disorders in Addis Ababa.’ </w:t>
      </w:r>
      <w:r w:rsidRPr="00840C78">
        <w:rPr>
          <w:rFonts w:ascii="Calibri" w:cs="Calibri"/>
          <w:i/>
          <w:iCs/>
          <w:lang w:val="en-US"/>
        </w:rPr>
        <w:t>Ethiop J Health Dev 1996;2:69–77.</w:t>
      </w:r>
    </w:p>
    <w:p w14:paraId="799B0C2B" w14:textId="77777777" w:rsidR="005D2AFF" w:rsidRPr="00840C78" w:rsidRDefault="005D2AFF" w:rsidP="005D2AFF">
      <w:pPr>
        <w:widowControl w:val="0"/>
        <w:autoSpaceDE w:val="0"/>
        <w:autoSpaceDN w:val="0"/>
        <w:adjustRightInd w:val="0"/>
        <w:rPr>
          <w:rFonts w:ascii="Calibri" w:cs="Calibri"/>
          <w:lang w:val="en-US"/>
        </w:rPr>
      </w:pPr>
      <w:r w:rsidRPr="00840C78">
        <w:rPr>
          <w:rFonts w:ascii="Calibri" w:cs="Calibri"/>
          <w:lang w:val="en-US"/>
        </w:rPr>
        <w:t>Fekadu, A. 2010. ‘Studies on Affective Disorders in Rural Ethiopia - Dissertation’.</w:t>
      </w:r>
    </w:p>
    <w:p w14:paraId="4C2ED7A4" w14:textId="77777777" w:rsidR="005D2AFF" w:rsidRPr="00840C78" w:rsidRDefault="005D2AFF" w:rsidP="005D2AFF">
      <w:pPr>
        <w:widowControl w:val="0"/>
        <w:autoSpaceDE w:val="0"/>
        <w:autoSpaceDN w:val="0"/>
        <w:adjustRightInd w:val="0"/>
        <w:rPr>
          <w:rFonts w:ascii="Calibri" w:cs="Calibri"/>
          <w:lang w:val="en-US"/>
        </w:rPr>
      </w:pPr>
      <w:r w:rsidRPr="00840C78">
        <w:rPr>
          <w:rFonts w:ascii="Calibri" w:cs="Calibri"/>
          <w:lang w:val="en-US"/>
        </w:rPr>
        <w:t xml:space="preserve">Fekadu, A., D. Kebede, A. Alem, D. Fekadu, S. Mogga, A. Negash, G. Medhin, T. Beyero, and T. Shibre. 2006. ‘Clinical Outcome in Bipolar Disorder in a Community-Based Follow-up Study in Butajira, Ethiopia’. </w:t>
      </w:r>
      <w:r w:rsidRPr="00840C78">
        <w:rPr>
          <w:rFonts w:ascii="Calibri" w:cs="Calibri"/>
          <w:i/>
          <w:iCs/>
          <w:lang w:val="en-US"/>
        </w:rPr>
        <w:t>Acta Psychiatrica Scandinavica</w:t>
      </w:r>
      <w:r w:rsidRPr="00840C78">
        <w:rPr>
          <w:rFonts w:ascii="Calibri" w:cs="Calibri"/>
          <w:lang w:val="en-US"/>
        </w:rPr>
        <w:t xml:space="preserve"> 114 (6): 426–34. https://doi.org/10.1111/j.1600-0447.2006.00825.x.</w:t>
      </w:r>
    </w:p>
    <w:p w14:paraId="3C138F76" w14:textId="77777777" w:rsidR="005D2AFF" w:rsidRPr="00840C78" w:rsidRDefault="005D2AFF" w:rsidP="005D2AFF">
      <w:pPr>
        <w:widowControl w:val="0"/>
        <w:autoSpaceDE w:val="0"/>
        <w:autoSpaceDN w:val="0"/>
        <w:adjustRightInd w:val="0"/>
        <w:rPr>
          <w:rFonts w:ascii="Calibri" w:cs="Calibri"/>
          <w:lang w:val="en-US"/>
        </w:rPr>
      </w:pPr>
      <w:r w:rsidRPr="00840C78">
        <w:rPr>
          <w:rFonts w:ascii="Calibri" w:cs="Calibri"/>
          <w:lang w:val="en-US"/>
        </w:rPr>
        <w:t xml:space="preserve">Hamilton, M. 1960. ‘A Rating Scale for Depression’. </w:t>
      </w:r>
      <w:r w:rsidRPr="00840C78">
        <w:rPr>
          <w:rFonts w:ascii="Calibri" w:cs="Calibri"/>
          <w:i/>
          <w:iCs/>
          <w:lang w:val="en-US"/>
        </w:rPr>
        <w:t>J Neurol Neurosurg Psychiatry</w:t>
      </w:r>
      <w:r w:rsidRPr="00840C78">
        <w:rPr>
          <w:rFonts w:ascii="Calibri" w:cs="Calibri"/>
          <w:lang w:val="en-US"/>
        </w:rPr>
        <w:t xml:space="preserve"> 23 </w:t>
      </w:r>
      <w:r w:rsidRPr="00840C78">
        <w:rPr>
          <w:rFonts w:ascii="Calibri" w:cs="Calibri"/>
          <w:lang w:val="en-US"/>
        </w:rPr>
        <w:lastRenderedPageBreak/>
        <w:t>(February): 56–62.</w:t>
      </w:r>
    </w:p>
    <w:p w14:paraId="55737663" w14:textId="77777777" w:rsidR="005D2AFF" w:rsidRPr="00840C78" w:rsidRDefault="005D2AFF" w:rsidP="005D2AFF">
      <w:pPr>
        <w:widowControl w:val="0"/>
        <w:autoSpaceDE w:val="0"/>
        <w:autoSpaceDN w:val="0"/>
        <w:adjustRightInd w:val="0"/>
        <w:rPr>
          <w:rFonts w:ascii="Calibri" w:cs="Calibri"/>
          <w:lang w:val="en-US"/>
        </w:rPr>
      </w:pPr>
      <w:r w:rsidRPr="00840C78">
        <w:rPr>
          <w:rFonts w:ascii="Calibri" w:cs="Calibri"/>
          <w:lang w:val="en-US"/>
        </w:rPr>
        <w:t xml:space="preserve">Kebede, D., A. Alem, T. Shibire, N. Deyassa, A. Negash, T. Beyero, G. Medhin, and A. Fekadu. 2006. ‘Symptomatic and Functional Outcome of Bipolar Disorder in Butajira, Ethiopia’. </w:t>
      </w:r>
      <w:r w:rsidRPr="00840C78">
        <w:rPr>
          <w:rFonts w:ascii="Calibri" w:cs="Calibri"/>
          <w:i/>
          <w:iCs/>
          <w:lang w:val="en-US"/>
        </w:rPr>
        <w:t>J Affect Disord</w:t>
      </w:r>
      <w:r w:rsidRPr="00840C78">
        <w:rPr>
          <w:rFonts w:ascii="Calibri" w:cs="Calibri"/>
          <w:lang w:val="en-US"/>
        </w:rPr>
        <w:t xml:space="preserve"> 90 (2–3): 239–49. https://doi.org/10.1016/j.jad.2005.11.009.</w:t>
      </w:r>
    </w:p>
    <w:p w14:paraId="4991899C" w14:textId="77777777" w:rsidR="005D2AFF" w:rsidRPr="00840C78" w:rsidRDefault="005D2AFF" w:rsidP="005D2AFF">
      <w:pPr>
        <w:widowControl w:val="0"/>
        <w:autoSpaceDE w:val="0"/>
        <w:autoSpaceDN w:val="0"/>
        <w:adjustRightInd w:val="0"/>
        <w:rPr>
          <w:rFonts w:ascii="Calibri" w:cs="Calibri"/>
          <w:lang w:val="en-US"/>
        </w:rPr>
      </w:pPr>
      <w:r w:rsidRPr="00840C78">
        <w:rPr>
          <w:rFonts w:ascii="Calibri" w:cs="Calibri"/>
          <w:lang w:val="en-US"/>
        </w:rPr>
        <w:t xml:space="preserve">Kebede, D., A. Alem, T. Shibre, A. Negash, N. Deyassa, and T. Beyero. 2004. ‘Health Related Quality of Life (SF-36) Survey in Butajira, Rural Ethiopia: Normative Data and Evaluation of Reliability and Validity’. </w:t>
      </w:r>
      <w:r w:rsidRPr="00840C78">
        <w:rPr>
          <w:rFonts w:ascii="Calibri" w:cs="Calibri"/>
          <w:i/>
          <w:iCs/>
          <w:lang w:val="en-US"/>
        </w:rPr>
        <w:t>Ethiop Med J</w:t>
      </w:r>
      <w:r w:rsidRPr="00840C78">
        <w:rPr>
          <w:rFonts w:ascii="Calibri" w:cs="Calibri"/>
          <w:lang w:val="en-US"/>
        </w:rPr>
        <w:t xml:space="preserve"> 42 (4): 289–97.</w:t>
      </w:r>
    </w:p>
    <w:p w14:paraId="6F58F0BF" w14:textId="77777777" w:rsidR="005D2AFF" w:rsidRPr="00840C78" w:rsidRDefault="005D2AFF" w:rsidP="005D2AFF">
      <w:pPr>
        <w:widowControl w:val="0"/>
        <w:autoSpaceDE w:val="0"/>
        <w:autoSpaceDN w:val="0"/>
        <w:adjustRightInd w:val="0"/>
        <w:rPr>
          <w:rFonts w:ascii="Calibri" w:cs="Calibri"/>
          <w:lang w:val="en-US"/>
        </w:rPr>
      </w:pPr>
      <w:r w:rsidRPr="00840C78">
        <w:rPr>
          <w:rFonts w:ascii="Calibri" w:cs="Calibri"/>
          <w:lang w:val="en-US"/>
        </w:rPr>
        <w:t xml:space="preserve">Kebede, D., A. Alem, T. Shibre, A. Negash, A. Fekadu, D. Fekadu, N. Deyassa, L. Jacobsson, and G. Kullgren. 2003. ‘Onset and Clinical Course of Schizophrenia in Butajira-Ethiopia--a Community-Based Study’. </w:t>
      </w:r>
      <w:r w:rsidRPr="00840C78">
        <w:rPr>
          <w:rFonts w:ascii="Calibri" w:cs="Calibri"/>
          <w:i/>
          <w:iCs/>
          <w:lang w:val="en-US"/>
        </w:rPr>
        <w:t>Soc Psychiatry Psychiatr Epidemiol</w:t>
      </w:r>
      <w:r w:rsidRPr="00840C78">
        <w:rPr>
          <w:rFonts w:ascii="Calibri" w:cs="Calibri"/>
          <w:lang w:val="en-US"/>
        </w:rPr>
        <w:t xml:space="preserve"> 38 (11): 625–31. https://doi.org/10.1007/s00127-003-0678-4.</w:t>
      </w:r>
    </w:p>
    <w:p w14:paraId="4218CFBD" w14:textId="77777777" w:rsidR="005D2AFF" w:rsidRPr="00840C78" w:rsidRDefault="005D2AFF" w:rsidP="005D2AFF">
      <w:pPr>
        <w:widowControl w:val="0"/>
        <w:autoSpaceDE w:val="0"/>
        <w:autoSpaceDN w:val="0"/>
        <w:adjustRightInd w:val="0"/>
        <w:rPr>
          <w:rFonts w:ascii="Calibri" w:cs="Calibri"/>
          <w:lang w:val="en-US"/>
        </w:rPr>
      </w:pPr>
      <w:r w:rsidRPr="00840C78">
        <w:rPr>
          <w:rFonts w:ascii="Calibri" w:cs="Calibri"/>
          <w:lang w:val="en-US"/>
        </w:rPr>
        <w:t xml:space="preserve">Leidy, N. K., C. Palmer, M. Murray, J. Robb, and D. A. Revicki. 1998. ‘Health-Related Quality of Life Assessment in Euthymic and Depressed Patients with Bipolar Disorder. Psychometric Performance of Four Self-Report Measures’. </w:t>
      </w:r>
      <w:r w:rsidRPr="00840C78">
        <w:rPr>
          <w:rFonts w:ascii="Calibri" w:cs="Calibri"/>
          <w:i/>
          <w:iCs/>
          <w:lang w:val="en-US"/>
        </w:rPr>
        <w:t>J Affect Disord</w:t>
      </w:r>
      <w:r w:rsidRPr="00840C78">
        <w:rPr>
          <w:rFonts w:ascii="Calibri" w:cs="Calibri"/>
          <w:lang w:val="en-US"/>
        </w:rPr>
        <w:t xml:space="preserve"> 48 (2–3): 207–14.</w:t>
      </w:r>
    </w:p>
    <w:p w14:paraId="4CE66558" w14:textId="77777777" w:rsidR="005D2AFF" w:rsidRPr="00840C78" w:rsidRDefault="005D2AFF" w:rsidP="005D2AFF">
      <w:pPr>
        <w:widowControl w:val="0"/>
        <w:autoSpaceDE w:val="0"/>
        <w:autoSpaceDN w:val="0"/>
        <w:adjustRightInd w:val="0"/>
        <w:rPr>
          <w:rFonts w:ascii="Calibri" w:cs="Calibri"/>
          <w:lang w:val="en-US"/>
        </w:rPr>
      </w:pPr>
      <w:r w:rsidRPr="00840C78">
        <w:rPr>
          <w:rFonts w:ascii="Calibri" w:cs="Calibri"/>
          <w:lang w:val="en-US"/>
        </w:rPr>
        <w:t xml:space="preserve">Sartorius, N., and A. Janca. 1996. ‘Psychiatric Assessment Instruments Developed by the World Health Organization’. </w:t>
      </w:r>
      <w:r w:rsidRPr="00840C78">
        <w:rPr>
          <w:rFonts w:ascii="Calibri" w:cs="Calibri"/>
          <w:i/>
          <w:iCs/>
          <w:lang w:val="en-US"/>
        </w:rPr>
        <w:t>Soc Psychiatry Psychiatr Epidemiol</w:t>
      </w:r>
      <w:r w:rsidRPr="00840C78">
        <w:rPr>
          <w:rFonts w:ascii="Calibri" w:cs="Calibri"/>
          <w:lang w:val="en-US"/>
        </w:rPr>
        <w:t xml:space="preserve"> 31 (2): 55–69.</w:t>
      </w:r>
    </w:p>
    <w:p w14:paraId="3DCAB916" w14:textId="77777777" w:rsidR="005D2AFF" w:rsidRPr="00840C78" w:rsidRDefault="005D2AFF" w:rsidP="005D2AFF">
      <w:pPr>
        <w:widowControl w:val="0"/>
        <w:autoSpaceDE w:val="0"/>
        <w:autoSpaceDN w:val="0"/>
        <w:adjustRightInd w:val="0"/>
        <w:rPr>
          <w:rFonts w:ascii="Calibri" w:cs="Calibri"/>
          <w:lang w:val="en-US"/>
        </w:rPr>
      </w:pPr>
      <w:r w:rsidRPr="00840C78">
        <w:rPr>
          <w:rFonts w:ascii="Calibri" w:cs="Calibri"/>
          <w:lang w:val="en-US"/>
        </w:rPr>
        <w:t xml:space="preserve">Shibre, T., D. Kebede, A. Alem, A. Negash, S. Kibreab, A. Fekadu, D. Fekadu, L. Jacobsson, and G. Kullgren. 2002. ‘An Evaluation of Two Screening Methods to Identify Cases with Schizophrenia and Affective Disorders in a Community Survey in Rural Ethiopia’. </w:t>
      </w:r>
      <w:r w:rsidRPr="00840C78">
        <w:rPr>
          <w:rFonts w:ascii="Calibri" w:cs="Calibri"/>
          <w:i/>
          <w:iCs/>
          <w:lang w:val="en-US"/>
        </w:rPr>
        <w:t>Int J Soc Psychiatry</w:t>
      </w:r>
      <w:r w:rsidRPr="00840C78">
        <w:rPr>
          <w:rFonts w:ascii="Calibri" w:cs="Calibri"/>
          <w:lang w:val="en-US"/>
        </w:rPr>
        <w:t xml:space="preserve"> 48 (3): 200–208.</w:t>
      </w:r>
    </w:p>
    <w:p w14:paraId="252B4BD9" w14:textId="77777777" w:rsidR="005D2AFF" w:rsidRPr="00840C78" w:rsidRDefault="005D2AFF" w:rsidP="005D2AFF">
      <w:pPr>
        <w:widowControl w:val="0"/>
        <w:autoSpaceDE w:val="0"/>
        <w:autoSpaceDN w:val="0"/>
        <w:adjustRightInd w:val="0"/>
        <w:rPr>
          <w:rFonts w:ascii="Calibri" w:cs="Calibri"/>
          <w:lang w:val="en-US"/>
        </w:rPr>
      </w:pPr>
      <w:r w:rsidRPr="00840C78">
        <w:rPr>
          <w:rFonts w:ascii="Calibri" w:cs="Calibri"/>
          <w:lang w:val="en-US"/>
        </w:rPr>
        <w:t>Ware, J. E. 1993. ‘SF-36 Health Survey: Manual and Interpretation Guide. The Health Institute, New England Medical Centre, Boston’.</w:t>
      </w:r>
    </w:p>
    <w:p w14:paraId="090988EB" w14:textId="77777777" w:rsidR="005D2AFF" w:rsidRPr="00840C78" w:rsidRDefault="005D2AFF" w:rsidP="005D2AFF">
      <w:pPr>
        <w:widowControl w:val="0"/>
        <w:autoSpaceDE w:val="0"/>
        <w:autoSpaceDN w:val="0"/>
        <w:adjustRightInd w:val="0"/>
        <w:rPr>
          <w:rFonts w:ascii="Calibri" w:cs="Calibri"/>
          <w:lang w:val="en-US"/>
        </w:rPr>
      </w:pPr>
      <w:r w:rsidRPr="00840C78">
        <w:rPr>
          <w:rFonts w:ascii="Calibri" w:cs="Calibri"/>
          <w:lang w:val="en-US"/>
        </w:rPr>
        <w:t>Ware, J. E., and C. D. Sherbourne. 1993. ‘The MOS 36-Item Short-Form Health Survey (SF-36). I. Conceptual Framework and Item Election. Med. Care 30, 473– 483.’</w:t>
      </w:r>
    </w:p>
    <w:p w14:paraId="4DD664FB" w14:textId="77777777" w:rsidR="005D2AFF" w:rsidRPr="00840C78" w:rsidRDefault="005D2AFF" w:rsidP="005D2AFF">
      <w:pPr>
        <w:widowControl w:val="0"/>
        <w:autoSpaceDE w:val="0"/>
        <w:autoSpaceDN w:val="0"/>
        <w:adjustRightInd w:val="0"/>
        <w:rPr>
          <w:rFonts w:ascii="Calibri" w:cs="Calibri"/>
          <w:lang w:val="en-US"/>
        </w:rPr>
      </w:pPr>
      <w:r w:rsidRPr="00840C78">
        <w:rPr>
          <w:rFonts w:ascii="Calibri" w:cs="Calibri"/>
          <w:lang w:val="en-US"/>
        </w:rPr>
        <w:t>WHO. 1997. ‘Composite International Diagnostic Interview, Ver. 2.1 (CIDI 2.1). Geneva: WHO, 1997.’</w:t>
      </w:r>
    </w:p>
    <w:p w14:paraId="34ECC135" w14:textId="77777777" w:rsidR="005D2AFF" w:rsidRPr="00840C78" w:rsidRDefault="005D2AFF" w:rsidP="005D2AFF">
      <w:pPr>
        <w:widowControl w:val="0"/>
        <w:autoSpaceDE w:val="0"/>
        <w:autoSpaceDN w:val="0"/>
        <w:adjustRightInd w:val="0"/>
        <w:rPr>
          <w:rFonts w:ascii="Calibri" w:cs="Calibri"/>
          <w:lang w:val="en-US"/>
        </w:rPr>
      </w:pPr>
      <w:r w:rsidRPr="00840C78">
        <w:rPr>
          <w:rFonts w:ascii="Calibri" w:cs="Calibri"/>
          <w:lang w:val="en-US"/>
        </w:rPr>
        <w:t xml:space="preserve">Wing, J. K., T. Babor, T. Brugha, J. Burke, J. E. Cooper, R. Giel, A. Jablenski, D. Regier, and N. Sartorius. 1990. ‘SCAN. Schedules for Clinical Assessment in Neuropsychiatry’. </w:t>
      </w:r>
      <w:r w:rsidRPr="00840C78">
        <w:rPr>
          <w:rFonts w:ascii="Calibri" w:cs="Calibri"/>
          <w:i/>
          <w:iCs/>
          <w:lang w:val="en-US"/>
        </w:rPr>
        <w:t>Arch Gen Psychiatry</w:t>
      </w:r>
      <w:r w:rsidRPr="00840C78">
        <w:rPr>
          <w:rFonts w:ascii="Calibri" w:cs="Calibri"/>
          <w:lang w:val="en-US"/>
        </w:rPr>
        <w:t xml:space="preserve"> 47 (6): 589–93.</w:t>
      </w:r>
    </w:p>
    <w:p w14:paraId="79BCE7CA" w14:textId="77777777" w:rsidR="005D2AFF" w:rsidRPr="00840C78" w:rsidRDefault="005D2AFF" w:rsidP="005D2AFF">
      <w:pPr>
        <w:widowControl w:val="0"/>
        <w:autoSpaceDE w:val="0"/>
        <w:autoSpaceDN w:val="0"/>
        <w:adjustRightInd w:val="0"/>
        <w:rPr>
          <w:rFonts w:ascii="Calibri" w:cs="Calibri"/>
        </w:rPr>
      </w:pPr>
      <w:r w:rsidRPr="00840C78">
        <w:rPr>
          <w:rFonts w:ascii="Calibri" w:cs="Calibri"/>
          <w:lang w:val="en-US"/>
        </w:rPr>
        <w:t xml:space="preserve">Young, R. C., J. T. Biggs, V. E. Ziegler, and D. A. Meyer. 1978. ‘A Rating Scale for Mania: Reliability, Validity and Sensitivity’. </w:t>
      </w:r>
      <w:r w:rsidRPr="00840C78">
        <w:rPr>
          <w:rFonts w:ascii="Calibri" w:cs="Calibri"/>
          <w:i/>
          <w:iCs/>
        </w:rPr>
        <w:t>Br J Psychiatry</w:t>
      </w:r>
      <w:r w:rsidRPr="00840C78">
        <w:rPr>
          <w:rFonts w:ascii="Calibri" w:cs="Calibri"/>
        </w:rPr>
        <w:t xml:space="preserve"> 133 (November): 429–35.</w:t>
      </w:r>
    </w:p>
    <w:p w14:paraId="42D1BAA4" w14:textId="613FE0B5" w:rsidR="00EC0419" w:rsidRPr="00840C78" w:rsidRDefault="00B83F70" w:rsidP="00541D5D">
      <w:pPr>
        <w:spacing w:line="360" w:lineRule="auto"/>
        <w:rPr>
          <w:lang w:val="en-GB"/>
        </w:rPr>
      </w:pPr>
      <w:r w:rsidRPr="00840C78">
        <w:rPr>
          <w:lang w:val="en-GB"/>
        </w:rPr>
        <w:fldChar w:fldCharType="end"/>
      </w:r>
    </w:p>
    <w:sectPr w:rsidR="00EC0419" w:rsidRPr="00840C78" w:rsidSect="00381548">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ffr922s7v5dwbede08px9092za0wrxv2zew&quot;&gt;Endnote library&lt;record-ids&gt;&lt;item&gt;2&lt;/item&gt;&lt;item&gt;112&lt;/item&gt;&lt;item&gt;113&lt;/item&gt;&lt;item&gt;114&lt;/item&gt;&lt;item&gt;115&lt;/item&gt;&lt;item&gt;116&lt;/item&gt;&lt;item&gt;117&lt;/item&gt;&lt;item&gt;118&lt;/item&gt;&lt;item&gt;119&lt;/item&gt;&lt;item&gt;122&lt;/item&gt;&lt;item&gt;123&lt;/item&gt;&lt;item&gt;124&lt;/item&gt;&lt;item&gt;125&lt;/item&gt;&lt;item&gt;126&lt;/item&gt;&lt;item&gt;160&lt;/item&gt;&lt;item&gt;161&lt;/item&gt;&lt;item&gt;162&lt;/item&gt;&lt;item&gt;163&lt;/item&gt;&lt;item&gt;164&lt;/item&gt;&lt;/record-ids&gt;&lt;/item&gt;&lt;/Libraries&gt;"/>
  </w:docVars>
  <w:rsids>
    <w:rsidRoot w:val="004C47F4"/>
    <w:rsid w:val="000016CF"/>
    <w:rsid w:val="000039F4"/>
    <w:rsid w:val="00016FAB"/>
    <w:rsid w:val="000465FB"/>
    <w:rsid w:val="00051F42"/>
    <w:rsid w:val="00070B8A"/>
    <w:rsid w:val="00082179"/>
    <w:rsid w:val="00092CCD"/>
    <w:rsid w:val="000B11A0"/>
    <w:rsid w:val="000C74A8"/>
    <w:rsid w:val="000D3377"/>
    <w:rsid w:val="000D3D7D"/>
    <w:rsid w:val="000E31E4"/>
    <w:rsid w:val="000E542F"/>
    <w:rsid w:val="000F0FA2"/>
    <w:rsid w:val="000F275F"/>
    <w:rsid w:val="0011326E"/>
    <w:rsid w:val="00120A40"/>
    <w:rsid w:val="00154532"/>
    <w:rsid w:val="00164083"/>
    <w:rsid w:val="0017542B"/>
    <w:rsid w:val="00186137"/>
    <w:rsid w:val="0019555E"/>
    <w:rsid w:val="00197634"/>
    <w:rsid w:val="001C5C05"/>
    <w:rsid w:val="001D3C6F"/>
    <w:rsid w:val="001E77E6"/>
    <w:rsid w:val="001F235C"/>
    <w:rsid w:val="0021138F"/>
    <w:rsid w:val="002229AB"/>
    <w:rsid w:val="00263D7E"/>
    <w:rsid w:val="00264014"/>
    <w:rsid w:val="00274A53"/>
    <w:rsid w:val="00282AD1"/>
    <w:rsid w:val="00291FC0"/>
    <w:rsid w:val="00292266"/>
    <w:rsid w:val="00297492"/>
    <w:rsid w:val="002B536F"/>
    <w:rsid w:val="002B64B5"/>
    <w:rsid w:val="002C6370"/>
    <w:rsid w:val="002D5ABD"/>
    <w:rsid w:val="002E1448"/>
    <w:rsid w:val="002E204E"/>
    <w:rsid w:val="00317E8E"/>
    <w:rsid w:val="003256EF"/>
    <w:rsid w:val="00340650"/>
    <w:rsid w:val="00354D13"/>
    <w:rsid w:val="00357FB9"/>
    <w:rsid w:val="00366DE4"/>
    <w:rsid w:val="0037252D"/>
    <w:rsid w:val="00381548"/>
    <w:rsid w:val="00386D04"/>
    <w:rsid w:val="0039041A"/>
    <w:rsid w:val="00391476"/>
    <w:rsid w:val="003B3168"/>
    <w:rsid w:val="003C5313"/>
    <w:rsid w:val="003C6A11"/>
    <w:rsid w:val="003C7E35"/>
    <w:rsid w:val="003F03C6"/>
    <w:rsid w:val="003F1CD0"/>
    <w:rsid w:val="003F380F"/>
    <w:rsid w:val="00400224"/>
    <w:rsid w:val="00417F21"/>
    <w:rsid w:val="00430F63"/>
    <w:rsid w:val="00457841"/>
    <w:rsid w:val="00466042"/>
    <w:rsid w:val="00466D74"/>
    <w:rsid w:val="00473DE5"/>
    <w:rsid w:val="00482A1F"/>
    <w:rsid w:val="004A0765"/>
    <w:rsid w:val="004B693D"/>
    <w:rsid w:val="004B69B1"/>
    <w:rsid w:val="004C47F4"/>
    <w:rsid w:val="004E5F44"/>
    <w:rsid w:val="005010AB"/>
    <w:rsid w:val="00541D5D"/>
    <w:rsid w:val="00542C03"/>
    <w:rsid w:val="005A176C"/>
    <w:rsid w:val="005A40D4"/>
    <w:rsid w:val="005A6277"/>
    <w:rsid w:val="005C46F3"/>
    <w:rsid w:val="005D2AFF"/>
    <w:rsid w:val="005F6A29"/>
    <w:rsid w:val="00600623"/>
    <w:rsid w:val="00607D6F"/>
    <w:rsid w:val="0066757F"/>
    <w:rsid w:val="006B5DEC"/>
    <w:rsid w:val="006E634A"/>
    <w:rsid w:val="006E6D40"/>
    <w:rsid w:val="00720CE2"/>
    <w:rsid w:val="00725FBA"/>
    <w:rsid w:val="0073102C"/>
    <w:rsid w:val="007371B0"/>
    <w:rsid w:val="007410D0"/>
    <w:rsid w:val="00743945"/>
    <w:rsid w:val="00753307"/>
    <w:rsid w:val="007807A8"/>
    <w:rsid w:val="007861DD"/>
    <w:rsid w:val="00792317"/>
    <w:rsid w:val="007A1F55"/>
    <w:rsid w:val="007B0865"/>
    <w:rsid w:val="007B59D5"/>
    <w:rsid w:val="007C63D0"/>
    <w:rsid w:val="007D75C4"/>
    <w:rsid w:val="007D7D81"/>
    <w:rsid w:val="007F2A9F"/>
    <w:rsid w:val="007F326B"/>
    <w:rsid w:val="00802102"/>
    <w:rsid w:val="00826CA6"/>
    <w:rsid w:val="00832A42"/>
    <w:rsid w:val="00837298"/>
    <w:rsid w:val="00840C78"/>
    <w:rsid w:val="00852429"/>
    <w:rsid w:val="00855899"/>
    <w:rsid w:val="008773B6"/>
    <w:rsid w:val="008C3C79"/>
    <w:rsid w:val="008D740B"/>
    <w:rsid w:val="008E45C1"/>
    <w:rsid w:val="00912413"/>
    <w:rsid w:val="009465E1"/>
    <w:rsid w:val="00955BD1"/>
    <w:rsid w:val="009560F0"/>
    <w:rsid w:val="00961478"/>
    <w:rsid w:val="0096753C"/>
    <w:rsid w:val="00981C98"/>
    <w:rsid w:val="00991C94"/>
    <w:rsid w:val="0099402D"/>
    <w:rsid w:val="009D02F0"/>
    <w:rsid w:val="009E605C"/>
    <w:rsid w:val="009F4AE1"/>
    <w:rsid w:val="00A12944"/>
    <w:rsid w:val="00A210FF"/>
    <w:rsid w:val="00A26BB1"/>
    <w:rsid w:val="00A47F66"/>
    <w:rsid w:val="00A47F7B"/>
    <w:rsid w:val="00A7171A"/>
    <w:rsid w:val="00A804D3"/>
    <w:rsid w:val="00A86CD4"/>
    <w:rsid w:val="00A93D43"/>
    <w:rsid w:val="00AC2FEB"/>
    <w:rsid w:val="00AC7DBA"/>
    <w:rsid w:val="00AE13B6"/>
    <w:rsid w:val="00AF64BD"/>
    <w:rsid w:val="00B22CAE"/>
    <w:rsid w:val="00B430A8"/>
    <w:rsid w:val="00B52A91"/>
    <w:rsid w:val="00B5645E"/>
    <w:rsid w:val="00B57A86"/>
    <w:rsid w:val="00B57C51"/>
    <w:rsid w:val="00B608A9"/>
    <w:rsid w:val="00B66969"/>
    <w:rsid w:val="00B7048A"/>
    <w:rsid w:val="00B714D6"/>
    <w:rsid w:val="00B83F70"/>
    <w:rsid w:val="00BA65DC"/>
    <w:rsid w:val="00BB5D27"/>
    <w:rsid w:val="00BD3B62"/>
    <w:rsid w:val="00BE4A66"/>
    <w:rsid w:val="00C062F2"/>
    <w:rsid w:val="00C119CE"/>
    <w:rsid w:val="00C21D4E"/>
    <w:rsid w:val="00C231D7"/>
    <w:rsid w:val="00C312A2"/>
    <w:rsid w:val="00C530DB"/>
    <w:rsid w:val="00C556D2"/>
    <w:rsid w:val="00C61A44"/>
    <w:rsid w:val="00C711AB"/>
    <w:rsid w:val="00C731BF"/>
    <w:rsid w:val="00C965CE"/>
    <w:rsid w:val="00CC1D03"/>
    <w:rsid w:val="00CC7603"/>
    <w:rsid w:val="00CE4B10"/>
    <w:rsid w:val="00CF526B"/>
    <w:rsid w:val="00D04A85"/>
    <w:rsid w:val="00D065E0"/>
    <w:rsid w:val="00D06F6A"/>
    <w:rsid w:val="00D47126"/>
    <w:rsid w:val="00D50209"/>
    <w:rsid w:val="00D74ACE"/>
    <w:rsid w:val="00D857FC"/>
    <w:rsid w:val="00D8727E"/>
    <w:rsid w:val="00D96B27"/>
    <w:rsid w:val="00DB60ED"/>
    <w:rsid w:val="00DC7F02"/>
    <w:rsid w:val="00DD553A"/>
    <w:rsid w:val="00DE3BC5"/>
    <w:rsid w:val="00E27341"/>
    <w:rsid w:val="00E320B3"/>
    <w:rsid w:val="00E4021B"/>
    <w:rsid w:val="00E46E6B"/>
    <w:rsid w:val="00E526AF"/>
    <w:rsid w:val="00E65E46"/>
    <w:rsid w:val="00E73E33"/>
    <w:rsid w:val="00E938DB"/>
    <w:rsid w:val="00E94105"/>
    <w:rsid w:val="00EB07EB"/>
    <w:rsid w:val="00EB4C53"/>
    <w:rsid w:val="00EB7902"/>
    <w:rsid w:val="00EC0419"/>
    <w:rsid w:val="00ED5233"/>
    <w:rsid w:val="00EE0BBB"/>
    <w:rsid w:val="00EF1569"/>
    <w:rsid w:val="00EF301A"/>
    <w:rsid w:val="00EF59AD"/>
    <w:rsid w:val="00F26D06"/>
    <w:rsid w:val="00F45767"/>
    <w:rsid w:val="00F47B0A"/>
    <w:rsid w:val="00F50507"/>
    <w:rsid w:val="00F66BCA"/>
    <w:rsid w:val="00F73A32"/>
    <w:rsid w:val="00F9434A"/>
    <w:rsid w:val="00FA5D05"/>
    <w:rsid w:val="00FB1C64"/>
    <w:rsid w:val="00FC54E1"/>
    <w:rsid w:val="00FD7A7C"/>
    <w:rsid w:val="00FE46BF"/>
    <w:rsid w:val="00FF771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C51B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9147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Rubrik2">
    <w:name w:val="heading 2"/>
    <w:basedOn w:val="Normal"/>
    <w:next w:val="Normal"/>
    <w:link w:val="Rubrik2Char"/>
    <w:uiPriority w:val="9"/>
    <w:unhideWhenUsed/>
    <w:qFormat/>
    <w:rsid w:val="00291FC0"/>
    <w:pPr>
      <w:keepNext/>
      <w:keepLines/>
      <w:spacing w:before="200" w:line="360" w:lineRule="auto"/>
      <w:outlineLvl w:val="1"/>
    </w:pPr>
    <w:rPr>
      <w:rFonts w:asciiTheme="majorHAnsi" w:eastAsiaTheme="majorEastAsia" w:hAnsiTheme="majorHAnsi" w:cstheme="majorBidi"/>
      <w:b/>
      <w:bCs/>
      <w:color w:val="5B9BD5" w:themeColor="accent1"/>
      <w:sz w:val="26"/>
      <w:szCs w:val="26"/>
      <w:lang w:val="en-GB"/>
    </w:rPr>
  </w:style>
  <w:style w:type="paragraph" w:styleId="Rubrik3">
    <w:name w:val="heading 3"/>
    <w:basedOn w:val="Normal"/>
    <w:next w:val="Normal"/>
    <w:link w:val="Rubrik3Char"/>
    <w:uiPriority w:val="9"/>
    <w:unhideWhenUsed/>
    <w:qFormat/>
    <w:rsid w:val="00291FC0"/>
    <w:pPr>
      <w:keepNext/>
      <w:keepLines/>
      <w:spacing w:before="200" w:line="360" w:lineRule="auto"/>
      <w:outlineLvl w:val="2"/>
    </w:pPr>
    <w:rPr>
      <w:rFonts w:asciiTheme="majorHAnsi" w:eastAsiaTheme="majorEastAsia" w:hAnsiTheme="majorHAnsi" w:cstheme="majorBidi"/>
      <w:b/>
      <w:bCs/>
      <w:color w:val="5B9BD5" w:themeColor="accent1"/>
      <w:sz w:val="22"/>
      <w:lang w:val="en-G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Kommentarsreferens">
    <w:name w:val="annotation reference"/>
    <w:basedOn w:val="Standardstycketeckensnitt"/>
    <w:uiPriority w:val="99"/>
    <w:semiHidden/>
    <w:unhideWhenUsed/>
    <w:rsid w:val="00832A42"/>
    <w:rPr>
      <w:sz w:val="16"/>
      <w:szCs w:val="16"/>
    </w:rPr>
  </w:style>
  <w:style w:type="paragraph" w:styleId="Kommentarer">
    <w:name w:val="annotation text"/>
    <w:basedOn w:val="Normal"/>
    <w:link w:val="KommentarerChar"/>
    <w:uiPriority w:val="99"/>
    <w:semiHidden/>
    <w:unhideWhenUsed/>
    <w:rsid w:val="00832A42"/>
    <w:pPr>
      <w:spacing w:after="240"/>
    </w:pPr>
    <w:rPr>
      <w:rFonts w:ascii="Arial" w:hAnsi="Arial" w:cstheme="minorHAnsi"/>
      <w:sz w:val="20"/>
      <w:szCs w:val="20"/>
      <w:lang w:val="en-GB"/>
    </w:rPr>
  </w:style>
  <w:style w:type="character" w:customStyle="1" w:styleId="KommentarerChar">
    <w:name w:val="Kommentarer Char"/>
    <w:basedOn w:val="Standardstycketeckensnitt"/>
    <w:link w:val="Kommentarer"/>
    <w:uiPriority w:val="99"/>
    <w:semiHidden/>
    <w:rsid w:val="00832A42"/>
    <w:rPr>
      <w:rFonts w:ascii="Arial" w:hAnsi="Arial" w:cstheme="minorHAnsi"/>
      <w:sz w:val="20"/>
      <w:szCs w:val="20"/>
      <w:lang w:val="en-GB"/>
    </w:rPr>
  </w:style>
  <w:style w:type="paragraph" w:styleId="Ballongtext">
    <w:name w:val="Balloon Text"/>
    <w:basedOn w:val="Normal"/>
    <w:link w:val="BallongtextChar"/>
    <w:uiPriority w:val="99"/>
    <w:semiHidden/>
    <w:unhideWhenUsed/>
    <w:rsid w:val="00832A42"/>
    <w:rPr>
      <w:rFonts w:ascii="Times New Roman" w:hAnsi="Times New Roman" w:cs="Times New Roman"/>
      <w:sz w:val="18"/>
      <w:szCs w:val="18"/>
    </w:rPr>
  </w:style>
  <w:style w:type="character" w:customStyle="1" w:styleId="BallongtextChar">
    <w:name w:val="Ballongtext Char"/>
    <w:basedOn w:val="Standardstycketeckensnitt"/>
    <w:link w:val="Ballongtext"/>
    <w:uiPriority w:val="99"/>
    <w:semiHidden/>
    <w:rsid w:val="00832A42"/>
    <w:rPr>
      <w:rFonts w:ascii="Times New Roman" w:hAnsi="Times New Roman" w:cs="Times New Roman"/>
      <w:sz w:val="18"/>
      <w:szCs w:val="18"/>
    </w:rPr>
  </w:style>
  <w:style w:type="character" w:customStyle="1" w:styleId="Rubrik2Char">
    <w:name w:val="Rubrik 2 Char"/>
    <w:basedOn w:val="Standardstycketeckensnitt"/>
    <w:link w:val="Rubrik2"/>
    <w:uiPriority w:val="9"/>
    <w:rsid w:val="00291FC0"/>
    <w:rPr>
      <w:rFonts w:asciiTheme="majorHAnsi" w:eastAsiaTheme="majorEastAsia" w:hAnsiTheme="majorHAnsi" w:cstheme="majorBidi"/>
      <w:b/>
      <w:bCs/>
      <w:color w:val="5B9BD5" w:themeColor="accent1"/>
      <w:sz w:val="26"/>
      <w:szCs w:val="26"/>
      <w:lang w:val="en-GB"/>
    </w:rPr>
  </w:style>
  <w:style w:type="character" w:customStyle="1" w:styleId="Rubrik3Char">
    <w:name w:val="Rubrik 3 Char"/>
    <w:basedOn w:val="Standardstycketeckensnitt"/>
    <w:link w:val="Rubrik3"/>
    <w:uiPriority w:val="9"/>
    <w:rsid w:val="00291FC0"/>
    <w:rPr>
      <w:rFonts w:asciiTheme="majorHAnsi" w:eastAsiaTheme="majorEastAsia" w:hAnsiTheme="majorHAnsi" w:cstheme="majorBidi"/>
      <w:b/>
      <w:bCs/>
      <w:color w:val="5B9BD5" w:themeColor="accent1"/>
      <w:sz w:val="22"/>
      <w:lang w:val="en-GB"/>
    </w:rPr>
  </w:style>
  <w:style w:type="character" w:customStyle="1" w:styleId="Rubrik1Char">
    <w:name w:val="Rubrik 1 Char"/>
    <w:basedOn w:val="Standardstycketeckensnitt"/>
    <w:link w:val="Rubrik1"/>
    <w:uiPriority w:val="9"/>
    <w:rsid w:val="00391476"/>
    <w:rPr>
      <w:rFonts w:asciiTheme="majorHAnsi" w:eastAsiaTheme="majorEastAsia" w:hAnsiTheme="majorHAnsi" w:cstheme="majorBidi"/>
      <w:color w:val="2E74B5" w:themeColor="accent1" w:themeShade="BF"/>
      <w:sz w:val="32"/>
      <w:szCs w:val="32"/>
    </w:rPr>
  </w:style>
  <w:style w:type="character" w:customStyle="1" w:styleId="st">
    <w:name w:val="st"/>
    <w:basedOn w:val="Standardstycketeckensnitt"/>
    <w:rsid w:val="001F235C"/>
  </w:style>
  <w:style w:type="paragraph" w:customStyle="1" w:styleId="EndNoteBibliographyTitle">
    <w:name w:val="EndNote Bibliography Title"/>
    <w:basedOn w:val="Normal"/>
    <w:rsid w:val="00A804D3"/>
    <w:pPr>
      <w:jc w:val="center"/>
    </w:pPr>
    <w:rPr>
      <w:rFonts w:ascii="Calibri" w:hAnsi="Calibri"/>
      <w:lang w:val="en-US"/>
    </w:rPr>
  </w:style>
  <w:style w:type="paragraph" w:customStyle="1" w:styleId="EndNoteBibliography">
    <w:name w:val="EndNote Bibliography"/>
    <w:basedOn w:val="Normal"/>
    <w:rsid w:val="00A804D3"/>
    <w:rPr>
      <w:rFonts w:ascii="Calibri" w:hAnsi="Calibri"/>
      <w:lang w:val="en-US"/>
    </w:rPr>
  </w:style>
  <w:style w:type="character" w:styleId="Hyperlnk">
    <w:name w:val="Hyperlink"/>
    <w:basedOn w:val="Standardstycketeckensnitt"/>
    <w:uiPriority w:val="99"/>
    <w:unhideWhenUsed/>
    <w:rsid w:val="00A804D3"/>
    <w:rPr>
      <w:color w:val="0563C1" w:themeColor="hyperlink"/>
      <w:u w:val="single"/>
    </w:rPr>
  </w:style>
  <w:style w:type="paragraph" w:styleId="Revision">
    <w:name w:val="Revision"/>
    <w:hidden/>
    <w:uiPriority w:val="99"/>
    <w:semiHidden/>
    <w:rsid w:val="00B52A91"/>
  </w:style>
  <w:style w:type="character" w:customStyle="1" w:styleId="huge">
    <w:name w:val="huge"/>
    <w:basedOn w:val="Standardstycketeckensnitt"/>
    <w:rsid w:val="00366DE4"/>
  </w:style>
  <w:style w:type="paragraph" w:customStyle="1" w:styleId="Litteraturfrteckning1">
    <w:name w:val="Litteraturförteckning1"/>
    <w:basedOn w:val="Normal"/>
    <w:link w:val="BibliographyChar"/>
    <w:rsid w:val="00B83F70"/>
    <w:pPr>
      <w:ind w:left="720" w:hanging="720"/>
    </w:pPr>
    <w:rPr>
      <w:lang w:val="en-GB"/>
    </w:rPr>
  </w:style>
  <w:style w:type="character" w:customStyle="1" w:styleId="BibliographyChar">
    <w:name w:val="Bibliography Char"/>
    <w:basedOn w:val="Standardstycketeckensnitt"/>
    <w:link w:val="Litteraturfrteckning1"/>
    <w:rsid w:val="00B83F7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808854">
      <w:bodyDiv w:val="1"/>
      <w:marLeft w:val="0"/>
      <w:marRight w:val="0"/>
      <w:marTop w:val="0"/>
      <w:marBottom w:val="0"/>
      <w:divBdr>
        <w:top w:val="none" w:sz="0" w:space="0" w:color="auto"/>
        <w:left w:val="none" w:sz="0" w:space="0" w:color="auto"/>
        <w:bottom w:val="none" w:sz="0" w:space="0" w:color="auto"/>
        <w:right w:val="none" w:sz="0" w:space="0" w:color="auto"/>
      </w:divBdr>
    </w:div>
    <w:div w:id="1347559670">
      <w:bodyDiv w:val="1"/>
      <w:marLeft w:val="0"/>
      <w:marRight w:val="0"/>
      <w:marTop w:val="0"/>
      <w:marBottom w:val="0"/>
      <w:divBdr>
        <w:top w:val="none" w:sz="0" w:space="0" w:color="auto"/>
        <w:left w:val="none" w:sz="0" w:space="0" w:color="auto"/>
        <w:bottom w:val="none" w:sz="0" w:space="0" w:color="auto"/>
        <w:right w:val="none" w:sz="0" w:space="0" w:color="auto"/>
      </w:divBdr>
    </w:div>
    <w:div w:id="1645625834">
      <w:bodyDiv w:val="1"/>
      <w:marLeft w:val="0"/>
      <w:marRight w:val="0"/>
      <w:marTop w:val="0"/>
      <w:marBottom w:val="0"/>
      <w:divBdr>
        <w:top w:val="none" w:sz="0" w:space="0" w:color="auto"/>
        <w:left w:val="none" w:sz="0" w:space="0" w:color="auto"/>
        <w:bottom w:val="none" w:sz="0" w:space="0" w:color="auto"/>
        <w:right w:val="none" w:sz="0" w:space="0" w:color="auto"/>
      </w:divBdr>
      <w:divsChild>
        <w:div w:id="382367253">
          <w:marLeft w:val="0"/>
          <w:marRight w:val="0"/>
          <w:marTop w:val="0"/>
          <w:marBottom w:val="0"/>
          <w:divBdr>
            <w:top w:val="none" w:sz="0" w:space="0" w:color="auto"/>
            <w:left w:val="none" w:sz="0" w:space="0" w:color="auto"/>
            <w:bottom w:val="none" w:sz="0" w:space="0" w:color="auto"/>
            <w:right w:val="none" w:sz="0" w:space="0" w:color="auto"/>
          </w:divBdr>
          <w:divsChild>
            <w:div w:id="507867669">
              <w:marLeft w:val="0"/>
              <w:marRight w:val="0"/>
              <w:marTop w:val="0"/>
              <w:marBottom w:val="0"/>
              <w:divBdr>
                <w:top w:val="none" w:sz="0" w:space="0" w:color="auto"/>
                <w:left w:val="none" w:sz="0" w:space="0" w:color="auto"/>
                <w:bottom w:val="none" w:sz="0" w:space="0" w:color="auto"/>
                <w:right w:val="none" w:sz="0" w:space="0" w:color="auto"/>
              </w:divBdr>
            </w:div>
            <w:div w:id="457769922">
              <w:marLeft w:val="0"/>
              <w:marRight w:val="0"/>
              <w:marTop w:val="0"/>
              <w:marBottom w:val="0"/>
              <w:divBdr>
                <w:top w:val="none" w:sz="0" w:space="0" w:color="auto"/>
                <w:left w:val="none" w:sz="0" w:space="0" w:color="auto"/>
                <w:bottom w:val="none" w:sz="0" w:space="0" w:color="auto"/>
                <w:right w:val="none" w:sz="0" w:space="0" w:color="auto"/>
              </w:divBdr>
            </w:div>
            <w:div w:id="4014719">
              <w:marLeft w:val="0"/>
              <w:marRight w:val="0"/>
              <w:marTop w:val="0"/>
              <w:marBottom w:val="0"/>
              <w:divBdr>
                <w:top w:val="none" w:sz="0" w:space="0" w:color="auto"/>
                <w:left w:val="none" w:sz="0" w:space="0" w:color="auto"/>
                <w:bottom w:val="none" w:sz="0" w:space="0" w:color="auto"/>
                <w:right w:val="none" w:sz="0" w:space="0" w:color="auto"/>
              </w:divBdr>
              <w:divsChild>
                <w:div w:id="986082325">
                  <w:marLeft w:val="0"/>
                  <w:marRight w:val="0"/>
                  <w:marTop w:val="0"/>
                  <w:marBottom w:val="0"/>
                  <w:divBdr>
                    <w:top w:val="none" w:sz="0" w:space="0" w:color="auto"/>
                    <w:left w:val="none" w:sz="0" w:space="0" w:color="auto"/>
                    <w:bottom w:val="none" w:sz="0" w:space="0" w:color="auto"/>
                    <w:right w:val="none" w:sz="0" w:space="0" w:color="auto"/>
                  </w:divBdr>
                  <w:divsChild>
                    <w:div w:id="60838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616807">
              <w:marLeft w:val="0"/>
              <w:marRight w:val="0"/>
              <w:marTop w:val="0"/>
              <w:marBottom w:val="0"/>
              <w:divBdr>
                <w:top w:val="none" w:sz="0" w:space="0" w:color="auto"/>
                <w:left w:val="none" w:sz="0" w:space="0" w:color="auto"/>
                <w:bottom w:val="none" w:sz="0" w:space="0" w:color="auto"/>
                <w:right w:val="none" w:sz="0" w:space="0" w:color="auto"/>
              </w:divBdr>
            </w:div>
          </w:divsChild>
        </w:div>
        <w:div w:id="2021466603">
          <w:marLeft w:val="0"/>
          <w:marRight w:val="0"/>
          <w:marTop w:val="0"/>
          <w:marBottom w:val="0"/>
          <w:divBdr>
            <w:top w:val="none" w:sz="0" w:space="0" w:color="auto"/>
            <w:left w:val="none" w:sz="0" w:space="0" w:color="auto"/>
            <w:bottom w:val="none" w:sz="0" w:space="0" w:color="auto"/>
            <w:right w:val="none" w:sz="0" w:space="0" w:color="auto"/>
          </w:divBdr>
          <w:divsChild>
            <w:div w:id="933636289">
              <w:marLeft w:val="0"/>
              <w:marRight w:val="0"/>
              <w:marTop w:val="0"/>
              <w:marBottom w:val="0"/>
              <w:divBdr>
                <w:top w:val="none" w:sz="0" w:space="0" w:color="auto"/>
                <w:left w:val="none" w:sz="0" w:space="0" w:color="auto"/>
                <w:bottom w:val="none" w:sz="0" w:space="0" w:color="auto"/>
                <w:right w:val="none" w:sz="0" w:space="0" w:color="auto"/>
              </w:divBdr>
            </w:div>
          </w:divsChild>
        </w:div>
        <w:div w:id="215628994">
          <w:marLeft w:val="0"/>
          <w:marRight w:val="0"/>
          <w:marTop w:val="0"/>
          <w:marBottom w:val="0"/>
          <w:divBdr>
            <w:top w:val="none" w:sz="0" w:space="0" w:color="auto"/>
            <w:left w:val="none" w:sz="0" w:space="0" w:color="auto"/>
            <w:bottom w:val="none" w:sz="0" w:space="0" w:color="auto"/>
            <w:right w:val="none" w:sz="0" w:space="0" w:color="auto"/>
          </w:divBdr>
          <w:divsChild>
            <w:div w:id="724641739">
              <w:marLeft w:val="0"/>
              <w:marRight w:val="0"/>
              <w:marTop w:val="0"/>
              <w:marBottom w:val="0"/>
              <w:divBdr>
                <w:top w:val="none" w:sz="0" w:space="0" w:color="auto"/>
                <w:left w:val="none" w:sz="0" w:space="0" w:color="auto"/>
                <w:bottom w:val="none" w:sz="0" w:space="0" w:color="auto"/>
                <w:right w:val="none" w:sz="0" w:space="0" w:color="auto"/>
              </w:divBdr>
              <w:divsChild>
                <w:div w:id="1220239634">
                  <w:marLeft w:val="0"/>
                  <w:marRight w:val="0"/>
                  <w:marTop w:val="0"/>
                  <w:marBottom w:val="0"/>
                  <w:divBdr>
                    <w:top w:val="none" w:sz="0" w:space="0" w:color="auto"/>
                    <w:left w:val="none" w:sz="0" w:space="0" w:color="auto"/>
                    <w:bottom w:val="none" w:sz="0" w:space="0" w:color="auto"/>
                    <w:right w:val="none" w:sz="0" w:space="0" w:color="auto"/>
                  </w:divBdr>
                </w:div>
                <w:div w:id="119229204">
                  <w:marLeft w:val="0"/>
                  <w:marRight w:val="0"/>
                  <w:marTop w:val="0"/>
                  <w:marBottom w:val="0"/>
                  <w:divBdr>
                    <w:top w:val="none" w:sz="0" w:space="0" w:color="auto"/>
                    <w:left w:val="none" w:sz="0" w:space="0" w:color="auto"/>
                    <w:bottom w:val="none" w:sz="0" w:space="0" w:color="auto"/>
                    <w:right w:val="none" w:sz="0" w:space="0" w:color="auto"/>
                  </w:divBdr>
                </w:div>
                <w:div w:id="1862670029">
                  <w:marLeft w:val="0"/>
                  <w:marRight w:val="0"/>
                  <w:marTop w:val="0"/>
                  <w:marBottom w:val="0"/>
                  <w:divBdr>
                    <w:top w:val="none" w:sz="0" w:space="0" w:color="auto"/>
                    <w:left w:val="none" w:sz="0" w:space="0" w:color="auto"/>
                    <w:bottom w:val="none" w:sz="0" w:space="0" w:color="auto"/>
                    <w:right w:val="none" w:sz="0" w:space="0" w:color="auto"/>
                  </w:divBdr>
                </w:div>
                <w:div w:id="1053578849">
                  <w:marLeft w:val="0"/>
                  <w:marRight w:val="0"/>
                  <w:marTop w:val="0"/>
                  <w:marBottom w:val="0"/>
                  <w:divBdr>
                    <w:top w:val="none" w:sz="0" w:space="0" w:color="auto"/>
                    <w:left w:val="none" w:sz="0" w:space="0" w:color="auto"/>
                    <w:bottom w:val="none" w:sz="0" w:space="0" w:color="auto"/>
                    <w:right w:val="none" w:sz="0" w:space="0" w:color="auto"/>
                  </w:divBdr>
                </w:div>
                <w:div w:id="1938446490">
                  <w:marLeft w:val="0"/>
                  <w:marRight w:val="0"/>
                  <w:marTop w:val="0"/>
                  <w:marBottom w:val="0"/>
                  <w:divBdr>
                    <w:top w:val="none" w:sz="0" w:space="0" w:color="auto"/>
                    <w:left w:val="none" w:sz="0" w:space="0" w:color="auto"/>
                    <w:bottom w:val="none" w:sz="0" w:space="0" w:color="auto"/>
                    <w:right w:val="none" w:sz="0" w:space="0" w:color="auto"/>
                  </w:divBdr>
                </w:div>
              </w:divsChild>
            </w:div>
            <w:div w:id="170949795">
              <w:marLeft w:val="0"/>
              <w:marRight w:val="0"/>
              <w:marTop w:val="0"/>
              <w:marBottom w:val="0"/>
              <w:divBdr>
                <w:top w:val="none" w:sz="0" w:space="0" w:color="auto"/>
                <w:left w:val="none" w:sz="0" w:space="0" w:color="auto"/>
                <w:bottom w:val="none" w:sz="0" w:space="0" w:color="auto"/>
                <w:right w:val="none" w:sz="0" w:space="0" w:color="auto"/>
              </w:divBdr>
              <w:divsChild>
                <w:div w:id="1805342686">
                  <w:marLeft w:val="0"/>
                  <w:marRight w:val="0"/>
                  <w:marTop w:val="0"/>
                  <w:marBottom w:val="0"/>
                  <w:divBdr>
                    <w:top w:val="none" w:sz="0" w:space="0" w:color="auto"/>
                    <w:left w:val="none" w:sz="0" w:space="0" w:color="auto"/>
                    <w:bottom w:val="none" w:sz="0" w:space="0" w:color="auto"/>
                    <w:right w:val="none" w:sz="0" w:space="0" w:color="auto"/>
                  </w:divBdr>
                  <w:divsChild>
                    <w:div w:id="152989480">
                      <w:marLeft w:val="0"/>
                      <w:marRight w:val="0"/>
                      <w:marTop w:val="0"/>
                      <w:marBottom w:val="0"/>
                      <w:divBdr>
                        <w:top w:val="none" w:sz="0" w:space="0" w:color="auto"/>
                        <w:left w:val="none" w:sz="0" w:space="0" w:color="auto"/>
                        <w:bottom w:val="none" w:sz="0" w:space="0" w:color="auto"/>
                        <w:right w:val="none" w:sz="0" w:space="0" w:color="auto"/>
                      </w:divBdr>
                    </w:div>
                    <w:div w:id="1792941209">
                      <w:marLeft w:val="0"/>
                      <w:marRight w:val="0"/>
                      <w:marTop w:val="0"/>
                      <w:marBottom w:val="0"/>
                      <w:divBdr>
                        <w:top w:val="none" w:sz="0" w:space="0" w:color="auto"/>
                        <w:left w:val="none" w:sz="0" w:space="0" w:color="auto"/>
                        <w:bottom w:val="none" w:sz="0" w:space="0" w:color="auto"/>
                        <w:right w:val="none" w:sz="0" w:space="0" w:color="auto"/>
                      </w:divBdr>
                    </w:div>
                    <w:div w:id="432866763">
                      <w:marLeft w:val="0"/>
                      <w:marRight w:val="0"/>
                      <w:marTop w:val="0"/>
                      <w:marBottom w:val="0"/>
                      <w:divBdr>
                        <w:top w:val="none" w:sz="0" w:space="0" w:color="auto"/>
                        <w:left w:val="none" w:sz="0" w:space="0" w:color="auto"/>
                        <w:bottom w:val="none" w:sz="0" w:space="0" w:color="auto"/>
                        <w:right w:val="none" w:sz="0" w:space="0" w:color="auto"/>
                      </w:divBdr>
                    </w:div>
                    <w:div w:id="931010261">
                      <w:marLeft w:val="0"/>
                      <w:marRight w:val="0"/>
                      <w:marTop w:val="0"/>
                      <w:marBottom w:val="0"/>
                      <w:divBdr>
                        <w:top w:val="none" w:sz="0" w:space="0" w:color="auto"/>
                        <w:left w:val="none" w:sz="0" w:space="0" w:color="auto"/>
                        <w:bottom w:val="none" w:sz="0" w:space="0" w:color="auto"/>
                        <w:right w:val="none" w:sz="0" w:space="0" w:color="auto"/>
                      </w:divBdr>
                    </w:div>
                    <w:div w:id="41558570">
                      <w:marLeft w:val="0"/>
                      <w:marRight w:val="0"/>
                      <w:marTop w:val="0"/>
                      <w:marBottom w:val="0"/>
                      <w:divBdr>
                        <w:top w:val="none" w:sz="0" w:space="0" w:color="auto"/>
                        <w:left w:val="none" w:sz="0" w:space="0" w:color="auto"/>
                        <w:bottom w:val="none" w:sz="0" w:space="0" w:color="auto"/>
                        <w:right w:val="none" w:sz="0" w:space="0" w:color="auto"/>
                      </w:divBdr>
                    </w:div>
                    <w:div w:id="1011224464">
                      <w:marLeft w:val="0"/>
                      <w:marRight w:val="0"/>
                      <w:marTop w:val="0"/>
                      <w:marBottom w:val="0"/>
                      <w:divBdr>
                        <w:top w:val="none" w:sz="0" w:space="0" w:color="auto"/>
                        <w:left w:val="none" w:sz="0" w:space="0" w:color="auto"/>
                        <w:bottom w:val="none" w:sz="0" w:space="0" w:color="auto"/>
                        <w:right w:val="none" w:sz="0" w:space="0" w:color="auto"/>
                      </w:divBdr>
                    </w:div>
                    <w:div w:id="555631538">
                      <w:marLeft w:val="0"/>
                      <w:marRight w:val="0"/>
                      <w:marTop w:val="0"/>
                      <w:marBottom w:val="0"/>
                      <w:divBdr>
                        <w:top w:val="none" w:sz="0" w:space="0" w:color="auto"/>
                        <w:left w:val="none" w:sz="0" w:space="0" w:color="auto"/>
                        <w:bottom w:val="none" w:sz="0" w:space="0" w:color="auto"/>
                        <w:right w:val="none" w:sz="0" w:space="0" w:color="auto"/>
                      </w:divBdr>
                    </w:div>
                    <w:div w:id="71940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414258">
              <w:marLeft w:val="0"/>
              <w:marRight w:val="0"/>
              <w:marTop w:val="0"/>
              <w:marBottom w:val="0"/>
              <w:divBdr>
                <w:top w:val="none" w:sz="0" w:space="0" w:color="auto"/>
                <w:left w:val="none" w:sz="0" w:space="0" w:color="auto"/>
                <w:bottom w:val="none" w:sz="0" w:space="0" w:color="auto"/>
                <w:right w:val="none" w:sz="0" w:space="0" w:color="auto"/>
              </w:divBdr>
            </w:div>
            <w:div w:id="1822692977">
              <w:marLeft w:val="0"/>
              <w:marRight w:val="0"/>
              <w:marTop w:val="0"/>
              <w:marBottom w:val="0"/>
              <w:divBdr>
                <w:top w:val="none" w:sz="0" w:space="0" w:color="auto"/>
                <w:left w:val="none" w:sz="0" w:space="0" w:color="auto"/>
                <w:bottom w:val="none" w:sz="0" w:space="0" w:color="auto"/>
                <w:right w:val="none" w:sz="0" w:space="0" w:color="auto"/>
              </w:divBdr>
              <w:divsChild>
                <w:div w:id="1545797929">
                  <w:marLeft w:val="0"/>
                  <w:marRight w:val="0"/>
                  <w:marTop w:val="0"/>
                  <w:marBottom w:val="0"/>
                  <w:divBdr>
                    <w:top w:val="none" w:sz="0" w:space="0" w:color="auto"/>
                    <w:left w:val="none" w:sz="0" w:space="0" w:color="auto"/>
                    <w:bottom w:val="none" w:sz="0" w:space="0" w:color="auto"/>
                    <w:right w:val="none" w:sz="0" w:space="0" w:color="auto"/>
                  </w:divBdr>
                  <w:divsChild>
                    <w:div w:id="762533006">
                      <w:marLeft w:val="0"/>
                      <w:marRight w:val="0"/>
                      <w:marTop w:val="0"/>
                      <w:marBottom w:val="0"/>
                      <w:divBdr>
                        <w:top w:val="none" w:sz="0" w:space="0" w:color="auto"/>
                        <w:left w:val="none" w:sz="0" w:space="0" w:color="auto"/>
                        <w:bottom w:val="none" w:sz="0" w:space="0" w:color="auto"/>
                        <w:right w:val="none" w:sz="0" w:space="0" w:color="auto"/>
                      </w:divBdr>
                    </w:div>
                    <w:div w:id="1516923293">
                      <w:marLeft w:val="0"/>
                      <w:marRight w:val="0"/>
                      <w:marTop w:val="0"/>
                      <w:marBottom w:val="0"/>
                      <w:divBdr>
                        <w:top w:val="none" w:sz="0" w:space="0" w:color="auto"/>
                        <w:left w:val="none" w:sz="0" w:space="0" w:color="auto"/>
                        <w:bottom w:val="none" w:sz="0" w:space="0" w:color="auto"/>
                        <w:right w:val="none" w:sz="0" w:space="0" w:color="auto"/>
                      </w:divBdr>
                    </w:div>
                  </w:divsChild>
                </w:div>
                <w:div w:id="465437359">
                  <w:marLeft w:val="0"/>
                  <w:marRight w:val="0"/>
                  <w:marTop w:val="0"/>
                  <w:marBottom w:val="0"/>
                  <w:divBdr>
                    <w:top w:val="none" w:sz="0" w:space="0" w:color="auto"/>
                    <w:left w:val="none" w:sz="0" w:space="0" w:color="auto"/>
                    <w:bottom w:val="none" w:sz="0" w:space="0" w:color="auto"/>
                    <w:right w:val="none" w:sz="0" w:space="0" w:color="auto"/>
                  </w:divBdr>
                  <w:divsChild>
                    <w:div w:id="36394832">
                      <w:marLeft w:val="0"/>
                      <w:marRight w:val="0"/>
                      <w:marTop w:val="0"/>
                      <w:marBottom w:val="0"/>
                      <w:divBdr>
                        <w:top w:val="none" w:sz="0" w:space="0" w:color="auto"/>
                        <w:left w:val="none" w:sz="0" w:space="0" w:color="auto"/>
                        <w:bottom w:val="none" w:sz="0" w:space="0" w:color="auto"/>
                        <w:right w:val="none" w:sz="0" w:space="0" w:color="auto"/>
                      </w:divBdr>
                    </w:div>
                    <w:div w:id="2082361490">
                      <w:marLeft w:val="0"/>
                      <w:marRight w:val="0"/>
                      <w:marTop w:val="0"/>
                      <w:marBottom w:val="0"/>
                      <w:divBdr>
                        <w:top w:val="none" w:sz="0" w:space="0" w:color="auto"/>
                        <w:left w:val="none" w:sz="0" w:space="0" w:color="auto"/>
                        <w:bottom w:val="none" w:sz="0" w:space="0" w:color="auto"/>
                        <w:right w:val="none" w:sz="0" w:space="0" w:color="auto"/>
                      </w:divBdr>
                    </w:div>
                  </w:divsChild>
                </w:div>
                <w:div w:id="1026249697">
                  <w:marLeft w:val="0"/>
                  <w:marRight w:val="0"/>
                  <w:marTop w:val="0"/>
                  <w:marBottom w:val="0"/>
                  <w:divBdr>
                    <w:top w:val="none" w:sz="0" w:space="0" w:color="auto"/>
                    <w:left w:val="none" w:sz="0" w:space="0" w:color="auto"/>
                    <w:bottom w:val="none" w:sz="0" w:space="0" w:color="auto"/>
                    <w:right w:val="none" w:sz="0" w:space="0" w:color="auto"/>
                  </w:divBdr>
                  <w:divsChild>
                    <w:div w:id="166556985">
                      <w:marLeft w:val="0"/>
                      <w:marRight w:val="0"/>
                      <w:marTop w:val="0"/>
                      <w:marBottom w:val="0"/>
                      <w:divBdr>
                        <w:top w:val="none" w:sz="0" w:space="0" w:color="auto"/>
                        <w:left w:val="none" w:sz="0" w:space="0" w:color="auto"/>
                        <w:bottom w:val="none" w:sz="0" w:space="0" w:color="auto"/>
                        <w:right w:val="none" w:sz="0" w:space="0" w:color="auto"/>
                      </w:divBdr>
                    </w:div>
                    <w:div w:id="200359054">
                      <w:marLeft w:val="0"/>
                      <w:marRight w:val="0"/>
                      <w:marTop w:val="0"/>
                      <w:marBottom w:val="0"/>
                      <w:divBdr>
                        <w:top w:val="none" w:sz="0" w:space="0" w:color="auto"/>
                        <w:left w:val="none" w:sz="0" w:space="0" w:color="auto"/>
                        <w:bottom w:val="none" w:sz="0" w:space="0" w:color="auto"/>
                        <w:right w:val="none" w:sz="0" w:space="0" w:color="auto"/>
                      </w:divBdr>
                    </w:div>
                    <w:div w:id="807356332">
                      <w:marLeft w:val="0"/>
                      <w:marRight w:val="0"/>
                      <w:marTop w:val="0"/>
                      <w:marBottom w:val="0"/>
                      <w:divBdr>
                        <w:top w:val="none" w:sz="0" w:space="0" w:color="auto"/>
                        <w:left w:val="none" w:sz="0" w:space="0" w:color="auto"/>
                        <w:bottom w:val="none" w:sz="0" w:space="0" w:color="auto"/>
                        <w:right w:val="none" w:sz="0" w:space="0" w:color="auto"/>
                      </w:divBdr>
                    </w:div>
                  </w:divsChild>
                </w:div>
                <w:div w:id="1554586258">
                  <w:marLeft w:val="0"/>
                  <w:marRight w:val="0"/>
                  <w:marTop w:val="0"/>
                  <w:marBottom w:val="0"/>
                  <w:divBdr>
                    <w:top w:val="none" w:sz="0" w:space="0" w:color="auto"/>
                    <w:left w:val="none" w:sz="0" w:space="0" w:color="auto"/>
                    <w:bottom w:val="none" w:sz="0" w:space="0" w:color="auto"/>
                    <w:right w:val="none" w:sz="0" w:space="0" w:color="auto"/>
                  </w:divBdr>
                  <w:divsChild>
                    <w:div w:id="195510241">
                      <w:marLeft w:val="0"/>
                      <w:marRight w:val="0"/>
                      <w:marTop w:val="0"/>
                      <w:marBottom w:val="0"/>
                      <w:divBdr>
                        <w:top w:val="none" w:sz="0" w:space="0" w:color="auto"/>
                        <w:left w:val="none" w:sz="0" w:space="0" w:color="auto"/>
                        <w:bottom w:val="none" w:sz="0" w:space="0" w:color="auto"/>
                        <w:right w:val="none" w:sz="0" w:space="0" w:color="auto"/>
                      </w:divBdr>
                    </w:div>
                    <w:div w:id="2127772329">
                      <w:marLeft w:val="0"/>
                      <w:marRight w:val="0"/>
                      <w:marTop w:val="0"/>
                      <w:marBottom w:val="0"/>
                      <w:divBdr>
                        <w:top w:val="none" w:sz="0" w:space="0" w:color="auto"/>
                        <w:left w:val="none" w:sz="0" w:space="0" w:color="auto"/>
                        <w:bottom w:val="none" w:sz="0" w:space="0" w:color="auto"/>
                        <w:right w:val="none" w:sz="0" w:space="0" w:color="auto"/>
                      </w:divBdr>
                    </w:div>
                    <w:div w:id="49963718">
                      <w:marLeft w:val="0"/>
                      <w:marRight w:val="0"/>
                      <w:marTop w:val="0"/>
                      <w:marBottom w:val="0"/>
                      <w:divBdr>
                        <w:top w:val="none" w:sz="0" w:space="0" w:color="auto"/>
                        <w:left w:val="none" w:sz="0" w:space="0" w:color="auto"/>
                        <w:bottom w:val="none" w:sz="0" w:space="0" w:color="auto"/>
                        <w:right w:val="none" w:sz="0" w:space="0" w:color="auto"/>
                      </w:divBdr>
                    </w:div>
                  </w:divsChild>
                </w:div>
                <w:div w:id="901021349">
                  <w:marLeft w:val="0"/>
                  <w:marRight w:val="0"/>
                  <w:marTop w:val="0"/>
                  <w:marBottom w:val="0"/>
                  <w:divBdr>
                    <w:top w:val="none" w:sz="0" w:space="0" w:color="auto"/>
                    <w:left w:val="none" w:sz="0" w:space="0" w:color="auto"/>
                    <w:bottom w:val="none" w:sz="0" w:space="0" w:color="auto"/>
                    <w:right w:val="none" w:sz="0" w:space="0" w:color="auto"/>
                  </w:divBdr>
                  <w:divsChild>
                    <w:div w:id="1376268871">
                      <w:marLeft w:val="0"/>
                      <w:marRight w:val="0"/>
                      <w:marTop w:val="0"/>
                      <w:marBottom w:val="0"/>
                      <w:divBdr>
                        <w:top w:val="none" w:sz="0" w:space="0" w:color="auto"/>
                        <w:left w:val="none" w:sz="0" w:space="0" w:color="auto"/>
                        <w:bottom w:val="none" w:sz="0" w:space="0" w:color="auto"/>
                        <w:right w:val="none" w:sz="0" w:space="0" w:color="auto"/>
                      </w:divBdr>
                    </w:div>
                    <w:div w:id="1519614656">
                      <w:marLeft w:val="0"/>
                      <w:marRight w:val="0"/>
                      <w:marTop w:val="0"/>
                      <w:marBottom w:val="0"/>
                      <w:divBdr>
                        <w:top w:val="none" w:sz="0" w:space="0" w:color="auto"/>
                        <w:left w:val="none" w:sz="0" w:space="0" w:color="auto"/>
                        <w:bottom w:val="none" w:sz="0" w:space="0" w:color="auto"/>
                        <w:right w:val="none" w:sz="0" w:space="0" w:color="auto"/>
                      </w:divBdr>
                    </w:div>
                  </w:divsChild>
                </w:div>
                <w:div w:id="898638856">
                  <w:marLeft w:val="0"/>
                  <w:marRight w:val="0"/>
                  <w:marTop w:val="0"/>
                  <w:marBottom w:val="0"/>
                  <w:divBdr>
                    <w:top w:val="none" w:sz="0" w:space="0" w:color="auto"/>
                    <w:left w:val="none" w:sz="0" w:space="0" w:color="auto"/>
                    <w:bottom w:val="none" w:sz="0" w:space="0" w:color="auto"/>
                    <w:right w:val="none" w:sz="0" w:space="0" w:color="auto"/>
                  </w:divBdr>
                  <w:divsChild>
                    <w:div w:id="144141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802822">
              <w:marLeft w:val="0"/>
              <w:marRight w:val="0"/>
              <w:marTop w:val="0"/>
              <w:marBottom w:val="0"/>
              <w:divBdr>
                <w:top w:val="none" w:sz="0" w:space="0" w:color="auto"/>
                <w:left w:val="none" w:sz="0" w:space="0" w:color="auto"/>
                <w:bottom w:val="none" w:sz="0" w:space="0" w:color="auto"/>
                <w:right w:val="none" w:sz="0" w:space="0" w:color="auto"/>
              </w:divBdr>
            </w:div>
            <w:div w:id="1784573300">
              <w:marLeft w:val="0"/>
              <w:marRight w:val="0"/>
              <w:marTop w:val="0"/>
              <w:marBottom w:val="0"/>
              <w:divBdr>
                <w:top w:val="none" w:sz="0" w:space="0" w:color="auto"/>
                <w:left w:val="none" w:sz="0" w:space="0" w:color="auto"/>
                <w:bottom w:val="none" w:sz="0" w:space="0" w:color="auto"/>
                <w:right w:val="none" w:sz="0" w:space="0" w:color="auto"/>
              </w:divBdr>
            </w:div>
            <w:div w:id="251015625">
              <w:marLeft w:val="0"/>
              <w:marRight w:val="0"/>
              <w:marTop w:val="0"/>
              <w:marBottom w:val="0"/>
              <w:divBdr>
                <w:top w:val="none" w:sz="0" w:space="0" w:color="auto"/>
                <w:left w:val="none" w:sz="0" w:space="0" w:color="auto"/>
                <w:bottom w:val="none" w:sz="0" w:space="0" w:color="auto"/>
                <w:right w:val="none" w:sz="0" w:space="0" w:color="auto"/>
              </w:divBdr>
              <w:divsChild>
                <w:div w:id="734088322">
                  <w:marLeft w:val="0"/>
                  <w:marRight w:val="0"/>
                  <w:marTop w:val="0"/>
                  <w:marBottom w:val="0"/>
                  <w:divBdr>
                    <w:top w:val="none" w:sz="0" w:space="0" w:color="auto"/>
                    <w:left w:val="none" w:sz="0" w:space="0" w:color="auto"/>
                    <w:bottom w:val="none" w:sz="0" w:space="0" w:color="auto"/>
                    <w:right w:val="none" w:sz="0" w:space="0" w:color="auto"/>
                  </w:divBdr>
                </w:div>
                <w:div w:id="1946034431">
                  <w:marLeft w:val="0"/>
                  <w:marRight w:val="0"/>
                  <w:marTop w:val="0"/>
                  <w:marBottom w:val="0"/>
                  <w:divBdr>
                    <w:top w:val="none" w:sz="0" w:space="0" w:color="auto"/>
                    <w:left w:val="none" w:sz="0" w:space="0" w:color="auto"/>
                    <w:bottom w:val="none" w:sz="0" w:space="0" w:color="auto"/>
                    <w:right w:val="none" w:sz="0" w:space="0" w:color="auto"/>
                  </w:divBdr>
                  <w:divsChild>
                    <w:div w:id="855074619">
                      <w:marLeft w:val="0"/>
                      <w:marRight w:val="0"/>
                      <w:marTop w:val="0"/>
                      <w:marBottom w:val="0"/>
                      <w:divBdr>
                        <w:top w:val="none" w:sz="0" w:space="0" w:color="auto"/>
                        <w:left w:val="none" w:sz="0" w:space="0" w:color="auto"/>
                        <w:bottom w:val="none" w:sz="0" w:space="0" w:color="auto"/>
                        <w:right w:val="none" w:sz="0" w:space="0" w:color="auto"/>
                      </w:divBdr>
                      <w:divsChild>
                        <w:div w:id="503713084">
                          <w:marLeft w:val="0"/>
                          <w:marRight w:val="0"/>
                          <w:marTop w:val="0"/>
                          <w:marBottom w:val="0"/>
                          <w:divBdr>
                            <w:top w:val="none" w:sz="0" w:space="0" w:color="auto"/>
                            <w:left w:val="none" w:sz="0" w:space="0" w:color="auto"/>
                            <w:bottom w:val="none" w:sz="0" w:space="0" w:color="auto"/>
                            <w:right w:val="none" w:sz="0" w:space="0" w:color="auto"/>
                          </w:divBdr>
                          <w:divsChild>
                            <w:div w:id="61436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387505">
                  <w:marLeft w:val="0"/>
                  <w:marRight w:val="0"/>
                  <w:marTop w:val="0"/>
                  <w:marBottom w:val="0"/>
                  <w:divBdr>
                    <w:top w:val="none" w:sz="0" w:space="0" w:color="auto"/>
                    <w:left w:val="none" w:sz="0" w:space="0" w:color="auto"/>
                    <w:bottom w:val="none" w:sz="0" w:space="0" w:color="auto"/>
                    <w:right w:val="none" w:sz="0" w:space="0" w:color="auto"/>
                  </w:divBdr>
                  <w:divsChild>
                    <w:div w:id="469447817">
                      <w:marLeft w:val="0"/>
                      <w:marRight w:val="0"/>
                      <w:marTop w:val="0"/>
                      <w:marBottom w:val="0"/>
                      <w:divBdr>
                        <w:top w:val="none" w:sz="0" w:space="0" w:color="auto"/>
                        <w:left w:val="none" w:sz="0" w:space="0" w:color="auto"/>
                        <w:bottom w:val="none" w:sz="0" w:space="0" w:color="auto"/>
                        <w:right w:val="none" w:sz="0" w:space="0" w:color="auto"/>
                      </w:divBdr>
                      <w:divsChild>
                        <w:div w:id="1546675645">
                          <w:marLeft w:val="0"/>
                          <w:marRight w:val="0"/>
                          <w:marTop w:val="0"/>
                          <w:marBottom w:val="0"/>
                          <w:divBdr>
                            <w:top w:val="none" w:sz="0" w:space="0" w:color="auto"/>
                            <w:left w:val="none" w:sz="0" w:space="0" w:color="auto"/>
                            <w:bottom w:val="none" w:sz="0" w:space="0" w:color="auto"/>
                            <w:right w:val="none" w:sz="0" w:space="0" w:color="auto"/>
                          </w:divBdr>
                          <w:divsChild>
                            <w:div w:id="171619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8685159">
          <w:marLeft w:val="0"/>
          <w:marRight w:val="0"/>
          <w:marTop w:val="0"/>
          <w:marBottom w:val="0"/>
          <w:divBdr>
            <w:top w:val="none" w:sz="0" w:space="0" w:color="auto"/>
            <w:left w:val="none" w:sz="0" w:space="0" w:color="auto"/>
            <w:bottom w:val="none" w:sz="0" w:space="0" w:color="auto"/>
            <w:right w:val="none" w:sz="0" w:space="0" w:color="auto"/>
          </w:divBdr>
          <w:divsChild>
            <w:div w:id="1810855605">
              <w:marLeft w:val="0"/>
              <w:marRight w:val="0"/>
              <w:marTop w:val="0"/>
              <w:marBottom w:val="0"/>
              <w:divBdr>
                <w:top w:val="none" w:sz="0" w:space="0" w:color="auto"/>
                <w:left w:val="none" w:sz="0" w:space="0" w:color="auto"/>
                <w:bottom w:val="none" w:sz="0" w:space="0" w:color="auto"/>
                <w:right w:val="none" w:sz="0" w:space="0" w:color="auto"/>
              </w:divBdr>
              <w:divsChild>
                <w:div w:id="41454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10278</Words>
  <Characters>54476</Characters>
  <Application>Microsoft Office Word</Application>
  <DocSecurity>0</DocSecurity>
  <Lines>453</Lines>
  <Paragraphs>129</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Office-användare</dc:creator>
  <cp:keywords/>
  <dc:description/>
  <cp:lastModifiedBy>Fredrik Wikström</cp:lastModifiedBy>
  <cp:revision>2</cp:revision>
  <cp:lastPrinted>2021-01-15T12:34:00Z</cp:lastPrinted>
  <dcterms:created xsi:type="dcterms:W3CDTF">2022-12-23T15:25:00Z</dcterms:created>
  <dcterms:modified xsi:type="dcterms:W3CDTF">2022-12-23T15:25:00Z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zotero-version="6.0.11"&gt;&lt;session id="saDo8gyc"/&gt;&lt;style id="http://www.zotero.org/styles/chicago-author-date" locale="en-GB" hasBibliography="1" bibliographyStyleHasBeenSet="1"/&gt;&lt;prefs&gt;&lt;pref name="fieldType" value="Field"/&gt;&lt;pref name</vt:lpwstr>
  </property>
  <property fmtid="{D5CDD505-2E9C-101B-9397-08002B2CF9AE}" pid="3" name="ZOTERO_PREF_2">
    <vt:lpwstr>="automaticJournalAbbreviations" value="true"/&gt;&lt;/prefs&gt;&lt;/data&gt;</vt:lpwstr>
  </property>
</Properties>
</file>