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B4A" w:rsidRDefault="004C69A5" w:rsidP="00961B4A">
      <w:pPr>
        <w:spacing w:after="0" w:line="480" w:lineRule="auto"/>
        <w:rPr>
          <w:rFonts w:ascii="Times New Roman" w:hAnsi="Times New Roman" w:cs="Times New Roman"/>
          <w:b/>
          <w:bCs/>
          <w:noProof/>
          <w:sz w:val="24"/>
          <w:szCs w:val="24"/>
        </w:rPr>
      </w:pPr>
      <w:r>
        <w:rPr>
          <w:rFonts w:ascii="Times New Roman" w:hAnsi="Times New Roman" w:cs="Times New Roman"/>
          <w:b/>
          <w:bCs/>
          <w:noProof/>
          <w:sz w:val="24"/>
          <w:szCs w:val="24"/>
        </w:rPr>
        <w:t>Supplement 12</w:t>
      </w:r>
      <w:bookmarkStart w:id="0" w:name="_GoBack"/>
      <w:bookmarkEnd w:id="0"/>
      <w:r w:rsidR="00961B4A">
        <w:rPr>
          <w:rFonts w:ascii="Times New Roman" w:hAnsi="Times New Roman" w:cs="Times New Roman"/>
          <w:b/>
          <w:bCs/>
          <w:noProof/>
          <w:sz w:val="24"/>
          <w:szCs w:val="24"/>
        </w:rPr>
        <w:t>:</w:t>
      </w:r>
      <w:r w:rsidR="00961B4A">
        <w:rPr>
          <w:rFonts w:ascii="Times New Roman" w:hAnsi="Times New Roman" w:cs="Times New Roman"/>
          <w:b/>
          <w:bCs/>
          <w:noProof/>
          <w:sz w:val="24"/>
          <w:szCs w:val="24"/>
        </w:rPr>
        <w:tab/>
      </w:r>
      <w:r w:rsidR="00961B4A" w:rsidRPr="00C11C82">
        <w:rPr>
          <w:rFonts w:ascii="Times New Roman" w:hAnsi="Times New Roman" w:cs="Times New Roman"/>
          <w:b/>
          <w:bCs/>
          <w:noProof/>
          <w:sz w:val="24"/>
          <w:szCs w:val="24"/>
        </w:rPr>
        <w:t xml:space="preserve">Neuromuscular Blockade: </w:t>
      </w:r>
    </w:p>
    <w:p w:rsidR="00961B4A" w:rsidRPr="00C11C82" w:rsidRDefault="00961B4A" w:rsidP="00961B4A">
      <w:pPr>
        <w:spacing w:after="0" w:line="480" w:lineRule="auto"/>
        <w:rPr>
          <w:rFonts w:ascii="Times New Roman" w:hAnsi="Times New Roman" w:cs="Times New Roman"/>
          <w:b/>
          <w:bCs/>
          <w:noProof/>
          <w:sz w:val="24"/>
          <w:szCs w:val="24"/>
        </w:rPr>
      </w:pPr>
    </w:p>
    <w:p w:rsidR="00961B4A" w:rsidRPr="00C11C82" w:rsidRDefault="00961B4A" w:rsidP="00961B4A">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C11C82">
        <w:rPr>
          <w:rFonts w:ascii="Times New Roman" w:hAnsi="Times New Roman" w:cs="Times New Roman"/>
          <w:noProof/>
          <w:sz w:val="24"/>
          <w:szCs w:val="24"/>
        </w:rPr>
        <w:t>Through a reduction in abdominal muscular tone and an increase in abdominal compliance,  neuromuscular blockade may reduce IAP among those with IAH and/or ACS.</w:t>
      </w:r>
    </w:p>
    <w:p w:rsidR="00961B4A" w:rsidRPr="00C11C82" w:rsidRDefault="00961B4A" w:rsidP="00961B4A">
      <w:pPr>
        <w:spacing w:after="0" w:line="480" w:lineRule="auto"/>
        <w:rPr>
          <w:rFonts w:ascii="Times New Roman" w:hAnsi="Times New Roman" w:cs="Times New Roman"/>
          <w:b/>
          <w:bCs/>
          <w:noProof/>
          <w:sz w:val="24"/>
          <w:szCs w:val="24"/>
        </w:rPr>
      </w:pPr>
    </w:p>
    <w:p w:rsidR="00961B4A" w:rsidRPr="00C11C82" w:rsidRDefault="00961B4A" w:rsidP="00961B4A">
      <w:pPr>
        <w:spacing w:after="0" w:line="480" w:lineRule="auto"/>
        <w:rPr>
          <w:rFonts w:ascii="Times New Roman" w:hAnsi="Times New Roman" w:cs="Times New Roman"/>
          <w:b/>
          <w:bCs/>
          <w:noProof/>
          <w:sz w:val="24"/>
          <w:szCs w:val="24"/>
        </w:rPr>
      </w:pPr>
      <w:r w:rsidRPr="00C11C82">
        <w:rPr>
          <w:rFonts w:ascii="Times New Roman" w:hAnsi="Times New Roman" w:cs="Times New Roman"/>
          <w:b/>
          <w:bCs/>
          <w:noProof/>
          <w:sz w:val="24"/>
          <w:szCs w:val="24"/>
        </w:rPr>
        <w:t>Evidence Summary:</w:t>
      </w:r>
    </w:p>
    <w:p w:rsidR="00961B4A" w:rsidRPr="00C11C82" w:rsidRDefault="00961B4A" w:rsidP="00961B4A">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A single before-and-after case series reported that administration of an intravenous bolus of 0.15 mg/kg of cisatracurium to 10 critically ill adults with IAH decreased IAP from 18 mmHg to 14 mmHg after 15-minutes</w:t>
      </w:r>
      <w:r w:rsidRPr="00C11C82">
        <w:rPr>
          <w:rFonts w:ascii="Times New Roman" w:hAnsi="Times New Roman" w:cs="Times New Roman"/>
          <w:noProof/>
          <w:sz w:val="24"/>
          <w:szCs w:val="24"/>
        </w:rPr>
        <w:t xml:space="preserve"> [</w:t>
      </w:r>
      <w:r w:rsidRPr="00E114D3">
        <w:rPr>
          <w:rFonts w:ascii="Times New Roman" w:hAnsi="Times New Roman" w:cs="Times New Roman"/>
          <w:noProof/>
          <w:sz w:val="24"/>
          <w:szCs w:val="24"/>
        </w:rPr>
        <w:fldChar w:fldCharType="begin"/>
      </w:r>
      <w:r w:rsidR="004C69A5">
        <w:rPr>
          <w:rFonts w:ascii="Times New Roman" w:hAnsi="Times New Roman" w:cs="Times New Roman"/>
          <w:noProof/>
          <w:sz w:val="24"/>
          <w:szCs w:val="24"/>
        </w:rPr>
        <w:instrText xml:space="preserve"> ADDIN EN.CITE &lt;EndNote&gt;&lt;Cite&gt;&lt;Author&gt;De Laet&lt;/Author&gt;&lt;Year&gt;2007&lt;/Year&gt;&lt;RecNum&gt;1947&lt;/RecNum&gt;&lt;DisplayText&gt;[1]&lt;/DisplayText&gt;&lt;record&gt;&lt;rec-number&gt;1947&lt;/rec-number&gt;&lt;foreign-keys&gt;&lt;key app="EN" db-id="rds0exfw5r2tvfezdd5p9fzqasxwd5vx9292"&gt;1947&lt;/key&gt;&lt;/foreign-keys&gt;&lt;ref-type name="Journal Article"&gt;17&lt;/ref-type&gt;&lt;contributors&gt;&lt;authors&gt;&lt;author&gt;De Laet, I.&lt;/author&gt;&lt;author&gt;Hoste, E.&lt;/author&gt;&lt;author&gt;Verholen, E.&lt;/author&gt;&lt;author&gt;De Waele, J. J.&lt;/author&gt;&lt;/authors&gt;&lt;/contributors&gt;&lt;auth-address&gt;Intensive Care Unit 1K12-C, Ghent University Hospital, De Pintelaan 185, 9000, Gent, Belgium.&lt;/auth-address&gt;&lt;titles&gt;&lt;title&gt;The effect of neuromuscular blockers in patients with intra-abdominal hypertension&lt;/title&gt;&lt;secondary-title&gt;Intensive Care Med&lt;/secondary-title&gt;&lt;/titles&gt;&lt;periodical&gt;&lt;full-title&gt;Intensive Care Med&lt;/full-title&gt;&lt;/periodical&gt;&lt;pages&gt;1811-4&lt;/pages&gt;&lt;volume&gt;33&lt;/volume&gt;&lt;number&gt;10&lt;/number&gt;&lt;edition&gt;2007/06/28&lt;/edition&gt;&lt;keywords&gt;&lt;keyword&gt;Abdomen&lt;/keyword&gt;&lt;keyword&gt;Adult&lt;/keyword&gt;&lt;keyword&gt;Aged&lt;/keyword&gt;&lt;keyword&gt;Atracurium/*analogs &amp;amp; derivatives/therapeutic use&lt;/keyword&gt;&lt;keyword&gt;Critical Illness&lt;/keyword&gt;&lt;keyword&gt;Female&lt;/keyword&gt;&lt;keyword&gt;Humans&lt;/keyword&gt;&lt;keyword&gt;Hypertension/*drug therapy&lt;/keyword&gt;&lt;keyword&gt;Intensive Care Units&lt;/keyword&gt;&lt;keyword&gt;Male&lt;/keyword&gt;&lt;keyword&gt;Middle Aged&lt;/keyword&gt;&lt;keyword&gt;Neuromuscular Blocking Agents/*therapeutic use&lt;/keyword&gt;&lt;keyword&gt;Prospective Studies&lt;/keyword&gt;&lt;/keywords&gt;&lt;dates&gt;&lt;year&gt;2007&lt;/year&gt;&lt;pub-dates&gt;&lt;date&gt;Oct&lt;/date&gt;&lt;/pub-dates&gt;&lt;/dates&gt;&lt;isbn&gt;0342-4642 (Print)&lt;/isbn&gt;&lt;accession-num&gt;17594072&lt;/accession-num&gt;&lt;urls&gt;&lt;related-urls&gt;&lt;url&gt;http://www.ncbi.nlm.nih.gov/entrez/query.fcgi?cmd=Retrieve&amp;amp;db=PubMed&amp;amp;dopt=Citation&amp;amp;list_uids=17594072&lt;/url&gt;&lt;/related-urls&gt;&lt;/urls&gt;&lt;electronic-resource-num&gt;10.1007/s00134-007-0758-0&lt;/electronic-resource-num&gt;&lt;language&gt;eng&lt;/language&gt;&lt;/record&gt;&lt;/Cite&gt;&lt;/EndNote&gt;</w:instrText>
      </w:r>
      <w:r w:rsidRPr="00E114D3">
        <w:rPr>
          <w:rFonts w:ascii="Times New Roman" w:hAnsi="Times New Roman" w:cs="Times New Roman"/>
          <w:noProof/>
          <w:sz w:val="24"/>
          <w:szCs w:val="24"/>
        </w:rPr>
        <w:fldChar w:fldCharType="separate"/>
      </w:r>
      <w:r w:rsidR="004C69A5">
        <w:rPr>
          <w:rFonts w:ascii="Times New Roman" w:hAnsi="Times New Roman" w:cs="Times New Roman"/>
          <w:noProof/>
          <w:sz w:val="24"/>
          <w:szCs w:val="24"/>
        </w:rPr>
        <w:t>[</w:t>
      </w:r>
      <w:hyperlink w:anchor="_ENREF_1" w:tooltip="De Laet, 2007 #1947" w:history="1">
        <w:r w:rsidR="004C69A5">
          <w:rPr>
            <w:rFonts w:ascii="Times New Roman" w:hAnsi="Times New Roman" w:cs="Times New Roman"/>
            <w:noProof/>
            <w:sz w:val="24"/>
            <w:szCs w:val="24"/>
          </w:rPr>
          <w:t>1</w:t>
        </w:r>
      </w:hyperlink>
      <w:r w:rsidR="004C69A5">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Although no data yet exists comparing clinical outcomes associated with administration of neuromuscular blocking agents to critically ill adults with IAH, one study suggested that these agents may improve outcomes among severely injured trauma patients [</w:t>
      </w:r>
      <w:r w:rsidRPr="00E114D3">
        <w:rPr>
          <w:rFonts w:ascii="Times New Roman" w:hAnsi="Times New Roman" w:cs="Times New Roman"/>
          <w:noProof/>
          <w:sz w:val="24"/>
          <w:szCs w:val="24"/>
        </w:rPr>
        <w:fldChar w:fldCharType="begin">
          <w:fldData xml:space="preserve">PEVuZE5vdGU+PENpdGU+PEF1dGhvcj5BYm91YXNzYWx5PC9BdXRob3I+PFllYXI+MjAxMDwvWWVh
cj48UmVjTnVtPjExNDk2PC9SZWNOdW0+PERpc3BsYXlUZXh0PlsyXTwvRGlzcGxheVRleHQ+PHJl
Y29yZD48cmVjLW51bWJlcj4xMTQ5NjwvcmVjLW51bWJlcj48Zm9yZWlnbi1rZXlzPjxrZXkgYXBw
PSJFTiIgZGItaWQ9InJkczBleGZ3NXIydHZmZXpkZDVwOWZ6cWFzeHdkNXZ4OTI5MiI+MTE0OTY8
L2tleT48L2ZvcmVpZ24ta2V5cz48cmVmLXR5cGUgbmFtZT0iSm91cm5hbCBBcnRpY2xlIj4xNzwv
cmVmLXR5cGU+PGNvbnRyaWJ1dG9ycz48YXV0aG9ycz48YXV0aG9yPkFib3Vhc3NhbHksIEMuIFQu
PC9hdXRob3I+PGF1dGhvcj5EdXR0b24sIFcuIEQuPC9hdXRob3I+PGF1dGhvcj5aYXlkZnVkaW0s
IFYuPC9hdXRob3I+PGF1dGhvcj5Eb3NzZXR0LCBMLiBBLjwvYXV0aG9yPjxhdXRob3I+TnVuZXos
IFQuIEMuPC9hdXRob3I+PGF1dGhvcj5GbGVtaW5nLCBTLiBCLjwvYXV0aG9yPjxhdXRob3I+Q290
dG9uLCBCLiBBLjwvYXV0aG9yPjwvYXV0aG9ycz48L2NvbnRyaWJ1dG9ycz48YXV0aC1hZGRyZXNz
PkRlcGFydG1lbnQgb2YgU3VyZ2VyeSwgVmFuZGVyYmlsdCBVbml2ZXJzaXR5IFNjaG9vbCBvZiBN
ZWRpY2luZSwgTmFzaHZpbGxlLCBUZW5uZXNzZWUsIFVTQS48L2F1dGgtYWRkcmVzcz48dGl0bGVz
Pjx0aXRsZT5Qb3N0b3BlcmF0aXZlIG5ldXJvbXVzY3VsYXIgYmxvY2tlciB1c2UgaXMgYXNzb2Np
YXRlZCB3aXRoIGhpZ2hlciBwcmltYXJ5IGZhc2NpYWwgY2xvc3VyZSByYXRlcyBhZnRlciBkYW1h
Z2UgY29udHJvbCBsYXBhcm90b215PC90aXRsZT48c2Vjb25kYXJ5LXRpdGxlPlRoZSBKb3VybmFs
IG9mIHRyYXVtYTwvc2Vjb25kYXJ5LXRpdGxlPjxhbHQtdGl0bGU+SiBUcmF1bWE8L2FsdC10aXRs
ZT48L3RpdGxlcz48YWx0LXBlcmlvZGljYWw+PGZ1bGwtdGl0bGU+SiBUcmF1bWE8L2Z1bGwtdGl0
bGU+PC9hbHQtcGVyaW9kaWNhbD48cGFnZXM+NTU3LTYxPC9wYWdlcz48dm9sdW1lPjY5PC92b2x1
bWU+PG51bWJlcj4zPC9udW1iZXI+PGVkaXRpb24+MjAxMC8wOS8xNTwvZWRpdGlvbj48a2V5d29y
ZHM+PGtleXdvcmQ+QWR1bHQ8L2tleXdvcmQ+PGtleXdvcmQ+RmFzY2lhLyppbmp1cmllcy9zdXJn
ZXJ5PC9rZXl3b3JkPjxrZXl3b3JkPkZlbWFsZTwva2V5d29yZD48a2V5d29yZD5IdW1hbnM8L2tl
eXdvcmQ+PGtleXdvcmQ+TGFwYXJvdG9teS9tZXRob2RzPC9rZXl3b3JkPjxrZXl3b3JkPkxlbmd0
aCBvZiBTdGF5PC9rZXl3b3JkPjxrZXl3b3JkPkxpbmVhciBNb2RlbHM8L2tleXdvcmQ+PGtleXdv
cmQ+TG9naXN0aWMgTW9kZWxzPC9rZXl3b3JkPjxrZXl3b3JkPk1hbGU8L2tleXdvcmQ+PGtleXdv
cmQ+TWlkZGxlIEFnZWQ8L2tleXdvcmQ+PGtleXdvcmQ+TmV1cm9tdXNjdWxhciBCbG9ja2luZyBB
Z2VudHMvKnRoZXJhcGV1dGljIHVzZTwva2V5d29yZD48a2V5d29yZD5PZGRzIFJhdGlvPC9rZXl3
b3JkPjxrZXl3b3JkPlBvc3RvcGVyYXRpdmUgQ2FyZS9tZXRob2RzPC9rZXl3b3JkPjxrZXl3b3Jk
PlJldHJvc3BlY3RpdmUgU3R1ZGllczwva2V5d29yZD48a2V5d29yZD5TdXJnaWNhbCBXb3VuZCBE
ZWhpc2NlbmNlL3ByZXZlbnRpb24gJmFtcDsgY29udHJvbDwva2V5d29yZD48a2V5d29yZD5UaW1l
IEZhY3RvcnM8L2tleXdvcmQ+PGtleXdvcmQ+V291bmQgSGVhbGluZy8qZHJ1ZyBlZmZlY3RzPC9r
ZXl3b3JkPjxrZXl3b3JkPldvdW5kcywgUGVuZXRyYXRpbmcvZHJ1ZyB0aGVyYXB5LypzdXJnZXJ5
PC9rZXl3b3JkPjxrZXl3b3JkPllvdW5nIEFkdWx0PC9rZXl3b3JkPjwva2V5d29yZHM+PGRhdGVz
Pjx5ZWFyPjIwMTA8L3llYXI+PHB1Yi1kYXRlcz48ZGF0ZT5TZXA8L2RhdGU+PC9wdWItZGF0ZXM+
PC9kYXRlcz48aXNibj4xNTI5LTg4MDkgKEVsZWN0cm9uaWMpJiN4RDswMDIyLTUyODIgKExpbmtp
bmcpPC9pc2JuPjxhY2Nlc3Npb24tbnVtPjIwODM4MTI2PC9hY2Nlc3Npb24tbnVtPjx3b3JrLXR5
cGU+Q2xpbmljYWwgVHJpYWw8L3dvcmstdHlwZT48dXJscz48cmVsYXRlZC11cmxzPjx1cmw+aHR0
cDovL3d3dy5uY2JpLm5sbS5uaWguZ292L3B1Ym1lZC8yMDgzODEyNjwvdXJsPjwvcmVsYXRlZC11
cmxzPjwvdXJscz48ZWxlY3Ryb25pYy1yZXNvdXJjZS1udW0+MTAuMTA5Ny9UQS4wYjAxM2UzMTgx
ZTc3Y2E0PC9lbGVjdHJvbmljLXJlc291cmNlLW51bT48bGFuZ3VhZ2U+ZW5nPC9sYW5ndWFnZT48
L3JlY29yZD48L0NpdGU+PC9FbmROb3RlPn==
</w:fldData>
        </w:fldChar>
      </w:r>
      <w:r w:rsidR="004C69A5">
        <w:rPr>
          <w:rFonts w:ascii="Times New Roman" w:hAnsi="Times New Roman" w:cs="Times New Roman"/>
          <w:noProof/>
          <w:sz w:val="24"/>
          <w:szCs w:val="24"/>
        </w:rPr>
        <w:instrText xml:space="preserve"> ADDIN EN.CITE </w:instrText>
      </w:r>
      <w:r w:rsidR="004C69A5">
        <w:rPr>
          <w:rFonts w:ascii="Times New Roman" w:hAnsi="Times New Roman" w:cs="Times New Roman"/>
          <w:noProof/>
          <w:sz w:val="24"/>
          <w:szCs w:val="24"/>
        </w:rPr>
        <w:fldChar w:fldCharType="begin">
          <w:fldData xml:space="preserve">PEVuZE5vdGU+PENpdGU+PEF1dGhvcj5BYm91YXNzYWx5PC9BdXRob3I+PFllYXI+MjAxMDwvWWVh
cj48UmVjTnVtPjExNDk2PC9SZWNOdW0+PERpc3BsYXlUZXh0PlsyXTwvRGlzcGxheVRleHQ+PHJl
Y29yZD48cmVjLW51bWJlcj4xMTQ5NjwvcmVjLW51bWJlcj48Zm9yZWlnbi1rZXlzPjxrZXkgYXBw
PSJFTiIgZGItaWQ9InJkczBleGZ3NXIydHZmZXpkZDVwOWZ6cWFzeHdkNXZ4OTI5MiI+MTE0OTY8
L2tleT48L2ZvcmVpZ24ta2V5cz48cmVmLXR5cGUgbmFtZT0iSm91cm5hbCBBcnRpY2xlIj4xNzwv
cmVmLXR5cGU+PGNvbnRyaWJ1dG9ycz48YXV0aG9ycz48YXV0aG9yPkFib3Vhc3NhbHksIEMuIFQu
PC9hdXRob3I+PGF1dGhvcj5EdXR0b24sIFcuIEQuPC9hdXRob3I+PGF1dGhvcj5aYXlkZnVkaW0s
IFYuPC9hdXRob3I+PGF1dGhvcj5Eb3NzZXR0LCBMLiBBLjwvYXV0aG9yPjxhdXRob3I+TnVuZXos
IFQuIEMuPC9hdXRob3I+PGF1dGhvcj5GbGVtaW5nLCBTLiBCLjwvYXV0aG9yPjxhdXRob3I+Q290
dG9uLCBCLiBBLjwvYXV0aG9yPjwvYXV0aG9ycz48L2NvbnRyaWJ1dG9ycz48YXV0aC1hZGRyZXNz
PkRlcGFydG1lbnQgb2YgU3VyZ2VyeSwgVmFuZGVyYmlsdCBVbml2ZXJzaXR5IFNjaG9vbCBvZiBN
ZWRpY2luZSwgTmFzaHZpbGxlLCBUZW5uZXNzZWUsIFVTQS48L2F1dGgtYWRkcmVzcz48dGl0bGVz
Pjx0aXRsZT5Qb3N0b3BlcmF0aXZlIG5ldXJvbXVzY3VsYXIgYmxvY2tlciB1c2UgaXMgYXNzb2Np
YXRlZCB3aXRoIGhpZ2hlciBwcmltYXJ5IGZhc2NpYWwgY2xvc3VyZSByYXRlcyBhZnRlciBkYW1h
Z2UgY29udHJvbCBsYXBhcm90b215PC90aXRsZT48c2Vjb25kYXJ5LXRpdGxlPlRoZSBKb3VybmFs
IG9mIHRyYXVtYTwvc2Vjb25kYXJ5LXRpdGxlPjxhbHQtdGl0bGU+SiBUcmF1bWE8L2FsdC10aXRs
ZT48L3RpdGxlcz48YWx0LXBlcmlvZGljYWw+PGZ1bGwtdGl0bGU+SiBUcmF1bWE8L2Z1bGwtdGl0
bGU+PC9hbHQtcGVyaW9kaWNhbD48cGFnZXM+NTU3LTYxPC9wYWdlcz48dm9sdW1lPjY5PC92b2x1
bWU+PG51bWJlcj4zPC9udW1iZXI+PGVkaXRpb24+MjAxMC8wOS8xNTwvZWRpdGlvbj48a2V5d29y
ZHM+PGtleXdvcmQ+QWR1bHQ8L2tleXdvcmQ+PGtleXdvcmQ+RmFzY2lhLyppbmp1cmllcy9zdXJn
ZXJ5PC9rZXl3b3JkPjxrZXl3b3JkPkZlbWFsZTwva2V5d29yZD48a2V5d29yZD5IdW1hbnM8L2tl
eXdvcmQ+PGtleXdvcmQ+TGFwYXJvdG9teS9tZXRob2RzPC9rZXl3b3JkPjxrZXl3b3JkPkxlbmd0
aCBvZiBTdGF5PC9rZXl3b3JkPjxrZXl3b3JkPkxpbmVhciBNb2RlbHM8L2tleXdvcmQ+PGtleXdv
cmQ+TG9naXN0aWMgTW9kZWxzPC9rZXl3b3JkPjxrZXl3b3JkPk1hbGU8L2tleXdvcmQ+PGtleXdv
cmQ+TWlkZGxlIEFnZWQ8L2tleXdvcmQ+PGtleXdvcmQ+TmV1cm9tdXNjdWxhciBCbG9ja2luZyBB
Z2VudHMvKnRoZXJhcGV1dGljIHVzZTwva2V5d29yZD48a2V5d29yZD5PZGRzIFJhdGlvPC9rZXl3
b3JkPjxrZXl3b3JkPlBvc3RvcGVyYXRpdmUgQ2FyZS9tZXRob2RzPC9rZXl3b3JkPjxrZXl3b3Jk
PlJldHJvc3BlY3RpdmUgU3R1ZGllczwva2V5d29yZD48a2V5d29yZD5TdXJnaWNhbCBXb3VuZCBE
ZWhpc2NlbmNlL3ByZXZlbnRpb24gJmFtcDsgY29udHJvbDwva2V5d29yZD48a2V5d29yZD5UaW1l
IEZhY3RvcnM8L2tleXdvcmQ+PGtleXdvcmQ+V291bmQgSGVhbGluZy8qZHJ1ZyBlZmZlY3RzPC9r
ZXl3b3JkPjxrZXl3b3JkPldvdW5kcywgUGVuZXRyYXRpbmcvZHJ1ZyB0aGVyYXB5LypzdXJnZXJ5
PC9rZXl3b3JkPjxrZXl3b3JkPllvdW5nIEFkdWx0PC9rZXl3b3JkPjwva2V5d29yZHM+PGRhdGVz
Pjx5ZWFyPjIwMTA8L3llYXI+PHB1Yi1kYXRlcz48ZGF0ZT5TZXA8L2RhdGU+PC9wdWItZGF0ZXM+
PC9kYXRlcz48aXNibj4xNTI5LTg4MDkgKEVsZWN0cm9uaWMpJiN4RDswMDIyLTUyODIgKExpbmtp
bmcpPC9pc2JuPjxhY2Nlc3Npb24tbnVtPjIwODM4MTI2PC9hY2Nlc3Npb24tbnVtPjx3b3JrLXR5
cGU+Q2xpbmljYWwgVHJpYWw8L3dvcmstdHlwZT48dXJscz48cmVsYXRlZC11cmxzPjx1cmw+aHR0
cDovL3d3dy5uY2JpLm5sbS5uaWguZ292L3B1Ym1lZC8yMDgzODEyNjwvdXJsPjwvcmVsYXRlZC11
cmxzPjwvdXJscz48ZWxlY3Ryb25pYy1yZXNvdXJjZS1udW0+MTAuMTA5Ny9UQS4wYjAxM2UzMTgx
ZTc3Y2E0PC9lbGVjdHJvbmljLXJlc291cmNlLW51bT48bGFuZ3VhZ2U+ZW5nPC9sYW5ndWFnZT48
L3JlY29yZD48L0NpdGU+PC9FbmROb3RlPn==
</w:fldData>
        </w:fldChar>
      </w:r>
      <w:r w:rsidR="004C69A5">
        <w:rPr>
          <w:rFonts w:ascii="Times New Roman" w:hAnsi="Times New Roman" w:cs="Times New Roman"/>
          <w:noProof/>
          <w:sz w:val="24"/>
          <w:szCs w:val="24"/>
        </w:rPr>
        <w:instrText xml:space="preserve"> ADDIN EN.CITE.DATA </w:instrText>
      </w:r>
      <w:r w:rsidR="004C69A5">
        <w:rPr>
          <w:rFonts w:ascii="Times New Roman" w:hAnsi="Times New Roman" w:cs="Times New Roman"/>
          <w:noProof/>
          <w:sz w:val="24"/>
          <w:szCs w:val="24"/>
        </w:rPr>
      </w:r>
      <w:r w:rsidR="004C69A5">
        <w:rPr>
          <w:rFonts w:ascii="Times New Roman" w:hAnsi="Times New Roman" w:cs="Times New Roman"/>
          <w:noProof/>
          <w:sz w:val="24"/>
          <w:szCs w:val="24"/>
        </w:rPr>
        <w:fldChar w:fldCharType="end"/>
      </w:r>
      <w:r w:rsidRPr="00E114D3">
        <w:rPr>
          <w:rFonts w:ascii="Times New Roman" w:hAnsi="Times New Roman" w:cs="Times New Roman"/>
          <w:noProof/>
          <w:sz w:val="24"/>
          <w:szCs w:val="24"/>
        </w:rPr>
        <w:fldChar w:fldCharType="separate"/>
      </w:r>
      <w:r w:rsidR="004C69A5">
        <w:rPr>
          <w:rFonts w:ascii="Times New Roman" w:hAnsi="Times New Roman" w:cs="Times New Roman"/>
          <w:noProof/>
          <w:sz w:val="24"/>
          <w:szCs w:val="24"/>
        </w:rPr>
        <w:t>[</w:t>
      </w:r>
      <w:hyperlink w:anchor="_ENREF_2" w:tooltip="Abouassaly, 2010 #11496" w:history="1">
        <w:r w:rsidR="004C69A5">
          <w:rPr>
            <w:rFonts w:ascii="Times New Roman" w:hAnsi="Times New Roman" w:cs="Times New Roman"/>
            <w:noProof/>
            <w:sz w:val="24"/>
            <w:szCs w:val="24"/>
          </w:rPr>
          <w:t>2</w:t>
        </w:r>
      </w:hyperlink>
      <w:r w:rsidR="004C69A5">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This retrospective cohort study reported that adult trauma patients who received a continuous infusion of a neuromuscular blocking antagonist in the first 24 hours after a damage control laparotomy had a reduced number of days with an open abdomen and were more likely to achieve fascial closure at day 7 (93% versus 83%, p=0.023) as compared to those who did not receive such an infusion [</w:t>
      </w:r>
      <w:r w:rsidRPr="00E114D3">
        <w:rPr>
          <w:rFonts w:ascii="Times New Roman" w:hAnsi="Times New Roman" w:cs="Times New Roman"/>
          <w:noProof/>
          <w:sz w:val="24"/>
          <w:szCs w:val="24"/>
        </w:rPr>
        <w:fldChar w:fldCharType="begin">
          <w:fldData xml:space="preserve">PEVuZE5vdGU+PENpdGU+PEF1dGhvcj5BYm91YXNzYWx5PC9BdXRob3I+PFllYXI+MjAxMDwvWWVh
cj48UmVjTnVtPjExNDk2PC9SZWNOdW0+PERpc3BsYXlUZXh0PlsyXTwvRGlzcGxheVRleHQ+PHJl
Y29yZD48cmVjLW51bWJlcj4xMTQ5NjwvcmVjLW51bWJlcj48Zm9yZWlnbi1rZXlzPjxrZXkgYXBw
PSJFTiIgZGItaWQ9InJkczBleGZ3NXIydHZmZXpkZDVwOWZ6cWFzeHdkNXZ4OTI5MiI+MTE0OTY8
L2tleT48L2ZvcmVpZ24ta2V5cz48cmVmLXR5cGUgbmFtZT0iSm91cm5hbCBBcnRpY2xlIj4xNzwv
cmVmLXR5cGU+PGNvbnRyaWJ1dG9ycz48YXV0aG9ycz48YXV0aG9yPkFib3Vhc3NhbHksIEMuIFQu
PC9hdXRob3I+PGF1dGhvcj5EdXR0b24sIFcuIEQuPC9hdXRob3I+PGF1dGhvcj5aYXlkZnVkaW0s
IFYuPC9hdXRob3I+PGF1dGhvcj5Eb3NzZXR0LCBMLiBBLjwvYXV0aG9yPjxhdXRob3I+TnVuZXos
IFQuIEMuPC9hdXRob3I+PGF1dGhvcj5GbGVtaW5nLCBTLiBCLjwvYXV0aG9yPjxhdXRob3I+Q290
dG9uLCBCLiBBLjwvYXV0aG9yPjwvYXV0aG9ycz48L2NvbnRyaWJ1dG9ycz48YXV0aC1hZGRyZXNz
PkRlcGFydG1lbnQgb2YgU3VyZ2VyeSwgVmFuZGVyYmlsdCBVbml2ZXJzaXR5IFNjaG9vbCBvZiBN
ZWRpY2luZSwgTmFzaHZpbGxlLCBUZW5uZXNzZWUsIFVTQS48L2F1dGgtYWRkcmVzcz48dGl0bGVz
Pjx0aXRsZT5Qb3N0b3BlcmF0aXZlIG5ldXJvbXVzY3VsYXIgYmxvY2tlciB1c2UgaXMgYXNzb2Np
YXRlZCB3aXRoIGhpZ2hlciBwcmltYXJ5IGZhc2NpYWwgY2xvc3VyZSByYXRlcyBhZnRlciBkYW1h
Z2UgY29udHJvbCBsYXBhcm90b215PC90aXRsZT48c2Vjb25kYXJ5LXRpdGxlPlRoZSBKb3VybmFs
IG9mIHRyYXVtYTwvc2Vjb25kYXJ5LXRpdGxlPjxhbHQtdGl0bGU+SiBUcmF1bWE8L2FsdC10aXRs
ZT48L3RpdGxlcz48YWx0LXBlcmlvZGljYWw+PGZ1bGwtdGl0bGU+SiBUcmF1bWE8L2Z1bGwtdGl0
bGU+PC9hbHQtcGVyaW9kaWNhbD48cGFnZXM+NTU3LTYxPC9wYWdlcz48dm9sdW1lPjY5PC92b2x1
bWU+PG51bWJlcj4zPC9udW1iZXI+PGVkaXRpb24+MjAxMC8wOS8xNTwvZWRpdGlvbj48a2V5d29y
ZHM+PGtleXdvcmQ+QWR1bHQ8L2tleXdvcmQ+PGtleXdvcmQ+RmFzY2lhLyppbmp1cmllcy9zdXJn
ZXJ5PC9rZXl3b3JkPjxrZXl3b3JkPkZlbWFsZTwva2V5d29yZD48a2V5d29yZD5IdW1hbnM8L2tl
eXdvcmQ+PGtleXdvcmQ+TGFwYXJvdG9teS9tZXRob2RzPC9rZXl3b3JkPjxrZXl3b3JkPkxlbmd0
aCBvZiBTdGF5PC9rZXl3b3JkPjxrZXl3b3JkPkxpbmVhciBNb2RlbHM8L2tleXdvcmQ+PGtleXdv
cmQ+TG9naXN0aWMgTW9kZWxzPC9rZXl3b3JkPjxrZXl3b3JkPk1hbGU8L2tleXdvcmQ+PGtleXdv
cmQ+TWlkZGxlIEFnZWQ8L2tleXdvcmQ+PGtleXdvcmQ+TmV1cm9tdXNjdWxhciBCbG9ja2luZyBB
Z2VudHMvKnRoZXJhcGV1dGljIHVzZTwva2V5d29yZD48a2V5d29yZD5PZGRzIFJhdGlvPC9rZXl3
b3JkPjxrZXl3b3JkPlBvc3RvcGVyYXRpdmUgQ2FyZS9tZXRob2RzPC9rZXl3b3JkPjxrZXl3b3Jk
PlJldHJvc3BlY3RpdmUgU3R1ZGllczwva2V5d29yZD48a2V5d29yZD5TdXJnaWNhbCBXb3VuZCBE
ZWhpc2NlbmNlL3ByZXZlbnRpb24gJmFtcDsgY29udHJvbDwva2V5d29yZD48a2V5d29yZD5UaW1l
IEZhY3RvcnM8L2tleXdvcmQ+PGtleXdvcmQ+V291bmQgSGVhbGluZy8qZHJ1ZyBlZmZlY3RzPC9r
ZXl3b3JkPjxrZXl3b3JkPldvdW5kcywgUGVuZXRyYXRpbmcvZHJ1ZyB0aGVyYXB5LypzdXJnZXJ5
PC9rZXl3b3JkPjxrZXl3b3JkPllvdW5nIEFkdWx0PC9rZXl3b3JkPjwva2V5d29yZHM+PGRhdGVz
Pjx5ZWFyPjIwMTA8L3llYXI+PHB1Yi1kYXRlcz48ZGF0ZT5TZXA8L2RhdGU+PC9wdWItZGF0ZXM+
PC9kYXRlcz48aXNibj4xNTI5LTg4MDkgKEVsZWN0cm9uaWMpJiN4RDswMDIyLTUyODIgKExpbmtp
bmcpPC9pc2JuPjxhY2Nlc3Npb24tbnVtPjIwODM4MTI2PC9hY2Nlc3Npb24tbnVtPjx3b3JrLXR5
cGU+Q2xpbmljYWwgVHJpYWw8L3dvcmstdHlwZT48dXJscz48cmVsYXRlZC11cmxzPjx1cmw+aHR0
cDovL3d3dy5uY2JpLm5sbS5uaWguZ292L3B1Ym1lZC8yMDgzODEyNjwvdXJsPjwvcmVsYXRlZC11
cmxzPjwvdXJscz48ZWxlY3Ryb25pYy1yZXNvdXJjZS1udW0+MTAuMTA5Ny9UQS4wYjAxM2UzMTgx
ZTc3Y2E0PC9lbGVjdHJvbmljLXJlc291cmNlLW51bT48bGFuZ3VhZ2U+ZW5nPC9sYW5ndWFnZT48
L3JlY29yZD48L0NpdGU+PC9FbmROb3RlPn==
</w:fldData>
        </w:fldChar>
      </w:r>
      <w:r w:rsidR="004C69A5">
        <w:rPr>
          <w:rFonts w:ascii="Times New Roman" w:hAnsi="Times New Roman" w:cs="Times New Roman"/>
          <w:noProof/>
          <w:sz w:val="24"/>
          <w:szCs w:val="24"/>
        </w:rPr>
        <w:instrText xml:space="preserve"> ADDIN EN.CITE </w:instrText>
      </w:r>
      <w:r w:rsidR="004C69A5">
        <w:rPr>
          <w:rFonts w:ascii="Times New Roman" w:hAnsi="Times New Roman" w:cs="Times New Roman"/>
          <w:noProof/>
          <w:sz w:val="24"/>
          <w:szCs w:val="24"/>
        </w:rPr>
        <w:fldChar w:fldCharType="begin">
          <w:fldData xml:space="preserve">PEVuZE5vdGU+PENpdGU+PEF1dGhvcj5BYm91YXNzYWx5PC9BdXRob3I+PFllYXI+MjAxMDwvWWVh
cj48UmVjTnVtPjExNDk2PC9SZWNOdW0+PERpc3BsYXlUZXh0PlsyXTwvRGlzcGxheVRleHQ+PHJl
Y29yZD48cmVjLW51bWJlcj4xMTQ5NjwvcmVjLW51bWJlcj48Zm9yZWlnbi1rZXlzPjxrZXkgYXBw
PSJFTiIgZGItaWQ9InJkczBleGZ3NXIydHZmZXpkZDVwOWZ6cWFzeHdkNXZ4OTI5MiI+MTE0OTY8
L2tleT48L2ZvcmVpZ24ta2V5cz48cmVmLXR5cGUgbmFtZT0iSm91cm5hbCBBcnRpY2xlIj4xNzwv
cmVmLXR5cGU+PGNvbnRyaWJ1dG9ycz48YXV0aG9ycz48YXV0aG9yPkFib3Vhc3NhbHksIEMuIFQu
PC9hdXRob3I+PGF1dGhvcj5EdXR0b24sIFcuIEQuPC9hdXRob3I+PGF1dGhvcj5aYXlkZnVkaW0s
IFYuPC9hdXRob3I+PGF1dGhvcj5Eb3NzZXR0LCBMLiBBLjwvYXV0aG9yPjxhdXRob3I+TnVuZXos
IFQuIEMuPC9hdXRob3I+PGF1dGhvcj5GbGVtaW5nLCBTLiBCLjwvYXV0aG9yPjxhdXRob3I+Q290
dG9uLCBCLiBBLjwvYXV0aG9yPjwvYXV0aG9ycz48L2NvbnRyaWJ1dG9ycz48YXV0aC1hZGRyZXNz
PkRlcGFydG1lbnQgb2YgU3VyZ2VyeSwgVmFuZGVyYmlsdCBVbml2ZXJzaXR5IFNjaG9vbCBvZiBN
ZWRpY2luZSwgTmFzaHZpbGxlLCBUZW5uZXNzZWUsIFVTQS48L2F1dGgtYWRkcmVzcz48dGl0bGVz
Pjx0aXRsZT5Qb3N0b3BlcmF0aXZlIG5ldXJvbXVzY3VsYXIgYmxvY2tlciB1c2UgaXMgYXNzb2Np
YXRlZCB3aXRoIGhpZ2hlciBwcmltYXJ5IGZhc2NpYWwgY2xvc3VyZSByYXRlcyBhZnRlciBkYW1h
Z2UgY29udHJvbCBsYXBhcm90b215PC90aXRsZT48c2Vjb25kYXJ5LXRpdGxlPlRoZSBKb3VybmFs
IG9mIHRyYXVtYTwvc2Vjb25kYXJ5LXRpdGxlPjxhbHQtdGl0bGU+SiBUcmF1bWE8L2FsdC10aXRs
ZT48L3RpdGxlcz48YWx0LXBlcmlvZGljYWw+PGZ1bGwtdGl0bGU+SiBUcmF1bWE8L2Z1bGwtdGl0
bGU+PC9hbHQtcGVyaW9kaWNhbD48cGFnZXM+NTU3LTYxPC9wYWdlcz48dm9sdW1lPjY5PC92b2x1
bWU+PG51bWJlcj4zPC9udW1iZXI+PGVkaXRpb24+MjAxMC8wOS8xNTwvZWRpdGlvbj48a2V5d29y
ZHM+PGtleXdvcmQ+QWR1bHQ8L2tleXdvcmQ+PGtleXdvcmQ+RmFzY2lhLyppbmp1cmllcy9zdXJn
ZXJ5PC9rZXl3b3JkPjxrZXl3b3JkPkZlbWFsZTwva2V5d29yZD48a2V5d29yZD5IdW1hbnM8L2tl
eXdvcmQ+PGtleXdvcmQ+TGFwYXJvdG9teS9tZXRob2RzPC9rZXl3b3JkPjxrZXl3b3JkPkxlbmd0
aCBvZiBTdGF5PC9rZXl3b3JkPjxrZXl3b3JkPkxpbmVhciBNb2RlbHM8L2tleXdvcmQ+PGtleXdv
cmQ+TG9naXN0aWMgTW9kZWxzPC9rZXl3b3JkPjxrZXl3b3JkPk1hbGU8L2tleXdvcmQ+PGtleXdv
cmQ+TWlkZGxlIEFnZWQ8L2tleXdvcmQ+PGtleXdvcmQ+TmV1cm9tdXNjdWxhciBCbG9ja2luZyBB
Z2VudHMvKnRoZXJhcGV1dGljIHVzZTwva2V5d29yZD48a2V5d29yZD5PZGRzIFJhdGlvPC9rZXl3
b3JkPjxrZXl3b3JkPlBvc3RvcGVyYXRpdmUgQ2FyZS9tZXRob2RzPC9rZXl3b3JkPjxrZXl3b3Jk
PlJldHJvc3BlY3RpdmUgU3R1ZGllczwva2V5d29yZD48a2V5d29yZD5TdXJnaWNhbCBXb3VuZCBE
ZWhpc2NlbmNlL3ByZXZlbnRpb24gJmFtcDsgY29udHJvbDwva2V5d29yZD48a2V5d29yZD5UaW1l
IEZhY3RvcnM8L2tleXdvcmQ+PGtleXdvcmQ+V291bmQgSGVhbGluZy8qZHJ1ZyBlZmZlY3RzPC9r
ZXl3b3JkPjxrZXl3b3JkPldvdW5kcywgUGVuZXRyYXRpbmcvZHJ1ZyB0aGVyYXB5LypzdXJnZXJ5
PC9rZXl3b3JkPjxrZXl3b3JkPllvdW5nIEFkdWx0PC9rZXl3b3JkPjwva2V5d29yZHM+PGRhdGVz
Pjx5ZWFyPjIwMTA8L3llYXI+PHB1Yi1kYXRlcz48ZGF0ZT5TZXA8L2RhdGU+PC9wdWItZGF0ZXM+
PC9kYXRlcz48aXNibj4xNTI5LTg4MDkgKEVsZWN0cm9uaWMpJiN4RDswMDIyLTUyODIgKExpbmtp
bmcpPC9pc2JuPjxhY2Nlc3Npb24tbnVtPjIwODM4MTI2PC9hY2Nlc3Npb24tbnVtPjx3b3JrLXR5
cGU+Q2xpbmljYWwgVHJpYWw8L3dvcmstdHlwZT48dXJscz48cmVsYXRlZC11cmxzPjx1cmw+aHR0
cDovL3d3dy5uY2JpLm5sbS5uaWguZ292L3B1Ym1lZC8yMDgzODEyNjwvdXJsPjwvcmVsYXRlZC11
cmxzPjwvdXJscz48ZWxlY3Ryb25pYy1yZXNvdXJjZS1udW0+MTAuMTA5Ny9UQS4wYjAxM2UzMTgx
ZTc3Y2E0PC9lbGVjdHJvbmljLXJlc291cmNlLW51bT48bGFuZ3VhZ2U+ZW5nPC9sYW5ndWFnZT48
L3JlY29yZD48L0NpdGU+PC9FbmROb3RlPn==
</w:fldData>
        </w:fldChar>
      </w:r>
      <w:r w:rsidR="004C69A5">
        <w:rPr>
          <w:rFonts w:ascii="Times New Roman" w:hAnsi="Times New Roman" w:cs="Times New Roman"/>
          <w:noProof/>
          <w:sz w:val="24"/>
          <w:szCs w:val="24"/>
        </w:rPr>
        <w:instrText xml:space="preserve"> ADDIN EN.CITE.DATA </w:instrText>
      </w:r>
      <w:r w:rsidR="004C69A5">
        <w:rPr>
          <w:rFonts w:ascii="Times New Roman" w:hAnsi="Times New Roman" w:cs="Times New Roman"/>
          <w:noProof/>
          <w:sz w:val="24"/>
          <w:szCs w:val="24"/>
        </w:rPr>
      </w:r>
      <w:r w:rsidR="004C69A5">
        <w:rPr>
          <w:rFonts w:ascii="Times New Roman" w:hAnsi="Times New Roman" w:cs="Times New Roman"/>
          <w:noProof/>
          <w:sz w:val="24"/>
          <w:szCs w:val="24"/>
        </w:rPr>
        <w:fldChar w:fldCharType="end"/>
      </w:r>
      <w:r w:rsidRPr="00E114D3">
        <w:rPr>
          <w:rFonts w:ascii="Times New Roman" w:hAnsi="Times New Roman" w:cs="Times New Roman"/>
          <w:noProof/>
          <w:sz w:val="24"/>
          <w:szCs w:val="24"/>
        </w:rPr>
        <w:fldChar w:fldCharType="separate"/>
      </w:r>
      <w:r w:rsidR="004C69A5">
        <w:rPr>
          <w:rFonts w:ascii="Times New Roman" w:hAnsi="Times New Roman" w:cs="Times New Roman"/>
          <w:noProof/>
          <w:sz w:val="24"/>
          <w:szCs w:val="24"/>
        </w:rPr>
        <w:t>[</w:t>
      </w:r>
      <w:hyperlink w:anchor="_ENREF_2" w:tooltip="Abouassaly, 2010 #11496" w:history="1">
        <w:r w:rsidR="004C69A5">
          <w:rPr>
            <w:rFonts w:ascii="Times New Roman" w:hAnsi="Times New Roman" w:cs="Times New Roman"/>
            <w:noProof/>
            <w:sz w:val="24"/>
            <w:szCs w:val="24"/>
          </w:rPr>
          <w:t>2</w:t>
        </w:r>
      </w:hyperlink>
      <w:r w:rsidR="004C69A5">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xml:space="preserve">].  </w:t>
      </w:r>
    </w:p>
    <w:p w:rsidR="00961B4A" w:rsidRPr="00C11C82" w:rsidRDefault="00961B4A" w:rsidP="00961B4A">
      <w:pPr>
        <w:spacing w:after="0" w:line="480" w:lineRule="auto"/>
        <w:rPr>
          <w:rFonts w:ascii="Times New Roman" w:hAnsi="Times New Roman" w:cs="Times New Roman"/>
          <w:b/>
          <w:bCs/>
          <w:noProof/>
          <w:sz w:val="24"/>
          <w:szCs w:val="24"/>
        </w:rPr>
      </w:pPr>
    </w:p>
    <w:p w:rsidR="00961B4A" w:rsidRPr="00C11C82" w:rsidRDefault="00961B4A" w:rsidP="00961B4A">
      <w:pPr>
        <w:spacing w:after="0" w:line="480" w:lineRule="auto"/>
        <w:rPr>
          <w:rFonts w:ascii="Times New Roman" w:hAnsi="Times New Roman" w:cs="Times New Roman"/>
          <w:b/>
          <w:bCs/>
          <w:noProof/>
          <w:sz w:val="24"/>
          <w:szCs w:val="24"/>
        </w:rPr>
      </w:pPr>
      <w:r w:rsidRPr="00C11C82">
        <w:rPr>
          <w:rFonts w:ascii="Times New Roman" w:hAnsi="Times New Roman" w:cs="Times New Roman"/>
          <w:b/>
          <w:bCs/>
          <w:noProof/>
          <w:sz w:val="24"/>
          <w:szCs w:val="24"/>
        </w:rPr>
        <w:t>Recommendation:</w:t>
      </w:r>
    </w:p>
    <w:p w:rsidR="00961B4A" w:rsidRPr="00E114D3" w:rsidRDefault="00961B4A" w:rsidP="00961B4A">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C11C82">
        <w:rPr>
          <w:rFonts w:ascii="Times New Roman" w:hAnsi="Times New Roman" w:cs="Times New Roman"/>
          <w:noProof/>
          <w:sz w:val="24"/>
          <w:szCs w:val="24"/>
        </w:rPr>
        <w:t xml:space="preserve">Thus the WSACS continues to </w:t>
      </w:r>
      <w:r w:rsidRPr="00C11C82">
        <w:rPr>
          <w:rFonts w:ascii="Times New Roman" w:hAnsi="Times New Roman" w:cs="Times New Roman"/>
          <w:b/>
          <w:bCs/>
          <w:noProof/>
          <w:sz w:val="24"/>
          <w:szCs w:val="24"/>
          <w:highlight w:val="lightGray"/>
        </w:rPr>
        <w:t>SUGGEST (GRADE 2D) brief trials of neuromuscular blockade as a temporizing measure in the treatment of IAH (Management Suggestion 2).</w:t>
      </w:r>
    </w:p>
    <w:p w:rsidR="00961B4A" w:rsidRPr="00E114D3" w:rsidRDefault="00961B4A" w:rsidP="00961B4A">
      <w:pPr>
        <w:spacing w:after="0" w:line="480" w:lineRule="auto"/>
        <w:rPr>
          <w:rFonts w:ascii="Times New Roman" w:hAnsi="Times New Roman" w:cs="Times New Roman"/>
          <w:b/>
          <w:bCs/>
          <w:noProof/>
          <w:sz w:val="24"/>
          <w:szCs w:val="24"/>
        </w:rPr>
      </w:pPr>
    </w:p>
    <w:p w:rsidR="00961B4A" w:rsidRPr="00E114D3" w:rsidRDefault="00961B4A" w:rsidP="00961B4A">
      <w:pPr>
        <w:spacing w:after="0" w:line="480" w:lineRule="auto"/>
        <w:rPr>
          <w:rFonts w:ascii="Times New Roman" w:hAnsi="Times New Roman" w:cs="Times New Roman"/>
          <w:b/>
          <w:bCs/>
          <w:noProof/>
          <w:sz w:val="24"/>
          <w:szCs w:val="24"/>
        </w:rPr>
      </w:pPr>
      <w:r w:rsidRPr="00E114D3">
        <w:rPr>
          <w:rFonts w:ascii="Times New Roman" w:hAnsi="Times New Roman" w:cs="Times New Roman"/>
          <w:b/>
          <w:bCs/>
          <w:noProof/>
          <w:sz w:val="24"/>
          <w:szCs w:val="24"/>
        </w:rPr>
        <w:t>Rationale:</w:t>
      </w:r>
    </w:p>
    <w:p w:rsidR="00961B4A" w:rsidRDefault="00961B4A" w:rsidP="00961B4A">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lastRenderedPageBreak/>
        <w:tab/>
      </w:r>
      <w:r w:rsidRPr="00E114D3">
        <w:rPr>
          <w:rFonts w:ascii="Times New Roman" w:hAnsi="Times New Roman" w:cs="Times New Roman"/>
          <w:noProof/>
          <w:sz w:val="24"/>
          <w:szCs w:val="24"/>
        </w:rPr>
        <w:t>This intervention was suggested given the potential benefits that may occur by avoiding invasive interventions.  However, the confidence of the panel in this suggestion is low.</w:t>
      </w:r>
    </w:p>
    <w:p w:rsidR="00961B4A" w:rsidRDefault="00961B4A" w:rsidP="00961B4A">
      <w:pPr>
        <w:spacing w:after="0" w:line="480" w:lineRule="auto"/>
        <w:rPr>
          <w:rFonts w:ascii="Times New Roman" w:hAnsi="Times New Roman" w:cs="Times New Roman"/>
          <w:noProof/>
          <w:sz w:val="24"/>
          <w:szCs w:val="24"/>
        </w:rPr>
      </w:pPr>
    </w:p>
    <w:p w:rsidR="00961B4A" w:rsidRPr="00961B4A" w:rsidRDefault="00961B4A" w:rsidP="00961B4A">
      <w:pPr>
        <w:spacing w:after="0" w:line="480" w:lineRule="auto"/>
        <w:rPr>
          <w:rFonts w:ascii="Times New Roman" w:hAnsi="Times New Roman" w:cs="Times New Roman"/>
          <w:b/>
          <w:noProof/>
          <w:sz w:val="24"/>
          <w:szCs w:val="24"/>
        </w:rPr>
      </w:pPr>
      <w:r w:rsidRPr="00961B4A">
        <w:rPr>
          <w:rFonts w:ascii="Times New Roman" w:hAnsi="Times New Roman" w:cs="Times New Roman"/>
          <w:b/>
          <w:noProof/>
          <w:sz w:val="24"/>
          <w:szCs w:val="24"/>
        </w:rPr>
        <w:t>References</w:t>
      </w:r>
    </w:p>
    <w:p w:rsidR="00961B4A" w:rsidRPr="00E114D3" w:rsidRDefault="00961B4A" w:rsidP="00961B4A">
      <w:pPr>
        <w:spacing w:after="0" w:line="480" w:lineRule="auto"/>
        <w:rPr>
          <w:rFonts w:ascii="Times New Roman" w:hAnsi="Times New Roman" w:cs="Times New Roman"/>
          <w:noProof/>
          <w:sz w:val="24"/>
          <w:szCs w:val="24"/>
        </w:rPr>
      </w:pPr>
    </w:p>
    <w:p w:rsidR="004C69A5" w:rsidRDefault="00961B4A" w:rsidP="004C69A5">
      <w:pPr>
        <w:spacing w:after="0" w:line="240" w:lineRule="auto"/>
        <w:ind w:left="720" w:hanging="720"/>
        <w:rPr>
          <w:noProof/>
        </w:rPr>
      </w:pPr>
      <w:r>
        <w:fldChar w:fldCharType="begin"/>
      </w:r>
      <w:r>
        <w:instrText xml:space="preserve"> ADDIN EN.REFLIST </w:instrText>
      </w:r>
      <w:r>
        <w:fldChar w:fldCharType="separate"/>
      </w:r>
      <w:bookmarkStart w:id="1" w:name="_ENREF_1"/>
      <w:r w:rsidR="004C69A5">
        <w:rPr>
          <w:noProof/>
        </w:rPr>
        <w:t>1.</w:t>
      </w:r>
      <w:r w:rsidR="004C69A5">
        <w:rPr>
          <w:noProof/>
        </w:rPr>
        <w:tab/>
        <w:t>De Laet I, Hoste E, Verholen E, De Waele JJ, (2007) The effect of neuromuscular blockers in patients with intra-abdominal hypertension. Intensive Care Med 33: 1811-1814</w:t>
      </w:r>
      <w:bookmarkEnd w:id="1"/>
    </w:p>
    <w:p w:rsidR="004C69A5" w:rsidRDefault="004C69A5" w:rsidP="004C69A5">
      <w:pPr>
        <w:spacing w:line="240" w:lineRule="auto"/>
        <w:ind w:left="720" w:hanging="720"/>
        <w:rPr>
          <w:noProof/>
        </w:rPr>
      </w:pPr>
      <w:bookmarkStart w:id="2" w:name="_ENREF_2"/>
      <w:r>
        <w:rPr>
          <w:noProof/>
        </w:rPr>
        <w:t>2.</w:t>
      </w:r>
      <w:r>
        <w:rPr>
          <w:noProof/>
        </w:rPr>
        <w:tab/>
        <w:t>Abouassaly CT, Dutton WD, Zaydfudim V, Dossett LA, Nunez TC, Fleming SB, Cotton BA, (2010) Postoperative neuromuscular blocker use is associated with higher primary fascial closure rates after damage control laparotomy. The Journal of trauma 69: 557-561</w:t>
      </w:r>
      <w:bookmarkEnd w:id="2"/>
    </w:p>
    <w:p w:rsidR="004C69A5" w:rsidRDefault="004C69A5" w:rsidP="004C69A5">
      <w:pPr>
        <w:spacing w:line="240" w:lineRule="auto"/>
        <w:rPr>
          <w:noProof/>
        </w:rPr>
      </w:pPr>
    </w:p>
    <w:p w:rsidR="0088536B" w:rsidRDefault="00961B4A">
      <w:r>
        <w:fldChar w:fldCharType="end"/>
      </w:r>
    </w:p>
    <w:sectPr w:rsidR="008853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s0exfw5r2tvfezdd5p9fzqasxwd5vx9292&quot;&gt;Trauma References_Andy New HP Computer&lt;record-ids&gt;&lt;item&gt;1947&lt;/item&gt;&lt;item&gt;11496&lt;/item&gt;&lt;/record-ids&gt;&lt;/item&gt;&lt;/Libraries&gt;"/>
  </w:docVars>
  <w:rsids>
    <w:rsidRoot w:val="00961B4A"/>
    <w:rsid w:val="00015A20"/>
    <w:rsid w:val="000C1919"/>
    <w:rsid w:val="001216CB"/>
    <w:rsid w:val="00161FBB"/>
    <w:rsid w:val="00184E83"/>
    <w:rsid w:val="001850B0"/>
    <w:rsid w:val="00185B76"/>
    <w:rsid w:val="00367622"/>
    <w:rsid w:val="00383B11"/>
    <w:rsid w:val="003A43C6"/>
    <w:rsid w:val="003D0CD9"/>
    <w:rsid w:val="00446B2C"/>
    <w:rsid w:val="004C69A5"/>
    <w:rsid w:val="005669D7"/>
    <w:rsid w:val="00583EE3"/>
    <w:rsid w:val="005B07FD"/>
    <w:rsid w:val="00620C00"/>
    <w:rsid w:val="00666E24"/>
    <w:rsid w:val="00671A96"/>
    <w:rsid w:val="006D0A8A"/>
    <w:rsid w:val="00727D7B"/>
    <w:rsid w:val="00756D0A"/>
    <w:rsid w:val="007953F7"/>
    <w:rsid w:val="008B34B7"/>
    <w:rsid w:val="008C0870"/>
    <w:rsid w:val="00961B4A"/>
    <w:rsid w:val="009C4B14"/>
    <w:rsid w:val="009F3D80"/>
    <w:rsid w:val="00B12C93"/>
    <w:rsid w:val="00B773E3"/>
    <w:rsid w:val="00C27CF4"/>
    <w:rsid w:val="00CD4A96"/>
    <w:rsid w:val="00CD7E32"/>
    <w:rsid w:val="00D844E4"/>
    <w:rsid w:val="00D92296"/>
    <w:rsid w:val="00DA601C"/>
    <w:rsid w:val="00EA5A2D"/>
    <w:rsid w:val="00EB4775"/>
    <w:rsid w:val="00F80F37"/>
    <w:rsid w:val="00F86890"/>
    <w:rsid w:val="00FD0D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B4A"/>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4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B4A"/>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Kirkpatrick</dc:creator>
  <cp:lastModifiedBy>Andy Kirkpatrick</cp:lastModifiedBy>
  <cp:revision>2</cp:revision>
  <dcterms:created xsi:type="dcterms:W3CDTF">2013-03-12T06:25:00Z</dcterms:created>
  <dcterms:modified xsi:type="dcterms:W3CDTF">2013-03-12T06:25:00Z</dcterms:modified>
</cp:coreProperties>
</file>