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5DA" w:rsidRPr="00E114D3" w:rsidRDefault="003B75DA" w:rsidP="003B75DA">
      <w:pPr>
        <w:spacing w:after="0" w:line="480" w:lineRule="auto"/>
        <w:rPr>
          <w:rFonts w:ascii="Times New Roman" w:hAnsi="Times New Roman" w:cs="Times New Roman"/>
          <w:b/>
          <w:bCs/>
          <w:noProof/>
          <w:sz w:val="24"/>
          <w:szCs w:val="24"/>
        </w:rPr>
      </w:pPr>
      <w:r>
        <w:rPr>
          <w:rFonts w:ascii="Times New Roman" w:hAnsi="Times New Roman" w:cs="Times New Roman"/>
          <w:b/>
          <w:bCs/>
          <w:noProof/>
          <w:sz w:val="24"/>
          <w:szCs w:val="24"/>
        </w:rPr>
        <w:t xml:space="preserve">Supplement </w:t>
      </w:r>
      <w:r w:rsidR="00972B1D">
        <w:rPr>
          <w:rFonts w:ascii="Times New Roman" w:hAnsi="Times New Roman" w:cs="Times New Roman"/>
          <w:b/>
          <w:bCs/>
          <w:noProof/>
          <w:sz w:val="24"/>
          <w:szCs w:val="24"/>
        </w:rPr>
        <w:t>28</w:t>
      </w:r>
      <w:bookmarkStart w:id="0" w:name="_GoBack"/>
      <w:bookmarkEnd w:id="0"/>
      <w:r>
        <w:rPr>
          <w:rFonts w:ascii="Times New Roman" w:hAnsi="Times New Roman" w:cs="Times New Roman"/>
          <w:b/>
          <w:bCs/>
          <w:noProof/>
          <w:sz w:val="24"/>
          <w:szCs w:val="24"/>
        </w:rPr>
        <w:t>:</w:t>
      </w:r>
      <w:r>
        <w:rPr>
          <w:rFonts w:ascii="Times New Roman" w:hAnsi="Times New Roman" w:cs="Times New Roman"/>
          <w:b/>
          <w:bCs/>
          <w:noProof/>
          <w:sz w:val="24"/>
          <w:szCs w:val="24"/>
        </w:rPr>
        <w:tab/>
      </w:r>
      <w:r w:rsidRPr="00E114D3">
        <w:rPr>
          <w:rFonts w:ascii="Times New Roman" w:hAnsi="Times New Roman" w:cs="Times New Roman"/>
          <w:b/>
          <w:bCs/>
          <w:noProof/>
          <w:sz w:val="24"/>
          <w:szCs w:val="24"/>
        </w:rPr>
        <w:t xml:space="preserve">Should We Use Component Separation to Facilitate Early Fascial Closure of the Open Abdomen? </w:t>
      </w:r>
    </w:p>
    <w:p w:rsidR="003B75DA" w:rsidRDefault="003B75DA" w:rsidP="003B75DA">
      <w:pPr>
        <w:spacing w:after="0" w:line="480" w:lineRule="auto"/>
        <w:rPr>
          <w:rFonts w:ascii="Times New Roman" w:hAnsi="Times New Roman" w:cs="Times New Roman"/>
          <w:noProof/>
          <w:sz w:val="24"/>
          <w:szCs w:val="24"/>
        </w:rPr>
      </w:pPr>
    </w:p>
    <w:p w:rsidR="003B75DA" w:rsidRPr="00C11C82" w:rsidRDefault="003B75DA" w:rsidP="003B75DA">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E114D3">
        <w:rPr>
          <w:rFonts w:ascii="Times New Roman" w:hAnsi="Times New Roman" w:cs="Times New Roman"/>
          <w:noProof/>
          <w:sz w:val="24"/>
          <w:szCs w:val="24"/>
        </w:rPr>
        <w:t>The component separation technique (CST) of the abdominal wall musculature</w:t>
      </w:r>
      <w:r w:rsidRPr="00C11C82">
        <w:rPr>
          <w:rFonts w:ascii="Times New Roman" w:hAnsi="Times New Roman" w:cs="Times New Roman"/>
          <w:noProof/>
          <w:sz w:val="24"/>
          <w:szCs w:val="24"/>
        </w:rPr>
        <w:t xml:space="preserve"> [</w:t>
      </w:r>
      <w:r w:rsidRPr="00E114D3">
        <w:rPr>
          <w:rFonts w:ascii="Times New Roman" w:hAnsi="Times New Roman" w:cs="Times New Roman"/>
          <w:noProof/>
          <w:sz w:val="24"/>
          <w:szCs w:val="24"/>
        </w:rPr>
        <w:fldChar w:fldCharType="begin"/>
      </w:r>
      <w:r w:rsidR="00972B1D">
        <w:rPr>
          <w:rFonts w:ascii="Times New Roman" w:hAnsi="Times New Roman" w:cs="Times New Roman"/>
          <w:noProof/>
          <w:sz w:val="24"/>
          <w:szCs w:val="24"/>
        </w:rPr>
        <w:instrText xml:space="preserve"> ADDIN EN.CITE &lt;EndNote&gt;&lt;Cite&gt;&lt;Author&gt;Ramirez&lt;/Author&gt;&lt;Year&gt;1990&lt;/Year&gt;&lt;RecNum&gt;866&lt;/RecNum&gt;&lt;DisplayText&gt;[1]&lt;/DisplayText&gt;&lt;record&gt;&lt;rec-number&gt;866&lt;/rec-number&gt;&lt;foreign-keys&gt;&lt;key app="EN" db-id="rds0exfw5r2tvfezdd5p9fzqasxwd5vx9292"&gt;866&lt;/key&gt;&lt;/foreign-keys&gt;&lt;ref-type name="Journal Article"&gt;17&lt;/ref-type&gt;&lt;contributors&gt;&lt;authors&gt;&lt;author&gt;Ramirez, O. M.&lt;/author&gt;&lt;author&gt;Ruas, E.&lt;/author&gt;&lt;author&gt;Dellon, A. L.&lt;/author&gt;&lt;/authors&gt;&lt;/contributors&gt;&lt;titles&gt;&lt;title&gt;&amp;quot;Components separation&amp;quot; method for closure of abdominal-wall defects: an anatomic and clinical study&lt;/title&gt;&lt;secondary-title&gt;Plast Reconstruc Surg&lt;/secondary-title&gt;&lt;/titles&gt;&lt;pages&gt;519-526&lt;/pages&gt;&lt;volume&gt;86&lt;/volume&gt;&lt;dates&gt;&lt;year&gt;1990&lt;/year&gt;&lt;pub-dates&gt;&lt;date&gt;1990&lt;/date&gt;&lt;/pub-dates&gt;&lt;/dates&gt;&lt;label&gt;8440&lt;/label&gt;&lt;urls&gt;&lt;/urls&gt;&lt;/record&gt;&lt;/Cite&gt;&lt;/EndNote&gt;</w:instrText>
      </w:r>
      <w:r w:rsidRPr="00E114D3">
        <w:rPr>
          <w:rFonts w:ascii="Times New Roman" w:hAnsi="Times New Roman" w:cs="Times New Roman"/>
          <w:noProof/>
          <w:sz w:val="24"/>
          <w:szCs w:val="24"/>
        </w:rPr>
        <w:fldChar w:fldCharType="separate"/>
      </w:r>
      <w:r w:rsidR="00972B1D">
        <w:rPr>
          <w:rFonts w:ascii="Times New Roman" w:hAnsi="Times New Roman" w:cs="Times New Roman"/>
          <w:noProof/>
          <w:sz w:val="24"/>
          <w:szCs w:val="24"/>
        </w:rPr>
        <w:t>[</w:t>
      </w:r>
      <w:hyperlink w:anchor="_ENREF_1" w:tooltip="Ramirez, 1990 #866" w:history="1">
        <w:r w:rsidR="00972B1D">
          <w:rPr>
            <w:rFonts w:ascii="Times New Roman" w:hAnsi="Times New Roman" w:cs="Times New Roman"/>
            <w:noProof/>
            <w:sz w:val="24"/>
            <w:szCs w:val="24"/>
          </w:rPr>
          <w:t>1</w:t>
        </w:r>
      </w:hyperlink>
      <w:r w:rsidR="00972B1D">
        <w:rPr>
          <w:rFonts w:ascii="Times New Roman" w:hAnsi="Times New Roman" w:cs="Times New Roman"/>
          <w:noProof/>
          <w:sz w:val="24"/>
          <w:szCs w:val="24"/>
        </w:rPr>
        <w:t>]</w:t>
      </w:r>
      <w:r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has become a frequently used method of abdominal closure, being performed completely open, semi-open, or laparoscopically.  The CST is becoming integral to IAH management in increasing intra-peritoneal domain and may be required to close an already open abdomen, or to even avoid an open abdomen without inducing IAH.  An acute CST is defined as one performed during the initial hospitalization [</w:t>
      </w:r>
      <w:r w:rsidRPr="00E114D3">
        <w:rPr>
          <w:rFonts w:ascii="Times New Roman" w:hAnsi="Times New Roman" w:cs="Times New Roman"/>
          <w:noProof/>
          <w:sz w:val="24"/>
          <w:szCs w:val="24"/>
        </w:rPr>
        <w:fldChar w:fldCharType="begin">
          <w:fldData xml:space="preserve">PEVuZE5vdGU+PENpdGU+PEF1dGhvcj5EaWF6PC9BdXRob3I+PFllYXI+MjAxMTwvWWVhcj48UmVj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==
</w:fldData>
        </w:fldChar>
      </w:r>
      <w:r w:rsidR="00972B1D">
        <w:rPr>
          <w:rFonts w:ascii="Times New Roman" w:hAnsi="Times New Roman" w:cs="Times New Roman"/>
          <w:noProof/>
          <w:sz w:val="24"/>
          <w:szCs w:val="24"/>
        </w:rPr>
        <w:instrText xml:space="preserve"> ADDIN EN.CITE </w:instrText>
      </w:r>
      <w:r w:rsidR="00972B1D">
        <w:rPr>
          <w:rFonts w:ascii="Times New Roman" w:hAnsi="Times New Roman" w:cs="Times New Roman"/>
          <w:noProof/>
          <w:sz w:val="24"/>
          <w:szCs w:val="24"/>
        </w:rPr>
        <w:fldChar w:fldCharType="begin">
          <w:fldData xml:space="preserve">PEVuZE5vdGU+PENpdGU+PEF1dGhvcj5EaWF6PC9BdXRob3I+PFllYXI+MjAxMTwvWWVhcj48UmVj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==
</w:fldData>
        </w:fldChar>
      </w:r>
      <w:r w:rsidR="00972B1D">
        <w:rPr>
          <w:rFonts w:ascii="Times New Roman" w:hAnsi="Times New Roman" w:cs="Times New Roman"/>
          <w:noProof/>
          <w:sz w:val="24"/>
          <w:szCs w:val="24"/>
        </w:rPr>
        <w:instrText xml:space="preserve"> ADDIN EN.CITE.DATA </w:instrText>
      </w:r>
      <w:r w:rsidR="00972B1D">
        <w:rPr>
          <w:rFonts w:ascii="Times New Roman" w:hAnsi="Times New Roman" w:cs="Times New Roman"/>
          <w:noProof/>
          <w:sz w:val="24"/>
          <w:szCs w:val="24"/>
        </w:rPr>
      </w:r>
      <w:r w:rsidR="00972B1D">
        <w:rPr>
          <w:rFonts w:ascii="Times New Roman" w:hAnsi="Times New Roman" w:cs="Times New Roman"/>
          <w:noProof/>
          <w:sz w:val="24"/>
          <w:szCs w:val="24"/>
        </w:rPr>
        <w:fldChar w:fldCharType="end"/>
      </w:r>
      <w:r w:rsidRPr="00E114D3">
        <w:rPr>
          <w:rFonts w:ascii="Times New Roman" w:hAnsi="Times New Roman" w:cs="Times New Roman"/>
          <w:noProof/>
          <w:sz w:val="24"/>
          <w:szCs w:val="24"/>
        </w:rPr>
        <w:fldChar w:fldCharType="separate"/>
      </w:r>
      <w:r w:rsidR="00972B1D">
        <w:rPr>
          <w:rFonts w:ascii="Times New Roman" w:hAnsi="Times New Roman" w:cs="Times New Roman"/>
          <w:noProof/>
          <w:sz w:val="24"/>
          <w:szCs w:val="24"/>
        </w:rPr>
        <w:t>[</w:t>
      </w:r>
      <w:hyperlink w:anchor="_ENREF_2" w:tooltip="Diaz, 2011 #11392" w:history="1">
        <w:r w:rsidR="00972B1D">
          <w:rPr>
            <w:rFonts w:ascii="Times New Roman" w:hAnsi="Times New Roman" w:cs="Times New Roman"/>
            <w:noProof/>
            <w:sz w:val="24"/>
            <w:szCs w:val="24"/>
          </w:rPr>
          <w:t>2</w:t>
        </w:r>
      </w:hyperlink>
      <w:r w:rsidR="00972B1D">
        <w:rPr>
          <w:rFonts w:ascii="Times New Roman" w:hAnsi="Times New Roman" w:cs="Times New Roman"/>
          <w:noProof/>
          <w:sz w:val="24"/>
          <w:szCs w:val="24"/>
        </w:rPr>
        <w:t>]</w:t>
      </w:r>
      <w:r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w:t>
      </w:r>
    </w:p>
    <w:p w:rsidR="003B75DA" w:rsidRPr="00E114D3" w:rsidRDefault="003B75DA" w:rsidP="003B75DA">
      <w:pPr>
        <w:spacing w:after="0" w:line="480" w:lineRule="auto"/>
        <w:rPr>
          <w:rFonts w:ascii="Times New Roman" w:hAnsi="Times New Roman" w:cs="Times New Roman"/>
          <w:noProof/>
          <w:sz w:val="24"/>
          <w:szCs w:val="24"/>
        </w:rPr>
      </w:pPr>
    </w:p>
    <w:p w:rsidR="003B75DA" w:rsidRPr="00E114D3" w:rsidRDefault="003B75DA" w:rsidP="003B75DA">
      <w:pPr>
        <w:spacing w:after="0" w:line="480" w:lineRule="auto"/>
        <w:rPr>
          <w:rFonts w:ascii="Times New Roman" w:hAnsi="Times New Roman" w:cs="Times New Roman"/>
          <w:b/>
          <w:bCs/>
          <w:noProof/>
          <w:sz w:val="24"/>
          <w:szCs w:val="24"/>
        </w:rPr>
      </w:pPr>
      <w:r w:rsidRPr="00E114D3">
        <w:rPr>
          <w:rFonts w:ascii="Times New Roman" w:hAnsi="Times New Roman" w:cs="Times New Roman"/>
          <w:b/>
          <w:bCs/>
          <w:noProof/>
          <w:sz w:val="24"/>
          <w:szCs w:val="24"/>
        </w:rPr>
        <w:t>Evidence Summary:</w:t>
      </w:r>
    </w:p>
    <w:p w:rsidR="003B75DA" w:rsidRPr="00E114D3" w:rsidRDefault="003B75DA" w:rsidP="003B75DA">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E114D3">
        <w:rPr>
          <w:rFonts w:ascii="Times New Roman" w:hAnsi="Times New Roman" w:cs="Times New Roman"/>
          <w:noProof/>
          <w:sz w:val="24"/>
          <w:szCs w:val="24"/>
        </w:rPr>
        <w:t xml:space="preserve">We identified no relevant systematic reviews, RCTs, or cohort studies.  </w:t>
      </w:r>
    </w:p>
    <w:p w:rsidR="003B75DA" w:rsidRPr="00E114D3" w:rsidRDefault="003B75DA" w:rsidP="003B75DA">
      <w:pPr>
        <w:spacing w:after="0" w:line="480" w:lineRule="auto"/>
        <w:rPr>
          <w:rFonts w:ascii="Times New Roman" w:hAnsi="Times New Roman" w:cs="Times New Roman"/>
          <w:b/>
          <w:bCs/>
          <w:noProof/>
          <w:sz w:val="24"/>
          <w:szCs w:val="24"/>
        </w:rPr>
      </w:pPr>
    </w:p>
    <w:p w:rsidR="003B75DA" w:rsidRPr="00E114D3" w:rsidRDefault="003B75DA" w:rsidP="003B75DA">
      <w:pPr>
        <w:spacing w:after="0" w:line="480" w:lineRule="auto"/>
        <w:rPr>
          <w:rFonts w:ascii="Times New Roman" w:hAnsi="Times New Roman" w:cs="Times New Roman"/>
          <w:b/>
          <w:bCs/>
          <w:noProof/>
          <w:sz w:val="24"/>
          <w:szCs w:val="24"/>
        </w:rPr>
      </w:pPr>
      <w:r w:rsidRPr="00E114D3">
        <w:rPr>
          <w:rFonts w:ascii="Times New Roman" w:hAnsi="Times New Roman" w:cs="Times New Roman"/>
          <w:b/>
          <w:bCs/>
          <w:noProof/>
          <w:sz w:val="24"/>
          <w:szCs w:val="24"/>
        </w:rPr>
        <w:t>Recommendation:</w:t>
      </w:r>
    </w:p>
    <w:p w:rsidR="003B75DA" w:rsidRPr="00E114D3" w:rsidRDefault="003B75DA" w:rsidP="003B75DA">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E114D3">
        <w:rPr>
          <w:rFonts w:ascii="Times New Roman" w:hAnsi="Times New Roman" w:cs="Times New Roman"/>
          <w:noProof/>
          <w:sz w:val="24"/>
          <w:szCs w:val="24"/>
        </w:rPr>
        <w:t xml:space="preserve">The WSACS could make </w:t>
      </w:r>
      <w:r w:rsidRPr="00E114D3">
        <w:rPr>
          <w:rFonts w:ascii="Times New Roman" w:hAnsi="Times New Roman" w:cs="Times New Roman"/>
          <w:b/>
          <w:bCs/>
          <w:noProof/>
          <w:sz w:val="24"/>
          <w:szCs w:val="24"/>
          <w:highlight w:val="lightGray"/>
        </w:rPr>
        <w:t>NO RECOMMENDATION</w:t>
      </w:r>
      <w:r w:rsidRPr="00E114D3">
        <w:rPr>
          <w:rFonts w:ascii="Times New Roman" w:hAnsi="Times New Roman" w:cs="Times New Roman"/>
          <w:noProof/>
          <w:sz w:val="24"/>
          <w:szCs w:val="24"/>
          <w:highlight w:val="lightGray"/>
        </w:rPr>
        <w:t xml:space="preserve"> relating to the use of CST to facilitate early fascial closure versus not</w:t>
      </w:r>
      <w:r w:rsidRPr="00E114D3">
        <w:rPr>
          <w:rFonts w:ascii="Times New Roman" w:hAnsi="Times New Roman" w:cs="Times New Roman"/>
          <w:noProof/>
          <w:sz w:val="24"/>
          <w:szCs w:val="24"/>
        </w:rPr>
        <w:t xml:space="preserve">.   </w:t>
      </w:r>
    </w:p>
    <w:p w:rsidR="003B75DA" w:rsidRPr="00E114D3" w:rsidRDefault="003B75DA" w:rsidP="003B75DA">
      <w:pPr>
        <w:spacing w:after="0" w:line="480" w:lineRule="auto"/>
        <w:rPr>
          <w:rFonts w:ascii="Times New Roman" w:hAnsi="Times New Roman" w:cs="Times New Roman"/>
          <w:b/>
          <w:bCs/>
          <w:noProof/>
          <w:sz w:val="24"/>
          <w:szCs w:val="24"/>
        </w:rPr>
      </w:pPr>
    </w:p>
    <w:p w:rsidR="003B75DA" w:rsidRPr="00E114D3" w:rsidRDefault="003B75DA" w:rsidP="003B75DA">
      <w:pPr>
        <w:spacing w:after="0" w:line="480" w:lineRule="auto"/>
        <w:rPr>
          <w:rFonts w:ascii="Times New Roman" w:hAnsi="Times New Roman" w:cs="Times New Roman"/>
          <w:b/>
          <w:bCs/>
          <w:noProof/>
          <w:sz w:val="24"/>
          <w:szCs w:val="24"/>
        </w:rPr>
      </w:pPr>
      <w:r w:rsidRPr="00E114D3">
        <w:rPr>
          <w:rFonts w:ascii="Times New Roman" w:hAnsi="Times New Roman" w:cs="Times New Roman"/>
          <w:b/>
          <w:bCs/>
          <w:noProof/>
          <w:sz w:val="24"/>
          <w:szCs w:val="24"/>
        </w:rPr>
        <w:t>Rationale:</w:t>
      </w:r>
    </w:p>
    <w:p w:rsidR="003B75DA" w:rsidRDefault="003B75DA" w:rsidP="003B75DA">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E114D3">
        <w:rPr>
          <w:rFonts w:ascii="Times New Roman" w:hAnsi="Times New Roman" w:cs="Times New Roman"/>
          <w:noProof/>
          <w:sz w:val="24"/>
          <w:szCs w:val="24"/>
        </w:rPr>
        <w:t xml:space="preserve">Although the CST is intuitively and potentially beneficial in being able to safely close the open abdomen earlier and yet still obtain medialization of the recti, no relevant evidence yet exists. </w:t>
      </w:r>
    </w:p>
    <w:p w:rsidR="003B75DA" w:rsidRDefault="003B75DA" w:rsidP="003B75DA">
      <w:pPr>
        <w:spacing w:after="0" w:line="480" w:lineRule="auto"/>
        <w:rPr>
          <w:rFonts w:ascii="Times New Roman" w:hAnsi="Times New Roman" w:cs="Times New Roman"/>
          <w:noProof/>
          <w:sz w:val="24"/>
          <w:szCs w:val="24"/>
        </w:rPr>
      </w:pPr>
    </w:p>
    <w:p w:rsidR="003B75DA" w:rsidRDefault="003B75DA" w:rsidP="003B75DA">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References</w:t>
      </w:r>
      <w:r w:rsidRPr="00E114D3">
        <w:rPr>
          <w:rFonts w:ascii="Times New Roman" w:hAnsi="Times New Roman" w:cs="Times New Roman"/>
          <w:noProof/>
          <w:sz w:val="24"/>
          <w:szCs w:val="24"/>
        </w:rPr>
        <w:t xml:space="preserve"> </w:t>
      </w:r>
    </w:p>
    <w:p w:rsidR="003B75DA" w:rsidRDefault="003B75DA"/>
    <w:p w:rsidR="00972B1D" w:rsidRDefault="003B75DA" w:rsidP="00972B1D">
      <w:pPr>
        <w:spacing w:after="0" w:line="240" w:lineRule="auto"/>
        <w:ind w:left="720" w:hanging="720"/>
        <w:rPr>
          <w:noProof/>
        </w:rPr>
      </w:pPr>
      <w:r>
        <w:fldChar w:fldCharType="begin"/>
      </w:r>
      <w:r>
        <w:instrText xml:space="preserve"> ADDIN EN.REFLIST </w:instrText>
      </w:r>
      <w:r>
        <w:fldChar w:fldCharType="separate"/>
      </w:r>
      <w:bookmarkStart w:id="1" w:name="_ENREF_1"/>
      <w:r w:rsidR="00972B1D">
        <w:rPr>
          <w:noProof/>
        </w:rPr>
        <w:t>1.</w:t>
      </w:r>
      <w:r w:rsidR="00972B1D">
        <w:rPr>
          <w:noProof/>
        </w:rPr>
        <w:tab/>
        <w:t>Ramirez OM, Ruas E, Dellon AL, (1990) "Components separation" method for closure of abdominal-wall defects: an anatomic and clinical study. Plast Reconstruc Surg 86: 519-526</w:t>
      </w:r>
      <w:bookmarkEnd w:id="1"/>
    </w:p>
    <w:p w:rsidR="00972B1D" w:rsidRDefault="00972B1D" w:rsidP="00972B1D">
      <w:pPr>
        <w:spacing w:line="240" w:lineRule="auto"/>
        <w:ind w:left="720" w:hanging="720"/>
        <w:rPr>
          <w:noProof/>
        </w:rPr>
      </w:pPr>
      <w:bookmarkStart w:id="2" w:name="_ENREF_2"/>
      <w:r>
        <w:rPr>
          <w:noProof/>
        </w:rPr>
        <w:t>2.</w:t>
      </w:r>
      <w:r>
        <w:rPr>
          <w:noProof/>
        </w:rPr>
        <w:tab/>
        <w:t>Diaz JJ, Jr., Dutton WD, Ott MM, Cullinane DC, Alouidor R, Armen SB, Bilanuik JW, Collier BR, Gunter OL, Jawa R, Jerome R, Kerwin AJ, Kirby JP, Lambert AL, Riordan WP, Wohltmann CD, (2011) Eastern Association for the Surgery of Trauma: a review of the management of the open abdomen--part 2 "Management of the open abdomen". The Journal of trauma 71: 502-512</w:t>
      </w:r>
      <w:bookmarkEnd w:id="2"/>
    </w:p>
    <w:p w:rsidR="00972B1D" w:rsidRDefault="00972B1D" w:rsidP="00972B1D">
      <w:pPr>
        <w:spacing w:line="240" w:lineRule="auto"/>
        <w:rPr>
          <w:noProof/>
        </w:rPr>
      </w:pPr>
    </w:p>
    <w:p w:rsidR="0088536B" w:rsidRDefault="003B75DA">
      <w:r>
        <w:fldChar w:fldCharType="end"/>
      </w:r>
    </w:p>
    <w:sectPr w:rsidR="008853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ensive Care Medicine (1)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ds0exfw5r2tvfezdd5p9fzqasxwd5vx9292&quot;&gt;Trauma References_Andy New HP Computer&lt;record-ids&gt;&lt;item&gt;866&lt;/item&gt;&lt;item&gt;11392&lt;/item&gt;&lt;/record-ids&gt;&lt;/item&gt;&lt;/Libraries&gt;"/>
  </w:docVars>
  <w:rsids>
    <w:rsidRoot w:val="003B75DA"/>
    <w:rsid w:val="00015A20"/>
    <w:rsid w:val="000C1919"/>
    <w:rsid w:val="001216CB"/>
    <w:rsid w:val="00161FBB"/>
    <w:rsid w:val="00184E83"/>
    <w:rsid w:val="001850B0"/>
    <w:rsid w:val="00185B76"/>
    <w:rsid w:val="00367622"/>
    <w:rsid w:val="00383B11"/>
    <w:rsid w:val="003A43C6"/>
    <w:rsid w:val="003B75DA"/>
    <w:rsid w:val="003D0CD9"/>
    <w:rsid w:val="00446B2C"/>
    <w:rsid w:val="005669D7"/>
    <w:rsid w:val="00583EE3"/>
    <w:rsid w:val="005B07FD"/>
    <w:rsid w:val="00620C00"/>
    <w:rsid w:val="00666E24"/>
    <w:rsid w:val="00671A96"/>
    <w:rsid w:val="006D0A8A"/>
    <w:rsid w:val="00727D7B"/>
    <w:rsid w:val="00756D0A"/>
    <w:rsid w:val="007953F7"/>
    <w:rsid w:val="008B34B7"/>
    <w:rsid w:val="008C0870"/>
    <w:rsid w:val="00972B1D"/>
    <w:rsid w:val="009C4B14"/>
    <w:rsid w:val="009F3D80"/>
    <w:rsid w:val="00B12C93"/>
    <w:rsid w:val="00B773E3"/>
    <w:rsid w:val="00C27CF4"/>
    <w:rsid w:val="00CD4A96"/>
    <w:rsid w:val="00CD7E32"/>
    <w:rsid w:val="00D844E4"/>
    <w:rsid w:val="00D92296"/>
    <w:rsid w:val="00DA601C"/>
    <w:rsid w:val="00EA5A2D"/>
    <w:rsid w:val="00EB4775"/>
    <w:rsid w:val="00F80F37"/>
    <w:rsid w:val="00F86890"/>
    <w:rsid w:val="00FD0D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5DA"/>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75D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5DA"/>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75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Kirkpatrick</dc:creator>
  <cp:lastModifiedBy>Andy Kirkpatrick</cp:lastModifiedBy>
  <cp:revision>2</cp:revision>
  <dcterms:created xsi:type="dcterms:W3CDTF">2013-03-13T05:37:00Z</dcterms:created>
  <dcterms:modified xsi:type="dcterms:W3CDTF">2013-03-13T05:37:00Z</dcterms:modified>
</cp:coreProperties>
</file>