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226" w:rsidRDefault="002B7226" w:rsidP="002B7226">
      <w:pPr>
        <w:spacing w:after="0" w:line="480" w:lineRule="auto"/>
        <w:rPr>
          <w:rFonts w:ascii="Times New Roman" w:hAnsi="Times New Roman" w:cs="Times New Roman"/>
          <w:sz w:val="24"/>
          <w:szCs w:val="24"/>
        </w:rPr>
      </w:pPr>
    </w:p>
    <w:p w:rsidR="002B7226" w:rsidRPr="00FC4C87" w:rsidRDefault="002B7226" w:rsidP="002B7226">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 2</w:t>
      </w:r>
      <w:r w:rsidR="0035225F">
        <w:rPr>
          <w:rFonts w:ascii="Times New Roman" w:hAnsi="Times New Roman" w:cs="Times New Roman"/>
          <w:b/>
          <w:bCs/>
          <w:sz w:val="24"/>
          <w:szCs w:val="24"/>
        </w:rPr>
        <w:tab/>
      </w:r>
      <w:r w:rsidR="0035225F">
        <w:rPr>
          <w:rFonts w:ascii="Times New Roman" w:hAnsi="Times New Roman" w:cs="Times New Roman"/>
          <w:b/>
          <w:bCs/>
          <w:sz w:val="24"/>
          <w:szCs w:val="24"/>
        </w:rPr>
        <w:tab/>
      </w:r>
      <w:r>
        <w:rPr>
          <w:rFonts w:ascii="Times New Roman" w:hAnsi="Times New Roman" w:cs="Times New Roman"/>
          <w:b/>
          <w:bCs/>
          <w:sz w:val="24"/>
          <w:szCs w:val="24"/>
        </w:rPr>
        <w:t xml:space="preserve">Procedures for the </w:t>
      </w:r>
      <w:r w:rsidRPr="00FC4C87">
        <w:rPr>
          <w:rFonts w:ascii="Times New Roman" w:hAnsi="Times New Roman" w:cs="Times New Roman"/>
          <w:b/>
          <w:bCs/>
          <w:sz w:val="24"/>
          <w:szCs w:val="24"/>
        </w:rPr>
        <w:t>Evaluation of Existing Expert Consensus Definitions:</w:t>
      </w:r>
    </w:p>
    <w:p w:rsidR="002B7226" w:rsidRDefault="002B7226" w:rsidP="002B7226">
      <w:pPr>
        <w:spacing w:after="0" w:line="480" w:lineRule="auto"/>
        <w:rPr>
          <w:rFonts w:ascii="Times New Roman" w:hAnsi="Times New Roman" w:cs="Times New Roman"/>
          <w:sz w:val="24"/>
          <w:szCs w:val="24"/>
        </w:rPr>
      </w:pPr>
      <w:bookmarkStart w:id="0" w:name="_GoBack"/>
    </w:p>
    <w:bookmarkEnd w:id="0"/>
    <w:p w:rsidR="002B7226" w:rsidRDefault="0035225F" w:rsidP="002B722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B7226" w:rsidRPr="00A11491">
        <w:rPr>
          <w:rFonts w:ascii="Times New Roman" w:hAnsi="Times New Roman" w:cs="Times New Roman"/>
          <w:sz w:val="24"/>
          <w:szCs w:val="24"/>
        </w:rPr>
        <w:t xml:space="preserve">Prior to meeting in person, the GC members reviewed, </w:t>
      </w:r>
      <w:r w:rsidR="001909BB">
        <w:rPr>
          <w:rFonts w:ascii="Times New Roman" w:hAnsi="Times New Roman" w:cs="Times New Roman"/>
          <w:sz w:val="24"/>
          <w:szCs w:val="24"/>
        </w:rPr>
        <w:t>evaluated, and ratified the 2013</w:t>
      </w:r>
      <w:r w:rsidR="002B7226" w:rsidRPr="00A11491">
        <w:rPr>
          <w:rFonts w:ascii="Times New Roman" w:hAnsi="Times New Roman" w:cs="Times New Roman"/>
          <w:sz w:val="24"/>
          <w:szCs w:val="24"/>
        </w:rPr>
        <w:t xml:space="preserve"> expert consensus definitions through discussion and debate through electronic mail messages and posts upon a dedicated electronic Expert Consensus Definitions Billboard.  </w:t>
      </w:r>
      <w:r w:rsidR="002B7226" w:rsidRPr="00A11491">
        <w:rPr>
          <w:rFonts w:ascii="Times New Roman" w:hAnsi="Times New Roman" w:cs="Times New Roman"/>
          <w:bCs/>
          <w:sz w:val="24"/>
          <w:szCs w:val="24"/>
        </w:rPr>
        <w:t>F</w:t>
      </w:r>
      <w:r w:rsidR="002B7226" w:rsidRPr="00A11491">
        <w:rPr>
          <w:rFonts w:ascii="Times New Roman" w:hAnsi="Times New Roman" w:cs="Times New Roman"/>
          <w:sz w:val="24"/>
          <w:szCs w:val="24"/>
        </w:rPr>
        <w:t>ormal face-to-face Expert Consensus Conference meetings for all GC members were subsequently held on two separate days immediately preceding and following the 5</w:t>
      </w:r>
      <w:r w:rsidR="002B7226" w:rsidRPr="00334EA2">
        <w:rPr>
          <w:rFonts w:ascii="Times New Roman" w:hAnsi="Times New Roman" w:cs="Times New Roman"/>
          <w:sz w:val="24"/>
          <w:szCs w:val="24"/>
        </w:rPr>
        <w:t>th</w:t>
      </w:r>
      <w:r w:rsidR="002B7226" w:rsidRPr="00A11491">
        <w:rPr>
          <w:rFonts w:ascii="Times New Roman" w:hAnsi="Times New Roman" w:cs="Times New Roman"/>
          <w:sz w:val="24"/>
          <w:szCs w:val="24"/>
        </w:rPr>
        <w:t xml:space="preserve"> Scientific Congress of the WSACS in Orlando, FL, U.S.A in August 2011.  At the Definitions session, the GC Chair presented the existing definitions for discussion along with the newly proposed definitions generated through pre-meeting electronic Discussion.  </w:t>
      </w:r>
    </w:p>
    <w:p w:rsidR="002B7226" w:rsidRDefault="002B7226" w:rsidP="002B7226">
      <w:pPr>
        <w:spacing w:after="0" w:line="480" w:lineRule="auto"/>
        <w:ind w:firstLine="720"/>
        <w:rPr>
          <w:rFonts w:ascii="Times New Roman" w:hAnsi="Times New Roman" w:cs="Times New Roman"/>
          <w:sz w:val="24"/>
          <w:szCs w:val="24"/>
        </w:rPr>
      </w:pPr>
    </w:p>
    <w:p w:rsidR="002B7226" w:rsidRDefault="0035225F" w:rsidP="002B7226">
      <w:pPr>
        <w:spacing w:after="0" w:line="480" w:lineRule="auto"/>
        <w:rPr>
          <w:rFonts w:ascii="Times New Roman" w:hAnsi="Times New Roman" w:cs="Times New Roman"/>
          <w:bCs/>
          <w:sz w:val="24"/>
          <w:szCs w:val="24"/>
        </w:rPr>
      </w:pPr>
      <w:r>
        <w:rPr>
          <w:rFonts w:ascii="Times New Roman" w:hAnsi="Times New Roman" w:cs="Times New Roman"/>
          <w:sz w:val="24"/>
          <w:szCs w:val="24"/>
        </w:rPr>
        <w:tab/>
      </w:r>
      <w:r w:rsidR="002B7226" w:rsidRPr="00A11491">
        <w:rPr>
          <w:rFonts w:ascii="Times New Roman" w:hAnsi="Times New Roman" w:cs="Times New Roman"/>
          <w:sz w:val="24"/>
          <w:szCs w:val="24"/>
        </w:rPr>
        <w:t>In concordance with the levels of agreement appropriate for consensus [</w:t>
      </w:r>
      <w:r w:rsidR="00BB0D86" w:rsidRPr="00A11491">
        <w:rPr>
          <w:rFonts w:ascii="Times New Roman" w:hAnsi="Times New Roman" w:cs="Times New Roman"/>
          <w:sz w:val="24"/>
          <w:szCs w:val="24"/>
        </w:rPr>
        <w:fldChar w:fldCharType="begin"/>
      </w:r>
      <w:r w:rsidR="00BB0D86">
        <w:rPr>
          <w:rFonts w:ascii="Times New Roman" w:hAnsi="Times New Roman" w:cs="Times New Roman"/>
          <w:sz w:val="24"/>
          <w:szCs w:val="24"/>
        </w:rPr>
        <w:instrText xml:space="preserve"> ADDIN EN.CITE &lt;EndNote&gt;&lt;Cite&gt;&lt;Author&gt;Jaeschke&lt;/Author&gt;&lt;Year&gt;2008&lt;/Year&gt;&lt;RecNum&gt;11186&lt;/RecNum&gt;&lt;DisplayText&gt;[1]&lt;/DisplayText&gt;&lt;record&gt;&lt;rec-number&gt;11186&lt;/rec-number&gt;&lt;foreign-keys&gt;&lt;key app="EN" db-id="rds0exfw5r2tvfezdd5p9fzqasxwd5vx9292"&gt;11186&lt;/key&gt;&lt;/foreign-keys&gt;&lt;ref-type name="Journal Article"&gt;17&lt;/ref-type&gt;&lt;contributors&gt;&lt;authors&gt;&lt;author&gt;Jaeschke, R.&lt;/author&gt;&lt;author&gt;Guyatt, G. H.&lt;/author&gt;&lt;author&gt;Dellinger, P.&lt;/author&gt;&lt;author&gt;Schunemann, H.&lt;/author&gt;&lt;author&gt;Levy, M. M.&lt;/author&gt;&lt;author&gt;Kunz, R.&lt;/author&gt;&lt;author&gt;Norris, S.&lt;/author&gt;&lt;author&gt;Bion, J.&lt;/author&gt;&lt;/authors&gt;&lt;/contributors&gt;&lt;auth-address&gt;Department of Medicine, McMaster University, Hamilton, ON, Canada L8P 3B6.&lt;/auth-address&gt;&lt;titles&gt;&lt;title&gt;Use of GRADE grid to reach decisions on clinical practice guidelines when consensus is elusive&lt;/title&gt;&lt;secondary-title&gt;BMJ&lt;/secondary-title&gt;&lt;/titles&gt;&lt;periodical&gt;&lt;full-title&gt;BMJ&lt;/full-title&gt;&lt;/periodical&gt;&lt;pages&gt;a744&lt;/pages&gt;&lt;volume&gt;337&lt;/volume&gt;&lt;edition&gt;2008/08/02&lt;/edition&gt;&lt;keywords&gt;&lt;keyword&gt;*Consensus&lt;/keyword&gt;&lt;keyword&gt;*Decision Making&lt;/keyword&gt;&lt;keyword&gt;*Decision Support Techniques&lt;/keyword&gt;&lt;keyword&gt;*Practice Guidelines as Topic&lt;/keyword&gt;&lt;/keywords&gt;&lt;dates&gt;&lt;year&gt;2008&lt;/year&gt;&lt;/dates&gt;&lt;isbn&gt;1468-5833 (Electronic)&amp;#xD;0959-535X (Linking)&lt;/isbn&gt;&lt;accession-num&gt;18669566&lt;/accession-num&gt;&lt;urls&gt;&lt;related-urls&gt;&lt;url&gt;http://www.ncbi.nlm.nih.gov/entrez/query.fcgi?cmd=Retrieve&amp;amp;db=PubMed&amp;amp;dopt=Citation&amp;amp;list_uids=18669566&lt;/url&gt;&lt;/related-urls&gt;&lt;/urls&gt;&lt;language&gt;eng&lt;/language&gt;&lt;/record&gt;&lt;/Cite&gt;&lt;/EndNote&gt;</w:instrText>
      </w:r>
      <w:r w:rsidR="00BB0D86" w:rsidRPr="00A11491">
        <w:rPr>
          <w:rFonts w:ascii="Times New Roman" w:hAnsi="Times New Roman" w:cs="Times New Roman"/>
          <w:sz w:val="24"/>
          <w:szCs w:val="24"/>
        </w:rPr>
        <w:fldChar w:fldCharType="separate"/>
      </w:r>
      <w:r w:rsidR="00BB0D86">
        <w:rPr>
          <w:rFonts w:ascii="Times New Roman" w:hAnsi="Times New Roman" w:cs="Times New Roman"/>
          <w:noProof/>
          <w:sz w:val="24"/>
          <w:szCs w:val="24"/>
        </w:rPr>
        <w:t>[</w:t>
      </w:r>
      <w:hyperlink w:anchor="_ENREF_1" w:tooltip="Jaeschke, 2008 #11186" w:history="1">
        <w:r w:rsidR="00BB0D86">
          <w:rPr>
            <w:rFonts w:ascii="Times New Roman" w:hAnsi="Times New Roman" w:cs="Times New Roman"/>
            <w:noProof/>
            <w:sz w:val="24"/>
            <w:szCs w:val="24"/>
          </w:rPr>
          <w:t>1</w:t>
        </w:r>
      </w:hyperlink>
      <w:r w:rsidR="00BB0D86">
        <w:rPr>
          <w:rFonts w:ascii="Times New Roman" w:hAnsi="Times New Roman" w:cs="Times New Roman"/>
          <w:noProof/>
          <w:sz w:val="24"/>
          <w:szCs w:val="24"/>
        </w:rPr>
        <w:t>]</w:t>
      </w:r>
      <w:r w:rsidR="00BB0D86" w:rsidRPr="00A11491">
        <w:rPr>
          <w:rFonts w:ascii="Times New Roman" w:hAnsi="Times New Roman" w:cs="Times New Roman"/>
          <w:sz w:val="24"/>
          <w:szCs w:val="24"/>
        </w:rPr>
        <w:fldChar w:fldCharType="end"/>
      </w:r>
      <w:r w:rsidR="002B7226" w:rsidRPr="00A11491">
        <w:rPr>
          <w:rFonts w:ascii="Times New Roman" w:hAnsi="Times New Roman" w:cs="Times New Roman"/>
          <w:sz w:val="24"/>
          <w:szCs w:val="24"/>
        </w:rPr>
        <w:t>], all expert consensus definitions for which more than 80% of the members voted to accept “as is” were retained, while all those with less than 50% acceptance were rejected.  Definitions with only 50 to 80% agreement were revised through ongoing discussions until complete consensus was obtained.  Where extensive discussion among subspecialists or other experts was required, special sub-committees where created, including a dedicated Pediatric Guidelines Sub-Committee who reviewed the adult guidelines to determine their generalizability to pediatrics.</w:t>
      </w:r>
      <w:r w:rsidR="002B7226" w:rsidRPr="00A11491">
        <w:rPr>
          <w:rFonts w:ascii="Times New Roman" w:hAnsi="Times New Roman" w:cs="Times New Roman"/>
          <w:bCs/>
          <w:sz w:val="24"/>
          <w:szCs w:val="24"/>
        </w:rPr>
        <w:t xml:space="preserve">  </w:t>
      </w:r>
    </w:p>
    <w:p w:rsidR="00BE516A" w:rsidRDefault="00BE516A" w:rsidP="002B7226">
      <w:pPr>
        <w:spacing w:after="0" w:line="480" w:lineRule="auto"/>
        <w:rPr>
          <w:rFonts w:ascii="Times New Roman" w:hAnsi="Times New Roman" w:cs="Times New Roman"/>
          <w:bCs/>
          <w:sz w:val="24"/>
          <w:szCs w:val="24"/>
        </w:rPr>
      </w:pPr>
    </w:p>
    <w:p w:rsidR="00BE516A" w:rsidRPr="00A11491" w:rsidRDefault="00BE516A" w:rsidP="00BE516A">
      <w:pPr>
        <w:spacing w:after="0" w:line="480" w:lineRule="auto"/>
        <w:rPr>
          <w:rFonts w:ascii="Times New Roman" w:hAnsi="Times New Roman" w:cs="Times New Roman"/>
          <w:b/>
          <w:bCs/>
          <w:sz w:val="24"/>
          <w:szCs w:val="24"/>
        </w:rPr>
      </w:pPr>
      <w:r w:rsidRPr="00A11491">
        <w:rPr>
          <w:rFonts w:ascii="Times New Roman" w:hAnsi="Times New Roman" w:cs="Times New Roman"/>
          <w:b/>
          <w:bCs/>
          <w:sz w:val="24"/>
          <w:szCs w:val="24"/>
        </w:rPr>
        <w:t>Assessment of the Generalizability of the Adult Definitions to Pediatrics:</w:t>
      </w:r>
    </w:p>
    <w:p w:rsidR="00BE516A" w:rsidRPr="00A11491" w:rsidRDefault="0035225F" w:rsidP="00BE516A">
      <w:pPr>
        <w:spacing w:after="0" w:line="480" w:lineRule="auto"/>
        <w:rPr>
          <w:rFonts w:ascii="Times New Roman" w:hAnsi="Times New Roman" w:cs="Times New Roman"/>
          <w:sz w:val="24"/>
          <w:szCs w:val="24"/>
        </w:rPr>
      </w:pPr>
      <w:r>
        <w:rPr>
          <w:rFonts w:ascii="Times New Roman" w:hAnsi="Times New Roman" w:cs="Times New Roman"/>
          <w:bCs/>
          <w:sz w:val="24"/>
          <w:szCs w:val="24"/>
        </w:rPr>
        <w:lastRenderedPageBreak/>
        <w:tab/>
      </w:r>
      <w:r w:rsidR="00BE516A" w:rsidRPr="00A11491">
        <w:rPr>
          <w:rFonts w:ascii="Times New Roman" w:hAnsi="Times New Roman" w:cs="Times New Roman"/>
          <w:bCs/>
          <w:sz w:val="24"/>
          <w:szCs w:val="24"/>
        </w:rPr>
        <w:t xml:space="preserve">The </w:t>
      </w:r>
      <w:r w:rsidR="00BE516A" w:rsidRPr="00A11491">
        <w:rPr>
          <w:rFonts w:ascii="Times New Roman" w:hAnsi="Times New Roman" w:cs="Times New Roman"/>
          <w:sz w:val="24"/>
          <w:szCs w:val="24"/>
        </w:rPr>
        <w:t xml:space="preserve">Pediatrics Sub-Committee therefore reviewed available pediatric IAH and ACS studies and the guidelines derived from adult care.  They then considered the external validity of the adult definitions to pediatrics, and reviewed relevant pediatric IAH and ACS literature.  Where adult definitions were rejected as they were felt to be inappropriate for use in pediatrics, new definitions </w:t>
      </w:r>
      <w:proofErr w:type="gramStart"/>
      <w:r w:rsidR="00BE516A" w:rsidRPr="00A11491">
        <w:rPr>
          <w:rFonts w:ascii="Times New Roman" w:hAnsi="Times New Roman" w:cs="Times New Roman"/>
          <w:sz w:val="24"/>
          <w:szCs w:val="24"/>
        </w:rPr>
        <w:t>were</w:t>
      </w:r>
      <w:proofErr w:type="gramEnd"/>
      <w:r w:rsidR="00BE516A" w:rsidRPr="00A11491">
        <w:rPr>
          <w:rFonts w:ascii="Times New Roman" w:hAnsi="Times New Roman" w:cs="Times New Roman"/>
          <w:sz w:val="24"/>
          <w:szCs w:val="24"/>
        </w:rPr>
        <w:t xml:space="preserve"> derived when possible.</w:t>
      </w:r>
    </w:p>
    <w:p w:rsidR="00BE516A" w:rsidRPr="00A11491" w:rsidRDefault="00BE516A" w:rsidP="00BE516A">
      <w:pPr>
        <w:spacing w:after="0" w:line="480" w:lineRule="auto"/>
        <w:rPr>
          <w:rFonts w:ascii="Times New Roman" w:hAnsi="Times New Roman" w:cs="Times New Roman"/>
          <w:sz w:val="24"/>
          <w:szCs w:val="24"/>
        </w:rPr>
      </w:pPr>
    </w:p>
    <w:p w:rsidR="00BE516A" w:rsidRPr="00A11491" w:rsidRDefault="00BE516A" w:rsidP="00BE516A">
      <w:pPr>
        <w:spacing w:after="0" w:line="480" w:lineRule="auto"/>
        <w:rPr>
          <w:rFonts w:ascii="Times New Roman" w:hAnsi="Times New Roman" w:cs="Times New Roman"/>
          <w:b/>
          <w:sz w:val="24"/>
          <w:szCs w:val="24"/>
        </w:rPr>
      </w:pPr>
      <w:r w:rsidRPr="00A11491">
        <w:rPr>
          <w:rFonts w:ascii="Times New Roman" w:hAnsi="Times New Roman" w:cs="Times New Roman"/>
          <w:b/>
          <w:sz w:val="24"/>
          <w:szCs w:val="24"/>
        </w:rPr>
        <w:t>Evaluation of Risk Factors:</w:t>
      </w:r>
    </w:p>
    <w:p w:rsidR="00BE516A" w:rsidRDefault="0035225F" w:rsidP="00BE516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E516A" w:rsidRPr="00A11491">
        <w:rPr>
          <w:rFonts w:ascii="Times New Roman" w:hAnsi="Times New Roman" w:cs="Times New Roman"/>
          <w:sz w:val="24"/>
          <w:szCs w:val="24"/>
        </w:rPr>
        <w:t xml:space="preserve">Although risk factors for IAH or ACS were proposed by the WSACS in 2006, these were largely </w:t>
      </w:r>
      <w:proofErr w:type="gramStart"/>
      <w:r w:rsidR="00BE516A" w:rsidRPr="00A11491">
        <w:rPr>
          <w:rFonts w:ascii="Times New Roman" w:hAnsi="Times New Roman" w:cs="Times New Roman"/>
          <w:sz w:val="24"/>
          <w:szCs w:val="24"/>
        </w:rPr>
        <w:t>opinion- or pathophysiology-based</w:t>
      </w:r>
      <w:proofErr w:type="gramEnd"/>
      <w:r w:rsidR="00BE516A" w:rsidRPr="00A11491">
        <w:rPr>
          <w:rFonts w:ascii="Times New Roman" w:hAnsi="Times New Roman" w:cs="Times New Roman"/>
          <w:sz w:val="24"/>
          <w:szCs w:val="24"/>
        </w:rPr>
        <w:t xml:space="preserve">.  In this updated guidelines, we therefore systematically searched the literature in order to determine which risk factors were associated with evidence versus expert opinion. </w:t>
      </w:r>
    </w:p>
    <w:p w:rsidR="0035225F" w:rsidRDefault="0035225F" w:rsidP="00BE516A">
      <w:pPr>
        <w:spacing w:after="0" w:line="480" w:lineRule="auto"/>
        <w:rPr>
          <w:rFonts w:ascii="Times New Roman" w:hAnsi="Times New Roman" w:cs="Times New Roman"/>
          <w:sz w:val="24"/>
          <w:szCs w:val="24"/>
        </w:rPr>
      </w:pPr>
    </w:p>
    <w:p w:rsidR="0035225F" w:rsidRPr="0035225F" w:rsidRDefault="0035225F" w:rsidP="00BE516A">
      <w:pPr>
        <w:spacing w:after="0" w:line="480" w:lineRule="auto"/>
        <w:rPr>
          <w:rFonts w:ascii="Times New Roman" w:hAnsi="Times New Roman" w:cs="Times New Roman"/>
          <w:b/>
          <w:sz w:val="24"/>
          <w:szCs w:val="24"/>
        </w:rPr>
      </w:pPr>
      <w:r w:rsidRPr="0035225F">
        <w:rPr>
          <w:rFonts w:ascii="Times New Roman" w:hAnsi="Times New Roman" w:cs="Times New Roman"/>
          <w:b/>
          <w:sz w:val="24"/>
          <w:szCs w:val="24"/>
        </w:rPr>
        <w:t>References</w:t>
      </w:r>
    </w:p>
    <w:p w:rsidR="0035225F" w:rsidRDefault="0035225F"/>
    <w:p w:rsidR="00BB0D86" w:rsidRDefault="0035225F" w:rsidP="00BB0D86">
      <w:pPr>
        <w:spacing w:line="240" w:lineRule="auto"/>
        <w:ind w:left="720" w:hanging="720"/>
        <w:rPr>
          <w:noProof/>
        </w:rPr>
      </w:pPr>
      <w:r>
        <w:fldChar w:fldCharType="begin"/>
      </w:r>
      <w:r>
        <w:instrText xml:space="preserve"> ADDIN EN.REFLIST </w:instrText>
      </w:r>
      <w:r>
        <w:fldChar w:fldCharType="separate"/>
      </w:r>
      <w:bookmarkStart w:id="1" w:name="_ENREF_1"/>
      <w:r w:rsidR="00BB0D86">
        <w:rPr>
          <w:noProof/>
        </w:rPr>
        <w:t>1.</w:t>
      </w:r>
      <w:r w:rsidR="00BB0D86">
        <w:rPr>
          <w:noProof/>
        </w:rPr>
        <w:tab/>
        <w:t>Jaeschke R, Guyatt GH, Dellinger P, Schunemann H, Levy MM, Kunz R, Norris S, Bion J, (2008) Use of GRADE grid to reach decisions on clinical practice guidelines when consensus is elusive. BMJ 337: a744</w:t>
      </w:r>
      <w:bookmarkEnd w:id="1"/>
    </w:p>
    <w:p w:rsidR="00BB0D86" w:rsidRDefault="00BB0D86" w:rsidP="00BB0D86">
      <w:pPr>
        <w:spacing w:line="240" w:lineRule="auto"/>
        <w:rPr>
          <w:noProof/>
        </w:rPr>
      </w:pPr>
    </w:p>
    <w:p w:rsidR="0088536B" w:rsidRDefault="0035225F">
      <w:r>
        <w:fldChar w:fldCharType="end"/>
      </w:r>
    </w:p>
    <w:sectPr w:rsidR="008853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11186&lt;/item&gt;&lt;/record-ids&gt;&lt;/item&gt;&lt;/Libraries&gt;"/>
  </w:docVars>
  <w:rsids>
    <w:rsidRoot w:val="002B7226"/>
    <w:rsid w:val="00015A20"/>
    <w:rsid w:val="000C1919"/>
    <w:rsid w:val="001216CB"/>
    <w:rsid w:val="00161FBB"/>
    <w:rsid w:val="00184E83"/>
    <w:rsid w:val="001850B0"/>
    <w:rsid w:val="00185B76"/>
    <w:rsid w:val="001909BB"/>
    <w:rsid w:val="002B7226"/>
    <w:rsid w:val="0035225F"/>
    <w:rsid w:val="00367622"/>
    <w:rsid w:val="00383B11"/>
    <w:rsid w:val="003A43C6"/>
    <w:rsid w:val="003D0CD9"/>
    <w:rsid w:val="00446B2C"/>
    <w:rsid w:val="005669D7"/>
    <w:rsid w:val="00583EE3"/>
    <w:rsid w:val="005B07FD"/>
    <w:rsid w:val="00620C00"/>
    <w:rsid w:val="00666E24"/>
    <w:rsid w:val="00671A96"/>
    <w:rsid w:val="006D0A8A"/>
    <w:rsid w:val="00727D7B"/>
    <w:rsid w:val="00756D0A"/>
    <w:rsid w:val="007953F7"/>
    <w:rsid w:val="008B34B7"/>
    <w:rsid w:val="008C0870"/>
    <w:rsid w:val="008D1760"/>
    <w:rsid w:val="009C4B14"/>
    <w:rsid w:val="009F3D80"/>
    <w:rsid w:val="00B12C93"/>
    <w:rsid w:val="00B773E3"/>
    <w:rsid w:val="00BB0D86"/>
    <w:rsid w:val="00BE516A"/>
    <w:rsid w:val="00C27CF4"/>
    <w:rsid w:val="00CD4A96"/>
    <w:rsid w:val="00CD7E32"/>
    <w:rsid w:val="00D844E4"/>
    <w:rsid w:val="00D92296"/>
    <w:rsid w:val="00DA601C"/>
    <w:rsid w:val="00EA5A2D"/>
    <w:rsid w:val="00EB4775"/>
    <w:rsid w:val="00F80F37"/>
    <w:rsid w:val="00F86890"/>
    <w:rsid w:val="00FD0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226"/>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22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226"/>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22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2013-04-09T00:58:00Z</dcterms:created>
  <dcterms:modified xsi:type="dcterms:W3CDTF">2013-04-09T00:58:00Z</dcterms:modified>
</cp:coreProperties>
</file>