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AA" w:rsidRPr="0039373D" w:rsidRDefault="006235AA" w:rsidP="006235AA">
      <w:pPr>
        <w:rPr>
          <w:b/>
          <w:sz w:val="24"/>
          <w:szCs w:val="24"/>
          <w:lang w:val="en-US"/>
        </w:rPr>
      </w:pPr>
      <w:r w:rsidRPr="0039373D">
        <w:rPr>
          <w:b/>
          <w:sz w:val="24"/>
          <w:szCs w:val="24"/>
          <w:lang w:val="en-US"/>
        </w:rPr>
        <w:t>Prognostication in comatose survivors of cardiac arrest</w:t>
      </w:r>
      <w:r w:rsidRPr="0039373D">
        <w:rPr>
          <w:b/>
          <w:lang w:val="en-US"/>
        </w:rPr>
        <w:t xml:space="preserve">. </w:t>
      </w:r>
      <w:r w:rsidRPr="0039373D">
        <w:rPr>
          <w:b/>
          <w:sz w:val="24"/>
          <w:szCs w:val="24"/>
          <w:lang w:val="en-US"/>
        </w:rPr>
        <w:t xml:space="preserve">An Advisory Statement from the European Resuscitation Council and the European Society of Intensive Care Medicine </w:t>
      </w:r>
    </w:p>
    <w:p w:rsidR="006235AA" w:rsidRDefault="006235AA" w:rsidP="006235AA">
      <w:pPr>
        <w:rPr>
          <w:lang w:val="en-GB"/>
        </w:rPr>
      </w:pPr>
    </w:p>
    <w:p w:rsidR="006235AA" w:rsidRPr="004D3415" w:rsidRDefault="006235AA" w:rsidP="006235AA">
      <w:pPr>
        <w:rPr>
          <w:i/>
          <w:sz w:val="20"/>
          <w:lang w:val="en-GB"/>
        </w:rPr>
      </w:pPr>
      <w:r w:rsidRPr="004D3415">
        <w:rPr>
          <w:i/>
          <w:sz w:val="20"/>
          <w:lang w:val="en-GB"/>
        </w:rPr>
        <w:t>Intensive Care Medicine, 2014.</w:t>
      </w:r>
    </w:p>
    <w:p w:rsidR="006235AA" w:rsidRPr="004D3415" w:rsidRDefault="006235AA" w:rsidP="006235AA">
      <w:pPr>
        <w:rPr>
          <w:sz w:val="20"/>
          <w:lang w:val="en-GB"/>
        </w:rPr>
      </w:pPr>
    </w:p>
    <w:p w:rsidR="006235AA" w:rsidRPr="004D3415" w:rsidRDefault="006235AA" w:rsidP="006235AA">
      <w:pPr>
        <w:rPr>
          <w:sz w:val="20"/>
          <w:lang w:val="en-GB"/>
        </w:rPr>
      </w:pPr>
      <w:r w:rsidRPr="004D3415">
        <w:rPr>
          <w:sz w:val="20"/>
          <w:lang w:val="en-GB"/>
        </w:rPr>
        <w:t xml:space="preserve">Claudio Sandroni, Alain Cariou, Fabio Cavallaro, Tobias </w:t>
      </w:r>
      <w:proofErr w:type="spellStart"/>
      <w:r w:rsidRPr="004D3415">
        <w:rPr>
          <w:sz w:val="20"/>
          <w:lang w:val="en-GB"/>
        </w:rPr>
        <w:t>Cronberg</w:t>
      </w:r>
      <w:proofErr w:type="spellEnd"/>
      <w:r w:rsidRPr="004D3415">
        <w:rPr>
          <w:sz w:val="20"/>
          <w:lang w:val="en-GB"/>
        </w:rPr>
        <w:t xml:space="preserve">, Hans </w:t>
      </w:r>
      <w:proofErr w:type="spellStart"/>
      <w:r w:rsidRPr="004D3415">
        <w:rPr>
          <w:sz w:val="20"/>
          <w:lang w:val="en-GB"/>
        </w:rPr>
        <w:t>Friberg</w:t>
      </w:r>
      <w:proofErr w:type="spellEnd"/>
      <w:r w:rsidRPr="004D3415">
        <w:rPr>
          <w:sz w:val="20"/>
          <w:lang w:val="en-GB"/>
        </w:rPr>
        <w:t xml:space="preserve">, Cornelia </w:t>
      </w:r>
      <w:proofErr w:type="spellStart"/>
      <w:r w:rsidRPr="004D3415">
        <w:rPr>
          <w:sz w:val="20"/>
          <w:lang w:val="en-GB"/>
        </w:rPr>
        <w:t>Hoedemaekers</w:t>
      </w:r>
      <w:proofErr w:type="spellEnd"/>
      <w:r w:rsidRPr="004D3415">
        <w:rPr>
          <w:sz w:val="20"/>
          <w:lang w:val="en-GB"/>
        </w:rPr>
        <w:t xml:space="preserve">, </w:t>
      </w:r>
      <w:proofErr w:type="spellStart"/>
      <w:r w:rsidRPr="004D3415">
        <w:rPr>
          <w:sz w:val="20"/>
          <w:lang w:val="en-GB"/>
        </w:rPr>
        <w:t>Janneke</w:t>
      </w:r>
      <w:proofErr w:type="spellEnd"/>
      <w:r w:rsidRPr="004D3415">
        <w:rPr>
          <w:sz w:val="20"/>
          <w:lang w:val="en-GB"/>
        </w:rPr>
        <w:t xml:space="preserve"> Horn, Jerry P. Nolan, Andrea O. Rossetti and Jasmeet Soar</w:t>
      </w:r>
    </w:p>
    <w:p w:rsidR="006235AA" w:rsidRPr="004D3415" w:rsidRDefault="006235AA" w:rsidP="006235AA">
      <w:pPr>
        <w:rPr>
          <w:sz w:val="20"/>
          <w:lang w:val="en-GB"/>
        </w:rPr>
      </w:pPr>
    </w:p>
    <w:p w:rsidR="006235AA" w:rsidRPr="004D3415" w:rsidRDefault="006235AA" w:rsidP="006235AA">
      <w:pPr>
        <w:rPr>
          <w:sz w:val="20"/>
          <w:lang w:val="en-US"/>
        </w:rPr>
      </w:pPr>
      <w:r w:rsidRPr="004D3415">
        <w:rPr>
          <w:sz w:val="20"/>
          <w:lang w:val="en-US"/>
        </w:rPr>
        <w:t>Corresponding author:</w:t>
      </w:r>
    </w:p>
    <w:p w:rsidR="006235AA" w:rsidRPr="004D3415" w:rsidRDefault="006235AA" w:rsidP="006235AA">
      <w:pPr>
        <w:rPr>
          <w:sz w:val="20"/>
          <w:lang w:val="en-US"/>
        </w:rPr>
      </w:pPr>
      <w:r w:rsidRPr="004D3415">
        <w:rPr>
          <w:sz w:val="20"/>
          <w:lang w:val="en-US"/>
        </w:rPr>
        <w:t>Claudio Sandroni</w:t>
      </w:r>
    </w:p>
    <w:p w:rsidR="006235AA" w:rsidRPr="004D3415" w:rsidRDefault="006235AA" w:rsidP="006235AA">
      <w:pPr>
        <w:spacing w:line="240" w:lineRule="auto"/>
        <w:rPr>
          <w:sz w:val="20"/>
          <w:lang w:val="en-US"/>
        </w:rPr>
      </w:pPr>
      <w:r w:rsidRPr="004D3415">
        <w:rPr>
          <w:sz w:val="20"/>
          <w:lang w:val="en-US"/>
        </w:rPr>
        <w:t xml:space="preserve">Department of </w:t>
      </w:r>
      <w:proofErr w:type="spellStart"/>
      <w:r w:rsidRPr="004D3415">
        <w:rPr>
          <w:sz w:val="20"/>
          <w:lang w:val="en-US"/>
        </w:rPr>
        <w:t>Anaesthesiology</w:t>
      </w:r>
      <w:proofErr w:type="spellEnd"/>
      <w:r w:rsidRPr="004D3415">
        <w:rPr>
          <w:sz w:val="20"/>
          <w:lang w:val="en-US"/>
        </w:rPr>
        <w:t xml:space="preserve"> and Intensive Care </w:t>
      </w:r>
    </w:p>
    <w:p w:rsidR="006235AA" w:rsidRPr="004D3415" w:rsidRDefault="006235AA" w:rsidP="006235AA">
      <w:pPr>
        <w:spacing w:line="240" w:lineRule="auto"/>
        <w:rPr>
          <w:sz w:val="20"/>
          <w:lang w:val="en-US"/>
        </w:rPr>
      </w:pPr>
      <w:r w:rsidRPr="004D3415">
        <w:rPr>
          <w:sz w:val="20"/>
          <w:lang w:val="en-US"/>
        </w:rPr>
        <w:t xml:space="preserve">Catholic University School of Medicine, </w:t>
      </w:r>
    </w:p>
    <w:p w:rsidR="006235AA" w:rsidRPr="004D3415" w:rsidRDefault="006235AA" w:rsidP="006235AA">
      <w:pPr>
        <w:spacing w:line="240" w:lineRule="auto"/>
        <w:rPr>
          <w:sz w:val="20"/>
        </w:rPr>
      </w:pPr>
      <w:r w:rsidRPr="004D3415">
        <w:rPr>
          <w:sz w:val="20"/>
        </w:rPr>
        <w:t xml:space="preserve">Largo Gemelli, 8  - 00168 Rome, </w:t>
      </w:r>
      <w:proofErr w:type="spellStart"/>
      <w:r w:rsidRPr="004D3415">
        <w:rPr>
          <w:sz w:val="20"/>
        </w:rPr>
        <w:t>Italy</w:t>
      </w:r>
      <w:proofErr w:type="spellEnd"/>
    </w:p>
    <w:p w:rsidR="006235AA" w:rsidRPr="004D3415" w:rsidRDefault="006235AA" w:rsidP="006235AA">
      <w:pPr>
        <w:rPr>
          <w:sz w:val="20"/>
        </w:rPr>
      </w:pPr>
      <w:r w:rsidRPr="004D3415">
        <w:rPr>
          <w:sz w:val="20"/>
        </w:rPr>
        <w:t>sandroni@rm.unicatt.it</w:t>
      </w:r>
    </w:p>
    <w:p w:rsidR="006235AA" w:rsidRPr="006235AA" w:rsidRDefault="006235AA" w:rsidP="006235AA">
      <w:pPr>
        <w:spacing w:after="0" w:line="240" w:lineRule="auto"/>
        <w:rPr>
          <w:rFonts w:ascii="Cambria" w:hAnsi="Cambria"/>
          <w:b/>
          <w:bCs/>
          <w:color w:val="4F81BD"/>
          <w:sz w:val="26"/>
          <w:szCs w:val="26"/>
          <w:lang w:eastAsia="x-none"/>
        </w:rPr>
      </w:pPr>
      <w:r>
        <w:rPr>
          <w:rFonts w:eastAsia="MS Gothic"/>
        </w:rPr>
        <w:br w:type="page"/>
      </w:r>
    </w:p>
    <w:p w:rsidR="0059039F" w:rsidRPr="007213F0" w:rsidRDefault="007E3BB6" w:rsidP="0059039F">
      <w:pPr>
        <w:pStyle w:val="Titolo2"/>
        <w:rPr>
          <w:lang w:val="en-GB" w:eastAsia="x-none"/>
        </w:rPr>
      </w:pPr>
      <w:r>
        <w:rPr>
          <w:lang w:val="en-GB" w:eastAsia="x-none"/>
        </w:rPr>
        <w:lastRenderedPageBreak/>
        <w:t xml:space="preserve">ESM Appendix </w:t>
      </w:r>
      <w:r w:rsidR="00B96B32">
        <w:rPr>
          <w:lang w:val="en-GB" w:eastAsia="x-none"/>
        </w:rPr>
        <w:t>5</w:t>
      </w:r>
      <w:r>
        <w:rPr>
          <w:lang w:val="en-GB" w:eastAsia="x-none"/>
        </w:rPr>
        <w:t xml:space="preserve"> </w:t>
      </w:r>
      <w:r w:rsidR="0059039F" w:rsidRPr="007213F0">
        <w:rPr>
          <w:lang w:val="en-GB" w:eastAsia="x-none"/>
        </w:rPr>
        <w:t xml:space="preserve"> – Definitions of status epilepticus</w:t>
      </w:r>
    </w:p>
    <w:tbl>
      <w:tblPr>
        <w:tblW w:w="1470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2093"/>
        <w:gridCol w:w="7371"/>
        <w:gridCol w:w="5245"/>
      </w:tblGrid>
      <w:tr w:rsidR="0059039F" w:rsidRPr="00BF0ED7" w:rsidTr="0059039F">
        <w:tc>
          <w:tcPr>
            <w:tcW w:w="2093" w:type="dxa"/>
            <w:tcBorders>
              <w:top w:val="single" w:sz="8" w:space="0" w:color="4F81BD"/>
            </w:tcBorders>
            <w:shd w:val="clear" w:color="auto" w:fill="4F81BD"/>
          </w:tcPr>
          <w:p w:rsidR="0059039F" w:rsidRPr="00BF0ED7" w:rsidRDefault="0059039F" w:rsidP="0059039F">
            <w:pPr>
              <w:rPr>
                <w:b/>
                <w:bCs/>
                <w:color w:val="FFFFFF"/>
                <w:lang w:val="en-GB"/>
              </w:rPr>
            </w:pPr>
            <w:r w:rsidRPr="00BF0ED7">
              <w:rPr>
                <w:b/>
                <w:bCs/>
                <w:color w:val="FFFFFF"/>
                <w:lang w:val="en-GB"/>
              </w:rPr>
              <w:t>Author, year</w:t>
            </w:r>
          </w:p>
        </w:tc>
        <w:tc>
          <w:tcPr>
            <w:tcW w:w="7371" w:type="dxa"/>
            <w:tcBorders>
              <w:top w:val="single" w:sz="8" w:space="0" w:color="4F81BD"/>
            </w:tcBorders>
            <w:shd w:val="clear" w:color="auto" w:fill="4F81BD"/>
          </w:tcPr>
          <w:p w:rsidR="0059039F" w:rsidRPr="00BF0ED7" w:rsidRDefault="0059039F" w:rsidP="0059039F">
            <w:pPr>
              <w:rPr>
                <w:b/>
                <w:bCs/>
                <w:color w:val="FFFFFF"/>
                <w:lang w:val="en-GB"/>
              </w:rPr>
            </w:pPr>
            <w:r w:rsidRPr="00BF0ED7">
              <w:rPr>
                <w:b/>
                <w:bCs/>
                <w:color w:val="FFFFFF"/>
                <w:lang w:val="en-GB"/>
              </w:rPr>
              <w:t>Description</w:t>
            </w:r>
          </w:p>
        </w:tc>
        <w:tc>
          <w:tcPr>
            <w:tcW w:w="5245" w:type="dxa"/>
            <w:tcBorders>
              <w:top w:val="single" w:sz="8" w:space="0" w:color="4F81BD"/>
            </w:tcBorders>
            <w:shd w:val="clear" w:color="auto" w:fill="4F81BD"/>
          </w:tcPr>
          <w:p w:rsidR="0059039F" w:rsidRPr="00BF0ED7" w:rsidRDefault="0059039F" w:rsidP="0059039F">
            <w:pPr>
              <w:rPr>
                <w:b/>
                <w:bCs/>
                <w:color w:val="FFFFFF"/>
                <w:lang w:val="en-GB"/>
              </w:rPr>
            </w:pPr>
            <w:r w:rsidRPr="00BF0ED7">
              <w:rPr>
                <w:b/>
                <w:bCs/>
                <w:color w:val="FFFFFF"/>
                <w:lang w:val="en-GB"/>
              </w:rPr>
              <w:t xml:space="preserve">Duration </w:t>
            </w:r>
          </w:p>
        </w:tc>
      </w:tr>
      <w:tr w:rsidR="0059039F" w:rsidRPr="00BF0ED7" w:rsidTr="00EA7DC3">
        <w:trPr>
          <w:trHeight w:val="1471"/>
        </w:trPr>
        <w:tc>
          <w:tcPr>
            <w:tcW w:w="2093" w:type="dxa"/>
            <w:tcBorders>
              <w:top w:val="single" w:sz="8" w:space="0" w:color="4F81BD"/>
              <w:bottom w:val="single" w:sz="8" w:space="0" w:color="4F81BD"/>
            </w:tcBorders>
          </w:tcPr>
          <w:p w:rsidR="0059039F" w:rsidRPr="00BF0ED7" w:rsidRDefault="0059039F" w:rsidP="0059039F">
            <w:pPr>
              <w:rPr>
                <w:b/>
                <w:bCs/>
                <w:lang w:val="en-GB"/>
              </w:rPr>
            </w:pPr>
            <w:proofErr w:type="spellStart"/>
            <w:r w:rsidRPr="00BF0ED7">
              <w:rPr>
                <w:b/>
                <w:bCs/>
                <w:lang w:val="en-GB"/>
              </w:rPr>
              <w:t>Legriel</w:t>
            </w:r>
            <w:proofErr w:type="spellEnd"/>
            <w:r w:rsidRPr="00BF0ED7">
              <w:rPr>
                <w:b/>
                <w:bCs/>
                <w:lang w:val="en-GB"/>
              </w:rPr>
              <w:t>, 2013</w:t>
            </w:r>
          </w:p>
        </w:tc>
        <w:tc>
          <w:tcPr>
            <w:tcW w:w="7371" w:type="dxa"/>
            <w:tcBorders>
              <w:top w:val="single" w:sz="8" w:space="0" w:color="4F81BD"/>
              <w:bottom w:val="single" w:sz="8" w:space="0" w:color="4F81BD"/>
            </w:tcBorders>
          </w:tcPr>
          <w:p w:rsidR="0059039F" w:rsidRPr="00BF0ED7" w:rsidRDefault="0059039F" w:rsidP="0059039F">
            <w:pPr>
              <w:rPr>
                <w:lang w:val="en-GB"/>
              </w:rPr>
            </w:pPr>
            <w:r w:rsidRPr="00BF0ED7">
              <w:rPr>
                <w:lang w:val="en-GB"/>
              </w:rPr>
              <w:t xml:space="preserve">Continuous or recurrent epileptiform activity including: </w:t>
            </w:r>
          </w:p>
          <w:p w:rsidR="0059039F" w:rsidRPr="007213F0" w:rsidRDefault="0059039F" w:rsidP="0059039F">
            <w:pPr>
              <w:pStyle w:val="Paragrafoelenco1"/>
              <w:numPr>
                <w:ilvl w:val="0"/>
                <w:numId w:val="3"/>
              </w:numPr>
              <w:spacing w:after="0" w:line="240" w:lineRule="auto"/>
            </w:pPr>
            <w:r w:rsidRPr="007213F0">
              <w:t>Rhythmic focal or generalized spikes, sharp waves, or rhythmic waves changing in amplitude, frequency, and/or spatial distribution</w:t>
            </w:r>
          </w:p>
          <w:p w:rsidR="0059039F" w:rsidRPr="007213F0" w:rsidRDefault="0059039F" w:rsidP="0059039F">
            <w:pPr>
              <w:pStyle w:val="Paragrafoelenco1"/>
              <w:numPr>
                <w:ilvl w:val="0"/>
                <w:numId w:val="3"/>
              </w:numPr>
              <w:spacing w:after="0" w:line="240" w:lineRule="auto"/>
            </w:pPr>
            <w:r w:rsidRPr="007213F0">
              <w:t xml:space="preserve">PLEDs, </w:t>
            </w:r>
            <w:proofErr w:type="spellStart"/>
            <w:r w:rsidRPr="007213F0">
              <w:t>BiPEDs</w:t>
            </w:r>
            <w:proofErr w:type="spellEnd"/>
            <w:r w:rsidRPr="007213F0">
              <w:t>, GPEDs suggestive of ESE in anoxic brain damage</w:t>
            </w:r>
          </w:p>
        </w:tc>
        <w:tc>
          <w:tcPr>
            <w:tcW w:w="5245" w:type="dxa"/>
            <w:tcBorders>
              <w:top w:val="single" w:sz="8" w:space="0" w:color="4F81BD"/>
              <w:bottom w:val="single" w:sz="8" w:space="0" w:color="4F81BD"/>
            </w:tcBorders>
          </w:tcPr>
          <w:p w:rsidR="0059039F" w:rsidRPr="00BF0ED7" w:rsidRDefault="0059039F" w:rsidP="0059039F">
            <w:pPr>
              <w:rPr>
                <w:lang w:val="en-GB"/>
              </w:rPr>
            </w:pPr>
            <w:r w:rsidRPr="00BF0ED7">
              <w:rPr>
                <w:lang w:val="en-GB"/>
              </w:rPr>
              <w:t>&gt;5 min</w:t>
            </w:r>
          </w:p>
        </w:tc>
      </w:tr>
      <w:tr w:rsidR="0059039F" w:rsidRPr="00BF0ED7" w:rsidTr="00EA7DC3">
        <w:trPr>
          <w:trHeight w:val="1690"/>
        </w:trPr>
        <w:tc>
          <w:tcPr>
            <w:tcW w:w="2093" w:type="dxa"/>
          </w:tcPr>
          <w:p w:rsidR="0059039F" w:rsidRPr="00BF0ED7" w:rsidRDefault="0059039F" w:rsidP="0059039F">
            <w:pPr>
              <w:rPr>
                <w:b/>
                <w:bCs/>
                <w:lang w:val="en-GB"/>
              </w:rPr>
            </w:pPr>
            <w:proofErr w:type="spellStart"/>
            <w:r w:rsidRPr="00BF0ED7">
              <w:rPr>
                <w:b/>
                <w:bCs/>
                <w:lang w:val="en-GB"/>
              </w:rPr>
              <w:t>Rittenberger</w:t>
            </w:r>
            <w:proofErr w:type="spellEnd"/>
            <w:r w:rsidRPr="00BF0ED7">
              <w:rPr>
                <w:b/>
                <w:bCs/>
                <w:lang w:val="en-GB"/>
              </w:rPr>
              <w:t xml:space="preserve"> 2011</w:t>
            </w:r>
          </w:p>
        </w:tc>
        <w:tc>
          <w:tcPr>
            <w:tcW w:w="7371" w:type="dxa"/>
          </w:tcPr>
          <w:p w:rsidR="0059039F" w:rsidRPr="00BF0ED7" w:rsidRDefault="0059039F" w:rsidP="0059039F">
            <w:pPr>
              <w:ind w:left="33"/>
              <w:rPr>
                <w:lang w:val="en-GB"/>
              </w:rPr>
            </w:pPr>
            <w:r w:rsidRPr="00BF0ED7">
              <w:rPr>
                <w:lang w:val="en-GB"/>
              </w:rPr>
              <w:t>Impaired consciousness with:</w:t>
            </w:r>
          </w:p>
          <w:p w:rsidR="0059039F" w:rsidRPr="007213F0" w:rsidRDefault="0059039F" w:rsidP="0059039F">
            <w:pPr>
              <w:pStyle w:val="Paragrafoelenco1"/>
              <w:numPr>
                <w:ilvl w:val="0"/>
                <w:numId w:val="1"/>
              </w:numPr>
              <w:spacing w:after="0" w:line="240" w:lineRule="auto"/>
            </w:pPr>
            <w:r w:rsidRPr="007213F0">
              <w:t>Continuous or recurrent electrographic seizures</w:t>
            </w:r>
          </w:p>
          <w:p w:rsidR="0059039F" w:rsidRPr="007213F0" w:rsidRDefault="0059039F" w:rsidP="0059039F">
            <w:pPr>
              <w:pStyle w:val="Paragrafoelenco1"/>
              <w:numPr>
                <w:ilvl w:val="0"/>
                <w:numId w:val="1"/>
              </w:numPr>
              <w:spacing w:after="0" w:line="240" w:lineRule="auto"/>
            </w:pPr>
            <w:r w:rsidRPr="007213F0">
              <w:t>GPEDs at a rate of ≥2.5 Hz</w:t>
            </w:r>
          </w:p>
          <w:p w:rsidR="0059039F" w:rsidRPr="007213F0" w:rsidRDefault="0059039F" w:rsidP="0059039F">
            <w:pPr>
              <w:pStyle w:val="Paragrafoelenco1"/>
              <w:numPr>
                <w:ilvl w:val="0"/>
                <w:numId w:val="1"/>
              </w:numPr>
              <w:spacing w:after="0" w:line="240" w:lineRule="auto"/>
            </w:pPr>
            <w:r w:rsidRPr="007213F0">
              <w:t>GPEDs at a rate of ≥1 Hz with unequivocal evolution in frequency, morphology, or location over time</w:t>
            </w:r>
          </w:p>
        </w:tc>
        <w:tc>
          <w:tcPr>
            <w:tcW w:w="5245" w:type="dxa"/>
          </w:tcPr>
          <w:p w:rsidR="0059039F" w:rsidRPr="00BF0ED7" w:rsidRDefault="0059039F" w:rsidP="0059039F">
            <w:pPr>
              <w:rPr>
                <w:lang w:val="en-GB"/>
              </w:rPr>
            </w:pPr>
            <w:r w:rsidRPr="00BF0ED7">
              <w:rPr>
                <w:lang w:val="en-GB"/>
              </w:rPr>
              <w:t>≥ 30 min</w:t>
            </w:r>
          </w:p>
        </w:tc>
      </w:tr>
      <w:tr w:rsidR="0059039F" w:rsidRPr="006235AA" w:rsidTr="00EA7DC3">
        <w:trPr>
          <w:trHeight w:val="965"/>
        </w:trPr>
        <w:tc>
          <w:tcPr>
            <w:tcW w:w="2093" w:type="dxa"/>
            <w:tcBorders>
              <w:top w:val="single" w:sz="8" w:space="0" w:color="4F81BD"/>
              <w:bottom w:val="single" w:sz="8" w:space="0" w:color="4F81BD"/>
            </w:tcBorders>
          </w:tcPr>
          <w:p w:rsidR="0059039F" w:rsidRPr="00BF0ED7" w:rsidRDefault="0059039F" w:rsidP="0059039F">
            <w:pPr>
              <w:rPr>
                <w:b/>
                <w:bCs/>
                <w:lang w:val="en-GB"/>
              </w:rPr>
            </w:pPr>
            <w:proofErr w:type="spellStart"/>
            <w:r w:rsidRPr="00BF0ED7">
              <w:rPr>
                <w:b/>
                <w:bCs/>
                <w:lang w:val="en-GB"/>
              </w:rPr>
              <w:t>Rundgren</w:t>
            </w:r>
            <w:proofErr w:type="spellEnd"/>
            <w:r w:rsidRPr="00BF0ED7">
              <w:rPr>
                <w:b/>
                <w:bCs/>
                <w:lang w:val="en-GB"/>
              </w:rPr>
              <w:t>, 2010</w:t>
            </w:r>
          </w:p>
        </w:tc>
        <w:tc>
          <w:tcPr>
            <w:tcW w:w="7371" w:type="dxa"/>
            <w:tcBorders>
              <w:top w:val="single" w:sz="8" w:space="0" w:color="4F81BD"/>
              <w:bottom w:val="single" w:sz="8" w:space="0" w:color="4F81BD"/>
            </w:tcBorders>
          </w:tcPr>
          <w:p w:rsidR="0059039F" w:rsidRPr="00BF0ED7" w:rsidRDefault="0059039F" w:rsidP="0059039F">
            <w:pPr>
              <w:rPr>
                <w:lang w:val="en-GB"/>
              </w:rPr>
            </w:pPr>
            <w:r w:rsidRPr="00BF0ED7">
              <w:rPr>
                <w:lang w:val="en-GB"/>
              </w:rPr>
              <w:t>Sequences (&gt;10 sec) of repetitive epileptiform discharges with amplitudes of &gt;50 µV and a medium frequency ≥1 Hz</w:t>
            </w:r>
          </w:p>
        </w:tc>
        <w:tc>
          <w:tcPr>
            <w:tcW w:w="5245" w:type="dxa"/>
            <w:tcBorders>
              <w:top w:val="single" w:sz="8" w:space="0" w:color="4F81BD"/>
              <w:bottom w:val="single" w:sz="8" w:space="0" w:color="4F81BD"/>
            </w:tcBorders>
          </w:tcPr>
          <w:p w:rsidR="0059039F" w:rsidRPr="007213F0" w:rsidRDefault="0059039F" w:rsidP="0059039F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ind w:left="459"/>
            </w:pPr>
            <w:r w:rsidRPr="007213F0">
              <w:t>&gt;50% of a 30-min period If evolving from a burst suppression background</w:t>
            </w:r>
          </w:p>
          <w:p w:rsidR="0059039F" w:rsidRPr="007213F0" w:rsidRDefault="0059039F" w:rsidP="0059039F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ind w:left="459"/>
            </w:pPr>
            <w:r w:rsidRPr="007213F0">
              <w:t>&gt;30 min if evolving from a continuous background</w:t>
            </w:r>
          </w:p>
        </w:tc>
      </w:tr>
      <w:tr w:rsidR="0059039F" w:rsidRPr="006235AA" w:rsidTr="0059039F">
        <w:tc>
          <w:tcPr>
            <w:tcW w:w="2093" w:type="dxa"/>
            <w:tcBorders>
              <w:bottom w:val="single" w:sz="8" w:space="0" w:color="4F81BD"/>
            </w:tcBorders>
          </w:tcPr>
          <w:p w:rsidR="0059039F" w:rsidRPr="00BF0ED7" w:rsidRDefault="0059039F" w:rsidP="0059039F">
            <w:pPr>
              <w:rPr>
                <w:b/>
                <w:bCs/>
                <w:lang w:val="en-GB"/>
              </w:rPr>
            </w:pPr>
            <w:bookmarkStart w:id="0" w:name="_GoBack"/>
            <w:bookmarkEnd w:id="0"/>
            <w:proofErr w:type="spellStart"/>
            <w:r w:rsidRPr="00BF0ED7">
              <w:rPr>
                <w:b/>
                <w:bCs/>
                <w:lang w:val="en-GB"/>
              </w:rPr>
              <w:t>Wennerwirta</w:t>
            </w:r>
            <w:proofErr w:type="spellEnd"/>
            <w:r w:rsidRPr="00BF0ED7">
              <w:rPr>
                <w:b/>
                <w:bCs/>
                <w:lang w:val="en-GB"/>
              </w:rPr>
              <w:t>, 2009</w:t>
            </w:r>
          </w:p>
        </w:tc>
        <w:tc>
          <w:tcPr>
            <w:tcW w:w="7371" w:type="dxa"/>
            <w:tcBorders>
              <w:bottom w:val="single" w:sz="8" w:space="0" w:color="4F81BD"/>
            </w:tcBorders>
          </w:tcPr>
          <w:p w:rsidR="0059039F" w:rsidRPr="00BF0ED7" w:rsidRDefault="0059039F" w:rsidP="0059039F">
            <w:pPr>
              <w:rPr>
                <w:lang w:val="en-GB"/>
              </w:rPr>
            </w:pPr>
            <w:r w:rsidRPr="00BF0ED7">
              <w:rPr>
                <w:lang w:val="en-GB"/>
              </w:rPr>
              <w:t>Continuous epileptiform  pattern without normal EEG activity or reactivity</w:t>
            </w:r>
          </w:p>
        </w:tc>
        <w:tc>
          <w:tcPr>
            <w:tcW w:w="5245" w:type="dxa"/>
            <w:tcBorders>
              <w:bottom w:val="single" w:sz="8" w:space="0" w:color="4F81BD"/>
            </w:tcBorders>
          </w:tcPr>
          <w:p w:rsidR="0059039F" w:rsidRPr="00BF0ED7" w:rsidRDefault="0059039F" w:rsidP="0059039F">
            <w:pPr>
              <w:rPr>
                <w:lang w:val="en-GB"/>
              </w:rPr>
            </w:pPr>
            <w:r w:rsidRPr="00BF0ED7">
              <w:rPr>
                <w:lang w:val="en-GB"/>
              </w:rPr>
              <w:t>Pattern lasting both during TH and after RW</w:t>
            </w:r>
          </w:p>
        </w:tc>
      </w:tr>
    </w:tbl>
    <w:p w:rsidR="0059039F" w:rsidRPr="007213F0" w:rsidRDefault="0059039F" w:rsidP="0059039F">
      <w:pPr>
        <w:rPr>
          <w:b/>
          <w:i/>
          <w:lang w:val="en-GB"/>
        </w:rPr>
      </w:pPr>
    </w:p>
    <w:p w:rsidR="0059039F" w:rsidRDefault="0059039F" w:rsidP="0059039F">
      <w:pPr>
        <w:rPr>
          <w:lang w:val="en-GB"/>
        </w:rPr>
      </w:pPr>
      <w:r w:rsidRPr="007213F0">
        <w:rPr>
          <w:b/>
          <w:i/>
          <w:lang w:val="en-GB"/>
        </w:rPr>
        <w:t xml:space="preserve">Abbreviations - </w:t>
      </w:r>
      <w:r w:rsidRPr="007213F0">
        <w:rPr>
          <w:b/>
          <w:lang w:val="en-GB"/>
        </w:rPr>
        <w:t xml:space="preserve"> </w:t>
      </w:r>
      <w:r w:rsidRPr="007213F0">
        <w:rPr>
          <w:i/>
          <w:lang w:val="en-GB"/>
        </w:rPr>
        <w:t>BIPED</w:t>
      </w:r>
      <w:r w:rsidRPr="007213F0">
        <w:rPr>
          <w:lang w:val="en-GB"/>
        </w:rPr>
        <w:t xml:space="preserve">, </w:t>
      </w:r>
      <w:r w:rsidRPr="007213F0">
        <w:rPr>
          <w:i/>
          <w:lang w:val="en-GB"/>
        </w:rPr>
        <w:t xml:space="preserve">GPED, PLED: </w:t>
      </w:r>
      <w:r w:rsidRPr="007213F0">
        <w:rPr>
          <w:lang w:val="en-GB"/>
        </w:rPr>
        <w:t xml:space="preserve"> Bilateral, Generalised, or Periodic </w:t>
      </w:r>
      <w:proofErr w:type="spellStart"/>
      <w:r w:rsidRPr="007213F0">
        <w:rPr>
          <w:lang w:val="en-GB"/>
        </w:rPr>
        <w:t>Laterized</w:t>
      </w:r>
      <w:proofErr w:type="spellEnd"/>
      <w:r w:rsidRPr="007213F0">
        <w:rPr>
          <w:lang w:val="en-GB"/>
        </w:rPr>
        <w:t xml:space="preserve"> Epileptiform Discharges.  </w:t>
      </w:r>
      <w:r w:rsidRPr="007213F0">
        <w:rPr>
          <w:i/>
          <w:lang w:val="en-GB"/>
        </w:rPr>
        <w:t xml:space="preserve">ESE: </w:t>
      </w:r>
      <w:r w:rsidRPr="007213F0">
        <w:rPr>
          <w:lang w:val="en-GB"/>
        </w:rPr>
        <w:t xml:space="preserve"> electrographic status epilepticus.</w:t>
      </w:r>
    </w:p>
    <w:p w:rsidR="0059039F" w:rsidRDefault="0059039F" w:rsidP="0059039F">
      <w:pPr>
        <w:rPr>
          <w:lang w:val="en-US" w:eastAsia="it-IT"/>
        </w:rPr>
      </w:pPr>
    </w:p>
    <w:p w:rsidR="00CE04F9" w:rsidRDefault="00CE04F9" w:rsidP="0059039F"/>
    <w:sectPr w:rsidR="00CE04F9" w:rsidSect="00003BE7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746F1"/>
    <w:multiLevelType w:val="hybridMultilevel"/>
    <w:tmpl w:val="304AF6AA"/>
    <w:lvl w:ilvl="0" w:tplc="0D3E6C5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8C4928"/>
    <w:multiLevelType w:val="hybridMultilevel"/>
    <w:tmpl w:val="74100592"/>
    <w:lvl w:ilvl="0" w:tplc="0D3E6C5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15BEF"/>
    <w:multiLevelType w:val="hybridMultilevel"/>
    <w:tmpl w:val="536CD22E"/>
    <w:lvl w:ilvl="0" w:tplc="0D3E6C5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9F"/>
    <w:rsid w:val="00003BE7"/>
    <w:rsid w:val="001819ED"/>
    <w:rsid w:val="00276E42"/>
    <w:rsid w:val="00353316"/>
    <w:rsid w:val="003B2073"/>
    <w:rsid w:val="004D691B"/>
    <w:rsid w:val="00575F85"/>
    <w:rsid w:val="0059039F"/>
    <w:rsid w:val="006235AA"/>
    <w:rsid w:val="006C68BA"/>
    <w:rsid w:val="007E3BB6"/>
    <w:rsid w:val="00935C22"/>
    <w:rsid w:val="0095741D"/>
    <w:rsid w:val="00A16D07"/>
    <w:rsid w:val="00B96B32"/>
    <w:rsid w:val="00C203EF"/>
    <w:rsid w:val="00CE04F9"/>
    <w:rsid w:val="00D17DE9"/>
    <w:rsid w:val="00EA7DC3"/>
    <w:rsid w:val="00FA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9039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59039F"/>
    <w:pPr>
      <w:keepNext/>
      <w:keepLines/>
      <w:spacing w:before="200" w:after="0" w:line="480" w:lineRule="auto"/>
      <w:outlineLvl w:val="1"/>
    </w:pPr>
    <w:rPr>
      <w:rFonts w:ascii="Cambria" w:hAnsi="Cambria"/>
      <w:b/>
      <w:bCs/>
      <w:color w:val="4F81BD"/>
      <w:sz w:val="26"/>
      <w:szCs w:val="26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locked/>
    <w:rsid w:val="0059039F"/>
    <w:rPr>
      <w:rFonts w:ascii="Cambria" w:hAnsi="Cambria"/>
      <w:b/>
      <w:bCs/>
      <w:color w:val="4F81BD"/>
      <w:sz w:val="26"/>
      <w:szCs w:val="26"/>
      <w:lang w:val="en-US" w:eastAsia="it-IT" w:bidi="ar-SA"/>
    </w:rPr>
  </w:style>
  <w:style w:type="paragraph" w:customStyle="1" w:styleId="Paragrafoelenco1">
    <w:name w:val="Paragrafo elenco1"/>
    <w:basedOn w:val="Normale"/>
    <w:rsid w:val="0059039F"/>
    <w:pPr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9039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59039F"/>
    <w:pPr>
      <w:keepNext/>
      <w:keepLines/>
      <w:spacing w:before="200" w:after="0" w:line="480" w:lineRule="auto"/>
      <w:outlineLvl w:val="1"/>
    </w:pPr>
    <w:rPr>
      <w:rFonts w:ascii="Cambria" w:hAnsi="Cambria"/>
      <w:b/>
      <w:bCs/>
      <w:color w:val="4F81BD"/>
      <w:sz w:val="26"/>
      <w:szCs w:val="26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locked/>
    <w:rsid w:val="0059039F"/>
    <w:rPr>
      <w:rFonts w:ascii="Cambria" w:hAnsi="Cambria"/>
      <w:b/>
      <w:bCs/>
      <w:color w:val="4F81BD"/>
      <w:sz w:val="26"/>
      <w:szCs w:val="26"/>
      <w:lang w:val="en-US" w:eastAsia="it-IT" w:bidi="ar-SA"/>
    </w:rPr>
  </w:style>
  <w:style w:type="paragraph" w:customStyle="1" w:styleId="Paragrafoelenco1">
    <w:name w:val="Paragrafo elenco1"/>
    <w:basedOn w:val="Normale"/>
    <w:rsid w:val="0059039F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ESM Appendix 4  – Definitions of status epilepticus</vt:lpstr>
    </vt:vector>
  </TitlesOfParts>
  <Company>ucsc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ESM Appendix 4  – Definitions of status epilepticus</dc:title>
  <dc:creator>Claudio Sandroni</dc:creator>
  <cp:lastModifiedBy>Claudio Sandroni</cp:lastModifiedBy>
  <cp:revision>4</cp:revision>
  <dcterms:created xsi:type="dcterms:W3CDTF">2014-06-06T16:12:00Z</dcterms:created>
  <dcterms:modified xsi:type="dcterms:W3CDTF">2014-08-20T16:06:00Z</dcterms:modified>
</cp:coreProperties>
</file>