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C87BC" w14:textId="77777777" w:rsidR="007172E7" w:rsidRPr="00496A46" w:rsidRDefault="007172E7">
      <w:pPr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Online supplement for</w:t>
      </w:r>
    </w:p>
    <w:p w14:paraId="07D0296B" w14:textId="77777777" w:rsidR="007172E7" w:rsidRPr="00496A46" w:rsidRDefault="007172E7">
      <w:pPr>
        <w:rPr>
          <w:rFonts w:asciiTheme="minorBidi" w:hAnsiTheme="minorBidi"/>
          <w:sz w:val="22"/>
          <w:szCs w:val="22"/>
        </w:rPr>
      </w:pPr>
    </w:p>
    <w:p w14:paraId="015BD10B" w14:textId="7FCDFBD4" w:rsidR="00804BC6" w:rsidRDefault="007172E7" w:rsidP="00804BC6">
      <w:pPr>
        <w:spacing w:line="480" w:lineRule="auto"/>
        <w:jc w:val="center"/>
        <w:rPr>
          <w:rFonts w:asciiTheme="minorBidi" w:eastAsia="Times New Roman" w:hAnsiTheme="minorBidi"/>
          <w:b/>
          <w:sz w:val="22"/>
          <w:szCs w:val="22"/>
          <w:shd w:val="clear" w:color="auto" w:fill="FFFFFF"/>
          <w:lang w:val="en-GB"/>
        </w:rPr>
      </w:pPr>
      <w:r w:rsidRPr="00496A46">
        <w:rPr>
          <w:rFonts w:asciiTheme="minorBidi" w:eastAsia="Times New Roman" w:hAnsiTheme="minorBidi"/>
          <w:b/>
          <w:sz w:val="22"/>
          <w:szCs w:val="22"/>
          <w:shd w:val="clear" w:color="auto" w:fill="FFFFFF"/>
          <w:lang w:val="en-GB"/>
        </w:rPr>
        <w:t>The Intensive Care Medicine Research Ag</w:t>
      </w:r>
      <w:r w:rsidR="00804BC6">
        <w:rPr>
          <w:rFonts w:asciiTheme="minorBidi" w:eastAsia="Times New Roman" w:hAnsiTheme="minorBidi"/>
          <w:b/>
          <w:sz w:val="22"/>
          <w:szCs w:val="22"/>
          <w:shd w:val="clear" w:color="auto" w:fill="FFFFFF"/>
          <w:lang w:val="en-GB"/>
        </w:rPr>
        <w:t xml:space="preserve">enda in Nutrition and </w:t>
      </w:r>
      <w:r w:rsidR="006F203A">
        <w:rPr>
          <w:rFonts w:asciiTheme="minorBidi" w:eastAsia="Times New Roman" w:hAnsiTheme="minorBidi"/>
          <w:b/>
          <w:sz w:val="22"/>
          <w:szCs w:val="22"/>
          <w:shd w:val="clear" w:color="auto" w:fill="FFFFFF"/>
          <w:lang w:val="en-GB"/>
        </w:rPr>
        <w:t>Metabolism</w:t>
      </w:r>
    </w:p>
    <w:p w14:paraId="5903AC3C" w14:textId="734E3E59" w:rsidR="00804BC6" w:rsidRPr="00496A46" w:rsidRDefault="00804BC6" w:rsidP="00804BC6">
      <w:pPr>
        <w:tabs>
          <w:tab w:val="left" w:pos="9360"/>
        </w:tabs>
        <w:rPr>
          <w:rFonts w:asciiTheme="minorBidi" w:eastAsia="Times New Roman" w:hAnsiTheme="minorBidi"/>
          <w:b/>
          <w:bCs/>
          <w:sz w:val="22"/>
          <w:szCs w:val="22"/>
          <w:lang w:val="en-GB"/>
        </w:rPr>
      </w:pPr>
      <w:bookmarkStart w:id="0" w:name="_GoBack"/>
      <w:bookmarkEnd w:id="0"/>
      <w:r w:rsidRPr="00496A46">
        <w:rPr>
          <w:rFonts w:asciiTheme="minorBidi" w:eastAsia="Times New Roman" w:hAnsiTheme="minorBidi"/>
          <w:b/>
          <w:bCs/>
          <w:sz w:val="22"/>
          <w:szCs w:val="22"/>
          <w:lang w:val="en-GB"/>
        </w:rPr>
        <w:t>Supplementary References</w:t>
      </w:r>
    </w:p>
    <w:p w14:paraId="7CF3574E" w14:textId="77777777" w:rsidR="00804BC6" w:rsidRPr="00496A46" w:rsidRDefault="00804BC6" w:rsidP="00804BC6">
      <w:pPr>
        <w:tabs>
          <w:tab w:val="left" w:pos="9360"/>
        </w:tabs>
        <w:rPr>
          <w:rFonts w:asciiTheme="minorBidi" w:hAnsiTheme="minorBidi"/>
          <w:sz w:val="22"/>
          <w:szCs w:val="22"/>
        </w:rPr>
      </w:pPr>
    </w:p>
    <w:p w14:paraId="1E693F8D" w14:textId="77777777" w:rsidR="00804BC6" w:rsidRPr="00496A46" w:rsidRDefault="00804BC6" w:rsidP="00804BC6">
      <w:pPr>
        <w:tabs>
          <w:tab w:val="left" w:pos="9360"/>
        </w:tabs>
        <w:spacing w:line="480" w:lineRule="auto"/>
        <w:rPr>
          <w:rFonts w:asciiTheme="minorBidi" w:eastAsia="Times New Roman" w:hAnsiTheme="minorBidi"/>
          <w:b/>
          <w:bCs/>
          <w:sz w:val="22"/>
          <w:szCs w:val="22"/>
          <w:lang w:val="en-GB"/>
        </w:rPr>
      </w:pPr>
      <w:r w:rsidRPr="00496A46">
        <w:rPr>
          <w:rFonts w:asciiTheme="minorBidi" w:eastAsia="Times New Roman" w:hAnsiTheme="minorBidi"/>
          <w:b/>
          <w:bCs/>
          <w:sz w:val="22"/>
          <w:szCs w:val="22"/>
          <w:lang w:val="en-GB"/>
        </w:rPr>
        <w:t>Current Practice</w:t>
      </w:r>
    </w:p>
    <w:p w14:paraId="46B7D392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Bendavid I, Singer P, Theilla M, et al. NutritionDay ICU: A 7 year worldwide prevalence study of nutrition practice in intensive care. Clin Nutr 2016.</w:t>
      </w:r>
    </w:p>
    <w:p w14:paraId="153C6F98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Fulbrook P, Bongers A, Albarran JW. A European survey of enteral nutrition practices and procedures in adult intensive care units. J Clin Nurs 2007;16:2132-41.</w:t>
      </w:r>
    </w:p>
    <w:p w14:paraId="4A91CEBE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174843">
        <w:rPr>
          <w:rFonts w:asciiTheme="minorBidi" w:hAnsiTheme="minorBidi"/>
          <w:noProof/>
          <w:sz w:val="22"/>
          <w:szCs w:val="22"/>
          <w:lang w:val="fr-FR"/>
        </w:rPr>
        <w:t xml:space="preserve">Alberda C, Gramlich L, Jones N, et al. </w:t>
      </w:r>
      <w:r w:rsidRPr="00496A46">
        <w:rPr>
          <w:rFonts w:asciiTheme="minorBidi" w:hAnsiTheme="minorBidi"/>
          <w:noProof/>
          <w:sz w:val="22"/>
          <w:szCs w:val="22"/>
        </w:rPr>
        <w:t>The relationship between nutritional intake and clinical outcomes in critically ill patients: results of an international multicenter observational study. Intensive Care Med 2009;35:1728-37.</w:t>
      </w:r>
    </w:p>
    <w:p w14:paraId="56B53586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Fuentes Padilla P, Martinez G, Vernooij RW, Cosp XB, Alonso-Coello P. Nutrition in critically ill adults: A systematic quality assessment of clinical practice guidelines. Clin Nutr 2016.</w:t>
      </w:r>
    </w:p>
    <w:p w14:paraId="00D3421B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439BB2EA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b/>
          <w:sz w:val="22"/>
          <w:szCs w:val="22"/>
          <w:lang w:val="en-GB"/>
        </w:rPr>
      </w:pPr>
      <w:r w:rsidRPr="00496A46">
        <w:rPr>
          <w:rFonts w:asciiTheme="minorBidi" w:hAnsiTheme="minorBidi"/>
          <w:b/>
          <w:sz w:val="22"/>
          <w:szCs w:val="22"/>
          <w:lang w:val="en-GB"/>
        </w:rPr>
        <w:t>Provision of calories and protein</w:t>
      </w:r>
    </w:p>
    <w:p w14:paraId="472BA22F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6FF9CEF2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174843">
        <w:rPr>
          <w:rFonts w:asciiTheme="minorBidi" w:hAnsiTheme="minorBidi"/>
          <w:noProof/>
          <w:sz w:val="22"/>
          <w:szCs w:val="22"/>
          <w:lang w:val="fr-FR"/>
        </w:rPr>
        <w:t xml:space="preserve">Nguyen NQ, Besanko LK, Burgstad C, et al. </w:t>
      </w:r>
      <w:r w:rsidRPr="00496A46">
        <w:rPr>
          <w:rFonts w:asciiTheme="minorBidi" w:hAnsiTheme="minorBidi"/>
          <w:noProof/>
          <w:sz w:val="22"/>
          <w:szCs w:val="22"/>
        </w:rPr>
        <w:t>Delayed enteral feeding impairs intestinal carbohydrate absorption in critically ill patients. Crit Care Med 2012;40:50-4.</w:t>
      </w:r>
    </w:p>
    <w:p w14:paraId="5D850D01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Kang W, Kudsk KA. Is there evidence that the gut contributes to mucosal immunity in humans? JPEN J Parenter Enteral Nutr 2007;31:246-58.</w:t>
      </w:r>
    </w:p>
    <w:p w14:paraId="5450B934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Kudsk KA. Current aspects of mucosal immunology and its influence by nutrition. Am J Surg 2002;183:390-8.</w:t>
      </w:r>
    </w:p>
    <w:p w14:paraId="37DDD190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Jabbar A, Chang WK, Dryden GW, McClave SA. Gut immunology and the differential response to feeding and starvation. Nutrition in clinical practice : official publication of the American Society for Parenteral and Enteral Nutrition 2003;18:461-82.</w:t>
      </w:r>
    </w:p>
    <w:p w14:paraId="53BD5AB3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224D799E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b/>
          <w:sz w:val="22"/>
          <w:szCs w:val="22"/>
          <w:lang w:val="en-GB"/>
        </w:rPr>
      </w:pPr>
      <w:r w:rsidRPr="00496A46">
        <w:rPr>
          <w:rFonts w:asciiTheme="minorBidi" w:hAnsiTheme="minorBidi"/>
          <w:b/>
          <w:sz w:val="22"/>
          <w:szCs w:val="22"/>
          <w:lang w:val="en-GB"/>
        </w:rPr>
        <w:t>Feeding of severely ill and/or malnourished patients</w:t>
      </w:r>
    </w:p>
    <w:p w14:paraId="113F6E27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b/>
          <w:sz w:val="22"/>
          <w:szCs w:val="22"/>
          <w:lang w:val="en-GB"/>
        </w:rPr>
      </w:pPr>
    </w:p>
    <w:p w14:paraId="49719A25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Kuchnia A, Earthman C, Teigen L, et al. Evaluation of Bioelectrical Impedance Analysis in Critically Ill Patients: Results of a Multicenter Prospective Study. JPEN J Parenter Enteral Nutr 2016.</w:t>
      </w:r>
    </w:p>
    <w:p w14:paraId="26335E53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Weijs PJ, Looijaard WG, Dekker IM, et al. Low skeletal muscle area is a risk factor for mortality in mechanically ventilated critically ill patients. Crit Care 2014;18:R12.</w:t>
      </w:r>
    </w:p>
    <w:p w14:paraId="1BB66AAD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174843">
        <w:rPr>
          <w:rFonts w:asciiTheme="minorBidi" w:hAnsiTheme="minorBidi"/>
          <w:noProof/>
          <w:sz w:val="22"/>
          <w:szCs w:val="22"/>
          <w:lang w:val="fr-FR"/>
        </w:rPr>
        <w:t xml:space="preserve">Moisey LL, Mourtzakis M, Cotton BA, et al. </w:t>
      </w:r>
      <w:r w:rsidRPr="00496A46">
        <w:rPr>
          <w:rFonts w:asciiTheme="minorBidi" w:hAnsiTheme="minorBidi"/>
          <w:noProof/>
          <w:sz w:val="22"/>
          <w:szCs w:val="22"/>
        </w:rPr>
        <w:t>Skeletal muscle predicts ventilator-free days, ICU-free days, and mortality in elderly ICU patients. Crit Care 2013;17:R206.</w:t>
      </w:r>
    </w:p>
    <w:p w14:paraId="40271E21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Thibault R, Makhlouf AM, Mulliez A, et al. Fat-free mass at admission predicts 28-day mortality in intensive care unit patients: the international prospective observational study Phase Angle Project. Intensive Care Med 2016;42:1445-53.</w:t>
      </w:r>
    </w:p>
    <w:p w14:paraId="37BBA311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Looijaard WG, Dekker IM, Stapel SN, et al. Skeletal muscle quality as assessed by CT-derived skeletal muscle density is associated with 6-month mortality in mechanically ventilated critically ill patients. Crit Care 2016;20:386.</w:t>
      </w:r>
    </w:p>
    <w:p w14:paraId="346B9D2A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Paris M, Mourtzakis M. Assessment of skeletal muscle mass in critically ill patients: considerations for the utility of computed tomography imaging and ultrasonography. Curr Opin Clin Nutr Metab Care 2016;19:125-30</w:t>
      </w:r>
    </w:p>
    <w:p w14:paraId="1F7933DE" w14:textId="77777777" w:rsidR="00804BC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07C79CCD" w14:textId="77777777" w:rsidR="00804BC6" w:rsidRPr="00D131B0" w:rsidRDefault="00804BC6" w:rsidP="00804BC6">
      <w:pPr>
        <w:tabs>
          <w:tab w:val="left" w:pos="9360"/>
        </w:tabs>
        <w:spacing w:line="480" w:lineRule="auto"/>
        <w:rPr>
          <w:rFonts w:asciiTheme="minorBidi" w:hAnsiTheme="minorBidi"/>
          <w:b/>
          <w:iCs/>
          <w:sz w:val="22"/>
          <w:szCs w:val="22"/>
        </w:rPr>
      </w:pPr>
      <w:r w:rsidRPr="00D131B0">
        <w:rPr>
          <w:rFonts w:asciiTheme="minorBidi" w:hAnsiTheme="minorBidi"/>
          <w:b/>
          <w:iCs/>
          <w:sz w:val="22"/>
          <w:szCs w:val="22"/>
          <w:lang w:val="en-GB"/>
        </w:rPr>
        <w:t>Immune-modulating nutrition</w:t>
      </w:r>
    </w:p>
    <w:p w14:paraId="0FD70D16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Osland E, Hossain MB, Khan S, Memon MA. Effect of timing of pharmaconutrition (immunonutrition) administration on outcomes of elective surgery for gastrointestinal malignancies: a systematic review and meta-analysis. JPEN J Parenter Enteral Nutr 2014;38:53-69.</w:t>
      </w:r>
    </w:p>
    <w:p w14:paraId="481DC9B4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lastRenderedPageBreak/>
        <w:t>Drover JW, Dhaliwal R, Weitzel L, Wischmeyer PE, Ochoa JB, Heyland DK. Perioperative use of arginine-supplemented diets: a systematic review of the evidence. J Am Coll Surg 2011;212:385-99, 99 e1.</w:t>
      </w:r>
    </w:p>
    <w:p w14:paraId="39CFC785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Marimuthu K, Varadhan KK, Ljungqvist O, Lobo DN. A meta-analysis of the effect of combinations of immune modulating nutrients on outcome in patients undergoing major open gastrointestinal surgery. Ann Surg 2012;255:1060-8.</w:t>
      </w:r>
    </w:p>
    <w:p w14:paraId="73261DF1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Mazaki T, Ishii Y, Murai I. Immunoenhancing enteral and parenteral nutrition for gastrointestinal surgery: a multiple-treatments meta-analysis. Ann Surg 2015;261:662-9.</w:t>
      </w:r>
    </w:p>
    <w:p w14:paraId="1857A495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Lasztity N, Hamvas J, Biro L, et al. Effect of enterally administered n-3 polyunsaturated fatty acids in acute pancreatitis--a prospective randomized clinical trial. Clin Nutr 2005;24:198-205.</w:t>
      </w:r>
    </w:p>
    <w:p w14:paraId="7551AFAF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Hallay J, Kovacs G, Szatmari K, et al. Early jejunal nutrition and changes in the immunological parameters of patients with acute pancreatitis. Hepatogastroenterology 2001;48:1488-92.</w:t>
      </w:r>
    </w:p>
    <w:p w14:paraId="59CDB852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Pearce CB, Sadek SA, Walters AM, et al. A double-blind, randomised, controlled trial to study the effects of an enteral feed supplemented with glutamine, arginine, and omega-3 fatty acid in predicted acute severe pancreatitis. JOP 2006;7:361-71.</w:t>
      </w:r>
    </w:p>
    <w:p w14:paraId="4425036C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Petrov MS, Atduev VA, Zagainov VE. Advanced enteral therapy in acute pancreatitis: is there a room for immunonutrition? A meta-analysis. Int J Surg 2008;6:119-24.</w:t>
      </w:r>
    </w:p>
    <w:p w14:paraId="5B0113B5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535DFFE9" w14:textId="77777777" w:rsidR="00804BC6" w:rsidRPr="00D131B0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b/>
          <w:iCs/>
          <w:sz w:val="22"/>
          <w:szCs w:val="22"/>
          <w:lang w:val="en-GB"/>
        </w:rPr>
      </w:pPr>
      <w:r w:rsidRPr="00D131B0">
        <w:rPr>
          <w:rFonts w:asciiTheme="minorBidi" w:hAnsiTheme="minorBidi"/>
          <w:b/>
          <w:iCs/>
          <w:sz w:val="22"/>
          <w:szCs w:val="22"/>
          <w:lang w:val="en-GB"/>
        </w:rPr>
        <w:t>Glucose control</w:t>
      </w:r>
    </w:p>
    <w:p w14:paraId="582F82D5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31BB0284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174843">
        <w:rPr>
          <w:rFonts w:asciiTheme="minorBidi" w:hAnsiTheme="minorBidi"/>
          <w:noProof/>
          <w:sz w:val="22"/>
          <w:szCs w:val="22"/>
          <w:lang w:val="fr-FR"/>
        </w:rPr>
        <w:t xml:space="preserve">Kalfon P, Giraudeau B, Ichai C, et al. </w:t>
      </w:r>
      <w:r w:rsidRPr="00496A46">
        <w:rPr>
          <w:rFonts w:asciiTheme="minorBidi" w:hAnsiTheme="minorBidi"/>
          <w:noProof/>
          <w:sz w:val="22"/>
          <w:szCs w:val="22"/>
        </w:rPr>
        <w:t>Tight computerized versus conventional glucose control in the ICU: a randomized controlled trial. Intensive Care Med 2014;40:171-81.</w:t>
      </w:r>
    </w:p>
    <w:p w14:paraId="6E5C5353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Umpierrez GE, Smiley D, Jacobs S, et al. Randomized study of basal-bolus insulin therapy in the inpatient management of patients with type 2 diabetes undergoing general surgery (RABBIT 2 surgery). Diabetes Care 2011;34:256-61.</w:t>
      </w:r>
    </w:p>
    <w:p w14:paraId="66F57B08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Krinsley JS, Egi M, Kiss A, et al. Diabetic status and the relation of the three domains of glycemic control to mortality in critically ill patients: an international multicenter cohort study. Crit Care 2013;17:R37.</w:t>
      </w:r>
    </w:p>
    <w:p w14:paraId="727DC0B0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174843">
        <w:rPr>
          <w:rFonts w:asciiTheme="minorBidi" w:hAnsiTheme="minorBidi"/>
          <w:noProof/>
          <w:sz w:val="22"/>
          <w:szCs w:val="22"/>
          <w:lang w:val="fr-FR"/>
        </w:rPr>
        <w:t xml:space="preserve">van Vught LA, Wiewel MA, Klein Klouwenberg PM, et al. </w:t>
      </w:r>
      <w:r w:rsidRPr="00496A46">
        <w:rPr>
          <w:rFonts w:asciiTheme="minorBidi" w:hAnsiTheme="minorBidi"/>
          <w:noProof/>
          <w:sz w:val="22"/>
          <w:szCs w:val="22"/>
        </w:rPr>
        <w:t>Admission Hyperglycemia in Critically Ill Sepsis Patients: Association With Outcome and Host Response. Crit Care Med 2016;44:1338-46.</w:t>
      </w:r>
    </w:p>
    <w:p w14:paraId="5D561786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Finfer S, Billot L. Managing blood glucose in critically ill patients with or without diabetes. Crit Care 2013;17:134.</w:t>
      </w:r>
    </w:p>
    <w:p w14:paraId="4AD1459F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Marik PE. Precision Glycemic Control in the ICU. Crit Care Med 2016;44:1433-4.</w:t>
      </w:r>
    </w:p>
    <w:p w14:paraId="5968CBB6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245BF4FD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eastAsia="Times New Roman" w:hAnsiTheme="minorBidi"/>
          <w:b/>
          <w:iCs/>
          <w:sz w:val="22"/>
          <w:szCs w:val="22"/>
          <w:shd w:val="clear" w:color="auto" w:fill="FFFFFF"/>
          <w:lang w:val="en-GB"/>
        </w:rPr>
      </w:pPr>
      <w:r w:rsidRPr="00496A46">
        <w:rPr>
          <w:rFonts w:asciiTheme="minorBidi" w:eastAsia="Times New Roman" w:hAnsiTheme="minorBidi"/>
          <w:b/>
          <w:iCs/>
          <w:sz w:val="22"/>
          <w:szCs w:val="22"/>
          <w:shd w:val="clear" w:color="auto" w:fill="FFFFFF"/>
          <w:lang w:val="en-GB"/>
        </w:rPr>
        <w:t>Management of intestinal and gastric feeding intolerance</w:t>
      </w:r>
    </w:p>
    <w:p w14:paraId="76D248A7" w14:textId="77777777" w:rsidR="00804BC6" w:rsidRPr="00496A46" w:rsidRDefault="00804BC6" w:rsidP="00804BC6">
      <w:pPr>
        <w:pStyle w:val="EndNoteBibliography"/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</w:p>
    <w:p w14:paraId="7C3A1817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van der Meer YG, Venhuizen WA, Heyland DK, van Zanten AR. Should we stop prescribing metoclopramide as a prokinetic drug in critically ill patients? Crit Care 2014;18:502.</w:t>
      </w:r>
    </w:p>
    <w:p w14:paraId="5BBB1A12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Nguyen NQ, Chapman MJ, Fraser RJ, Bryant LK, Holloway RH. Erythromycin is more effective than metoclopramide in the treatment of feed intolerance in critical illness. Crit Care Med 2007;35:483-9.</w:t>
      </w:r>
    </w:p>
    <w:p w14:paraId="33E41E26" w14:textId="77777777" w:rsidR="00804BC6" w:rsidRPr="00496A46" w:rsidRDefault="00804BC6" w:rsidP="00804BC6">
      <w:pPr>
        <w:pStyle w:val="EndNoteBibliography"/>
        <w:numPr>
          <w:ilvl w:val="0"/>
          <w:numId w:val="34"/>
        </w:numPr>
        <w:tabs>
          <w:tab w:val="left" w:pos="9360"/>
        </w:tabs>
        <w:rPr>
          <w:rFonts w:asciiTheme="minorBidi" w:hAnsiTheme="minorBidi"/>
          <w:noProof/>
          <w:sz w:val="22"/>
          <w:szCs w:val="22"/>
        </w:rPr>
      </w:pPr>
      <w:r w:rsidRPr="00496A46">
        <w:rPr>
          <w:rFonts w:asciiTheme="minorBidi" w:hAnsiTheme="minorBidi"/>
          <w:noProof/>
          <w:sz w:val="22"/>
          <w:szCs w:val="22"/>
        </w:rPr>
        <w:t>Chapman MJ, Deane AM, O'Connor SL, et al. The effect of camicinal (GSK962040), a motilin agonist, on gastric emptying and glucose absorption in feed-intolerant critically ill patients: a randomized, blinded, placebo-controlled, clinical trial. Crit Care 2016;20:232.</w:t>
      </w:r>
    </w:p>
    <w:p w14:paraId="51656A13" w14:textId="77777777" w:rsidR="00804BC6" w:rsidRPr="00496A46" w:rsidRDefault="00804BC6" w:rsidP="00804BC6">
      <w:pPr>
        <w:tabs>
          <w:tab w:val="left" w:pos="9360"/>
        </w:tabs>
        <w:rPr>
          <w:rFonts w:asciiTheme="minorBidi" w:hAnsiTheme="minorBidi"/>
          <w:sz w:val="22"/>
          <w:szCs w:val="22"/>
        </w:rPr>
      </w:pPr>
    </w:p>
    <w:p w14:paraId="3AA345AD" w14:textId="77777777" w:rsidR="00804BC6" w:rsidRPr="00496A46" w:rsidRDefault="00804BC6" w:rsidP="00804BC6">
      <w:pPr>
        <w:tabs>
          <w:tab w:val="left" w:pos="9360"/>
        </w:tabs>
        <w:rPr>
          <w:rFonts w:asciiTheme="minorBidi" w:hAnsiTheme="minorBidi"/>
          <w:sz w:val="22"/>
          <w:szCs w:val="22"/>
        </w:rPr>
      </w:pPr>
    </w:p>
    <w:p w14:paraId="24B4D178" w14:textId="77777777" w:rsidR="00804BC6" w:rsidRPr="00496A46" w:rsidRDefault="00804BC6" w:rsidP="00804BC6">
      <w:pPr>
        <w:tabs>
          <w:tab w:val="left" w:pos="9360"/>
        </w:tabs>
        <w:rPr>
          <w:rFonts w:asciiTheme="minorBidi" w:hAnsiTheme="minorBidi"/>
          <w:sz w:val="22"/>
          <w:szCs w:val="22"/>
        </w:rPr>
      </w:pPr>
    </w:p>
    <w:p w14:paraId="47D4B758" w14:textId="77777777" w:rsidR="00804BC6" w:rsidRDefault="00804BC6" w:rsidP="00804BC6">
      <w:pPr>
        <w:rPr>
          <w:rFonts w:asciiTheme="minorBidi" w:hAnsiTheme="minorBidi"/>
          <w:b/>
          <w:sz w:val="22"/>
          <w:szCs w:val="22"/>
        </w:rPr>
      </w:pPr>
      <w:r>
        <w:rPr>
          <w:rFonts w:asciiTheme="minorBidi" w:hAnsiTheme="minorBidi"/>
          <w:b/>
          <w:sz w:val="22"/>
          <w:szCs w:val="22"/>
        </w:rPr>
        <w:br w:type="page"/>
      </w:r>
    </w:p>
    <w:p w14:paraId="468A8123" w14:textId="77777777" w:rsidR="00804BC6" w:rsidRPr="00496A46" w:rsidRDefault="00804BC6" w:rsidP="00804BC6">
      <w:pPr>
        <w:rPr>
          <w:rFonts w:asciiTheme="minorBidi" w:hAnsiTheme="minorBidi"/>
          <w:b/>
          <w:sz w:val="22"/>
          <w:szCs w:val="22"/>
        </w:rPr>
      </w:pPr>
      <w:r w:rsidRPr="00496A46">
        <w:rPr>
          <w:rFonts w:asciiTheme="minorBidi" w:hAnsiTheme="minorBidi"/>
          <w:b/>
          <w:sz w:val="22"/>
          <w:szCs w:val="22"/>
        </w:rPr>
        <w:lastRenderedPageBreak/>
        <w:t>References of Table S1</w:t>
      </w:r>
    </w:p>
    <w:p w14:paraId="4A88F135" w14:textId="77777777" w:rsidR="00804BC6" w:rsidRPr="00496A46" w:rsidRDefault="00804BC6" w:rsidP="00804BC6">
      <w:pPr>
        <w:pStyle w:val="EndNoteBibliographyTitle"/>
        <w:rPr>
          <w:rFonts w:asciiTheme="minorBidi" w:hAnsiTheme="minorBidi"/>
          <w:b/>
          <w:sz w:val="22"/>
          <w:szCs w:val="22"/>
        </w:rPr>
      </w:pPr>
    </w:p>
    <w:p w14:paraId="029A61C3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1.</w:t>
      </w:r>
      <w:r w:rsidRPr="00496A46">
        <w:rPr>
          <w:rFonts w:asciiTheme="minorBidi" w:hAnsiTheme="minorBidi"/>
          <w:sz w:val="22"/>
          <w:szCs w:val="22"/>
        </w:rPr>
        <w:tab/>
        <w:t xml:space="preserve">National Heart L, Blood Institute Acute Respiratory Distress S, Rice TW, et al. Initial trophic </w:t>
      </w:r>
      <w:proofErr w:type="spellStart"/>
      <w:r w:rsidRPr="00496A46">
        <w:rPr>
          <w:rFonts w:asciiTheme="minorBidi" w:hAnsiTheme="minorBidi"/>
          <w:sz w:val="22"/>
          <w:szCs w:val="22"/>
        </w:rPr>
        <w:t>vs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full enteral feeding in patients with acute lung injury: the EDEN randomized trial. </w:t>
      </w:r>
      <w:proofErr w:type="gramStart"/>
      <w:r w:rsidRPr="00496A46">
        <w:rPr>
          <w:rFonts w:asciiTheme="minorBidi" w:hAnsiTheme="minorBidi"/>
          <w:sz w:val="22"/>
          <w:szCs w:val="22"/>
        </w:rPr>
        <w:t>JAMA :</w:t>
      </w:r>
      <w:proofErr w:type="gramEnd"/>
      <w:r w:rsidRPr="00496A46">
        <w:rPr>
          <w:rFonts w:asciiTheme="minorBidi" w:hAnsiTheme="minorBidi"/>
          <w:sz w:val="22"/>
          <w:szCs w:val="22"/>
        </w:rPr>
        <w:t xml:space="preserve"> the journal of the American Medical Association 2012;307:795-803.</w:t>
      </w:r>
    </w:p>
    <w:p w14:paraId="77A531B4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2.</w:t>
      </w:r>
      <w:r w:rsidRPr="00496A46">
        <w:rPr>
          <w:rFonts w:asciiTheme="minorBidi" w:hAnsiTheme="minorBidi"/>
          <w:sz w:val="22"/>
          <w:szCs w:val="22"/>
        </w:rPr>
        <w:tab/>
      </w:r>
      <w:proofErr w:type="spellStart"/>
      <w:r w:rsidRPr="00496A46">
        <w:rPr>
          <w:rFonts w:asciiTheme="minorBidi" w:hAnsiTheme="minorBidi"/>
          <w:sz w:val="22"/>
          <w:szCs w:val="22"/>
        </w:rPr>
        <w:t>Arabi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YM, </w:t>
      </w:r>
      <w:proofErr w:type="spellStart"/>
      <w:r w:rsidRPr="00496A46">
        <w:rPr>
          <w:rFonts w:asciiTheme="minorBidi" w:hAnsiTheme="minorBidi"/>
          <w:sz w:val="22"/>
          <w:szCs w:val="22"/>
        </w:rPr>
        <w:t>Aldawood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AS, Haddad SH, et al. Permissive Underfeeding or Standard Enteral Feeding in Critically Ill Adults. N </w:t>
      </w:r>
      <w:proofErr w:type="spellStart"/>
      <w:r w:rsidRPr="00496A46">
        <w:rPr>
          <w:rFonts w:asciiTheme="minorBidi" w:hAnsiTheme="minorBidi"/>
          <w:sz w:val="22"/>
          <w:szCs w:val="22"/>
        </w:rPr>
        <w:t>Engl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J Med 2015</w:t>
      </w:r>
      <w:proofErr w:type="gramStart"/>
      <w:r w:rsidRPr="00496A46">
        <w:rPr>
          <w:rFonts w:asciiTheme="minorBidi" w:hAnsiTheme="minorBidi"/>
          <w:sz w:val="22"/>
          <w:szCs w:val="22"/>
        </w:rPr>
        <w:t>;372:2398</w:t>
      </w:r>
      <w:proofErr w:type="gramEnd"/>
      <w:r w:rsidRPr="00496A46">
        <w:rPr>
          <w:rFonts w:asciiTheme="minorBidi" w:hAnsiTheme="minorBidi"/>
          <w:sz w:val="22"/>
          <w:szCs w:val="22"/>
        </w:rPr>
        <w:t>-408.</w:t>
      </w:r>
    </w:p>
    <w:p w14:paraId="1770CB9E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3.</w:t>
      </w:r>
      <w:r w:rsidRPr="00496A46">
        <w:rPr>
          <w:rFonts w:asciiTheme="minorBidi" w:hAnsiTheme="minorBidi"/>
          <w:sz w:val="22"/>
          <w:szCs w:val="22"/>
        </w:rPr>
        <w:tab/>
      </w:r>
      <w:proofErr w:type="spellStart"/>
      <w:r w:rsidRPr="00496A46">
        <w:rPr>
          <w:rFonts w:asciiTheme="minorBidi" w:hAnsiTheme="minorBidi"/>
          <w:sz w:val="22"/>
          <w:szCs w:val="22"/>
        </w:rPr>
        <w:t>Casaer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MP, </w:t>
      </w:r>
      <w:proofErr w:type="spellStart"/>
      <w:r w:rsidRPr="00496A46">
        <w:rPr>
          <w:rFonts w:asciiTheme="minorBidi" w:hAnsiTheme="minorBidi"/>
          <w:sz w:val="22"/>
          <w:szCs w:val="22"/>
        </w:rPr>
        <w:t>Mesotten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D, </w:t>
      </w:r>
      <w:proofErr w:type="spellStart"/>
      <w:r w:rsidRPr="00496A46">
        <w:rPr>
          <w:rFonts w:asciiTheme="minorBidi" w:hAnsiTheme="minorBidi"/>
          <w:sz w:val="22"/>
          <w:szCs w:val="22"/>
        </w:rPr>
        <w:t>Hermans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G, et al. Early versus late parenteral nutrition in critically ill adults. N </w:t>
      </w:r>
      <w:proofErr w:type="spellStart"/>
      <w:r w:rsidRPr="00496A46">
        <w:rPr>
          <w:rFonts w:asciiTheme="minorBidi" w:hAnsiTheme="minorBidi"/>
          <w:sz w:val="22"/>
          <w:szCs w:val="22"/>
        </w:rPr>
        <w:t>Engl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J Med 2011</w:t>
      </w:r>
      <w:proofErr w:type="gramStart"/>
      <w:r w:rsidRPr="00496A46">
        <w:rPr>
          <w:rFonts w:asciiTheme="minorBidi" w:hAnsiTheme="minorBidi"/>
          <w:sz w:val="22"/>
          <w:szCs w:val="22"/>
        </w:rPr>
        <w:t>;365:506</w:t>
      </w:r>
      <w:proofErr w:type="gramEnd"/>
      <w:r w:rsidRPr="00496A46">
        <w:rPr>
          <w:rFonts w:asciiTheme="minorBidi" w:hAnsiTheme="minorBidi"/>
          <w:sz w:val="22"/>
          <w:szCs w:val="22"/>
        </w:rPr>
        <w:t>-17.</w:t>
      </w:r>
    </w:p>
    <w:p w14:paraId="5D40354D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4.</w:t>
      </w:r>
      <w:r w:rsidRPr="00496A46">
        <w:rPr>
          <w:rFonts w:asciiTheme="minorBidi" w:hAnsiTheme="minorBidi"/>
          <w:sz w:val="22"/>
          <w:szCs w:val="22"/>
        </w:rPr>
        <w:tab/>
      </w:r>
      <w:proofErr w:type="spellStart"/>
      <w:r w:rsidRPr="00496A46">
        <w:rPr>
          <w:rFonts w:asciiTheme="minorBidi" w:hAnsiTheme="minorBidi"/>
          <w:sz w:val="22"/>
          <w:szCs w:val="22"/>
        </w:rPr>
        <w:t>Fivez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T, </w:t>
      </w:r>
      <w:proofErr w:type="spellStart"/>
      <w:r w:rsidRPr="00496A46">
        <w:rPr>
          <w:rFonts w:asciiTheme="minorBidi" w:hAnsiTheme="minorBidi"/>
          <w:sz w:val="22"/>
          <w:szCs w:val="22"/>
        </w:rPr>
        <w:t>Kerklaan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D, </w:t>
      </w:r>
      <w:proofErr w:type="spellStart"/>
      <w:r w:rsidRPr="00496A46">
        <w:rPr>
          <w:rFonts w:asciiTheme="minorBidi" w:hAnsiTheme="minorBidi"/>
          <w:sz w:val="22"/>
          <w:szCs w:val="22"/>
        </w:rPr>
        <w:t>Mesotten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D, et al. Early versus Late Parenteral Nutrition in Critically Ill Children. N </w:t>
      </w:r>
      <w:proofErr w:type="spellStart"/>
      <w:r w:rsidRPr="00496A46">
        <w:rPr>
          <w:rFonts w:asciiTheme="minorBidi" w:hAnsiTheme="minorBidi"/>
          <w:sz w:val="22"/>
          <w:szCs w:val="22"/>
        </w:rPr>
        <w:t>Engl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J Med 2016</w:t>
      </w:r>
      <w:proofErr w:type="gramStart"/>
      <w:r w:rsidRPr="00496A46">
        <w:rPr>
          <w:rFonts w:asciiTheme="minorBidi" w:hAnsiTheme="minorBidi"/>
          <w:sz w:val="22"/>
          <w:szCs w:val="22"/>
        </w:rPr>
        <w:t>;374:1111</w:t>
      </w:r>
      <w:proofErr w:type="gramEnd"/>
      <w:r w:rsidRPr="00496A46">
        <w:rPr>
          <w:rFonts w:asciiTheme="minorBidi" w:hAnsiTheme="minorBidi"/>
          <w:sz w:val="22"/>
          <w:szCs w:val="22"/>
        </w:rPr>
        <w:t>-22.</w:t>
      </w:r>
    </w:p>
    <w:p w14:paraId="0349C110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5.</w:t>
      </w:r>
      <w:r w:rsidRPr="00496A46">
        <w:rPr>
          <w:rFonts w:asciiTheme="minorBidi" w:hAnsiTheme="minorBidi"/>
          <w:sz w:val="22"/>
          <w:szCs w:val="22"/>
        </w:rPr>
        <w:tab/>
      </w:r>
      <w:proofErr w:type="spellStart"/>
      <w:r w:rsidRPr="00496A46">
        <w:rPr>
          <w:rFonts w:asciiTheme="minorBidi" w:hAnsiTheme="minorBidi"/>
          <w:sz w:val="22"/>
          <w:szCs w:val="22"/>
        </w:rPr>
        <w:t>Doig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GS, Simpson F, </w:t>
      </w:r>
      <w:proofErr w:type="spellStart"/>
      <w:r w:rsidRPr="00496A46">
        <w:rPr>
          <w:rFonts w:asciiTheme="minorBidi" w:hAnsiTheme="minorBidi"/>
          <w:sz w:val="22"/>
          <w:szCs w:val="22"/>
        </w:rPr>
        <w:t>Sweetman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EA, et al. Early parenteral nutrition in critically ill patients with short-term relative contraindications to early enteral nutrition: a randomized controlled trial. JAMA 2013</w:t>
      </w:r>
      <w:proofErr w:type="gramStart"/>
      <w:r w:rsidRPr="00496A46">
        <w:rPr>
          <w:rFonts w:asciiTheme="minorBidi" w:hAnsiTheme="minorBidi"/>
          <w:sz w:val="22"/>
          <w:szCs w:val="22"/>
        </w:rPr>
        <w:t>;309:2130</w:t>
      </w:r>
      <w:proofErr w:type="gramEnd"/>
      <w:r w:rsidRPr="00496A46">
        <w:rPr>
          <w:rFonts w:asciiTheme="minorBidi" w:hAnsiTheme="minorBidi"/>
          <w:sz w:val="22"/>
          <w:szCs w:val="22"/>
        </w:rPr>
        <w:t>-8.</w:t>
      </w:r>
    </w:p>
    <w:p w14:paraId="3F80407B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6.</w:t>
      </w:r>
      <w:r w:rsidRPr="00496A46">
        <w:rPr>
          <w:rFonts w:asciiTheme="minorBidi" w:hAnsiTheme="minorBidi"/>
          <w:sz w:val="22"/>
          <w:szCs w:val="22"/>
        </w:rPr>
        <w:tab/>
        <w:t xml:space="preserve">Heidegger CP, Berger MM, Graf S, et al. </w:t>
      </w:r>
      <w:proofErr w:type="spellStart"/>
      <w:r w:rsidRPr="00496A46">
        <w:rPr>
          <w:rFonts w:asciiTheme="minorBidi" w:hAnsiTheme="minorBidi"/>
          <w:sz w:val="22"/>
          <w:szCs w:val="22"/>
        </w:rPr>
        <w:t>Optimisation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of energy provision with supplemental parenteral nutrition in critically ill patients: a </w:t>
      </w:r>
      <w:proofErr w:type="spellStart"/>
      <w:r w:rsidRPr="00496A46">
        <w:rPr>
          <w:rFonts w:asciiTheme="minorBidi" w:hAnsiTheme="minorBidi"/>
          <w:sz w:val="22"/>
          <w:szCs w:val="22"/>
        </w:rPr>
        <w:t>randomised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controlled clinical trial. Lancet 2013</w:t>
      </w:r>
      <w:proofErr w:type="gramStart"/>
      <w:r w:rsidRPr="00496A46">
        <w:rPr>
          <w:rFonts w:asciiTheme="minorBidi" w:hAnsiTheme="minorBidi"/>
          <w:sz w:val="22"/>
          <w:szCs w:val="22"/>
        </w:rPr>
        <w:t>;381:385</w:t>
      </w:r>
      <w:proofErr w:type="gramEnd"/>
      <w:r w:rsidRPr="00496A46">
        <w:rPr>
          <w:rFonts w:asciiTheme="minorBidi" w:hAnsiTheme="minorBidi"/>
          <w:sz w:val="22"/>
          <w:szCs w:val="22"/>
        </w:rPr>
        <w:t>-93.</w:t>
      </w:r>
    </w:p>
    <w:p w14:paraId="363674F8" w14:textId="77777777" w:rsidR="00804BC6" w:rsidRPr="00174843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  <w:lang w:val="fr-FR"/>
        </w:rPr>
      </w:pPr>
      <w:r w:rsidRPr="00496A46">
        <w:rPr>
          <w:rFonts w:asciiTheme="minorBidi" w:hAnsiTheme="minorBidi"/>
          <w:sz w:val="22"/>
          <w:szCs w:val="22"/>
        </w:rPr>
        <w:t>7.</w:t>
      </w:r>
      <w:r w:rsidRPr="00496A46">
        <w:rPr>
          <w:rFonts w:asciiTheme="minorBidi" w:hAnsiTheme="minorBidi"/>
          <w:sz w:val="22"/>
          <w:szCs w:val="22"/>
        </w:rPr>
        <w:tab/>
        <w:t xml:space="preserve">Harvey SE, Parrott F, Harrison DA, et al. Trial of the route of early nutritional support in critically ill adults. </w:t>
      </w:r>
      <w:r w:rsidRPr="00174843">
        <w:rPr>
          <w:rFonts w:asciiTheme="minorBidi" w:hAnsiTheme="minorBidi"/>
          <w:sz w:val="22"/>
          <w:szCs w:val="22"/>
          <w:lang w:val="fr-FR"/>
        </w:rPr>
        <w:t xml:space="preserve">N </w:t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Engl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J Med 2014;371:1673-84.</w:t>
      </w:r>
    </w:p>
    <w:p w14:paraId="6232271B" w14:textId="77777777" w:rsidR="00804BC6" w:rsidRPr="00174843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  <w:lang w:val="fr-FR"/>
        </w:rPr>
      </w:pPr>
      <w:r w:rsidRPr="00174843">
        <w:rPr>
          <w:rFonts w:asciiTheme="minorBidi" w:hAnsiTheme="minorBidi"/>
          <w:sz w:val="22"/>
          <w:szCs w:val="22"/>
          <w:lang w:val="fr-FR"/>
        </w:rPr>
        <w:t>8.</w:t>
      </w:r>
      <w:r w:rsidRPr="00174843">
        <w:rPr>
          <w:rFonts w:asciiTheme="minorBidi" w:hAnsiTheme="minorBidi"/>
          <w:sz w:val="22"/>
          <w:szCs w:val="22"/>
          <w:lang w:val="fr-FR"/>
        </w:rPr>
        <w:tab/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Montejo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JC, </w:t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Minambres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E, </w:t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Bordeje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L, et al. </w:t>
      </w:r>
      <w:r w:rsidRPr="00496A46">
        <w:rPr>
          <w:rFonts w:asciiTheme="minorBidi" w:hAnsiTheme="minorBidi"/>
          <w:sz w:val="22"/>
          <w:szCs w:val="22"/>
        </w:rPr>
        <w:t xml:space="preserve">Gastric residual volume during enteral nutrition in ICU patients: the REGANE study. </w:t>
      </w:r>
      <w:r w:rsidRPr="00174843">
        <w:rPr>
          <w:rFonts w:asciiTheme="minorBidi" w:hAnsiTheme="minorBidi"/>
          <w:sz w:val="22"/>
          <w:szCs w:val="22"/>
          <w:lang w:val="fr-FR"/>
        </w:rPr>
        <w:t>Intensive Care Med 2010;36:1386-93.</w:t>
      </w:r>
    </w:p>
    <w:p w14:paraId="39132EEB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174843">
        <w:rPr>
          <w:rFonts w:asciiTheme="minorBidi" w:hAnsiTheme="minorBidi"/>
          <w:sz w:val="22"/>
          <w:szCs w:val="22"/>
          <w:lang w:val="fr-FR"/>
        </w:rPr>
        <w:t>9.</w:t>
      </w:r>
      <w:r w:rsidRPr="00174843">
        <w:rPr>
          <w:rFonts w:asciiTheme="minorBidi" w:hAnsiTheme="minorBidi"/>
          <w:sz w:val="22"/>
          <w:szCs w:val="22"/>
          <w:lang w:val="fr-FR"/>
        </w:rPr>
        <w:tab/>
        <w:t xml:space="preserve">Reignier J, Mercier E, Le Gouge A, et al. </w:t>
      </w:r>
      <w:r w:rsidRPr="00496A46">
        <w:rPr>
          <w:rFonts w:asciiTheme="minorBidi" w:hAnsiTheme="minorBidi"/>
          <w:sz w:val="22"/>
          <w:szCs w:val="22"/>
        </w:rPr>
        <w:t>Effect of not monitoring residual gastric volume on risk of ventilator-associated pneumonia in adults receiving mechanical ventilation and early enteral feeding: a randomized controlled trial. JAMA 2013</w:t>
      </w:r>
      <w:proofErr w:type="gramStart"/>
      <w:r w:rsidRPr="00496A46">
        <w:rPr>
          <w:rFonts w:asciiTheme="minorBidi" w:hAnsiTheme="minorBidi"/>
          <w:sz w:val="22"/>
          <w:szCs w:val="22"/>
        </w:rPr>
        <w:t>;309:249</w:t>
      </w:r>
      <w:proofErr w:type="gramEnd"/>
      <w:r w:rsidRPr="00496A46">
        <w:rPr>
          <w:rFonts w:asciiTheme="minorBidi" w:hAnsiTheme="minorBidi"/>
          <w:sz w:val="22"/>
          <w:szCs w:val="22"/>
        </w:rPr>
        <w:t>-56.</w:t>
      </w:r>
    </w:p>
    <w:p w14:paraId="2FFBCDBB" w14:textId="77777777" w:rsidR="00804BC6" w:rsidRPr="00496A46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496A46">
        <w:rPr>
          <w:rFonts w:asciiTheme="minorBidi" w:hAnsiTheme="minorBidi"/>
          <w:sz w:val="22"/>
          <w:szCs w:val="22"/>
        </w:rPr>
        <w:t>10.</w:t>
      </w:r>
      <w:r w:rsidRPr="00496A46">
        <w:rPr>
          <w:rFonts w:asciiTheme="minorBidi" w:hAnsiTheme="minorBidi"/>
          <w:sz w:val="22"/>
          <w:szCs w:val="22"/>
        </w:rPr>
        <w:tab/>
      </w:r>
      <w:proofErr w:type="spellStart"/>
      <w:r w:rsidRPr="00496A46">
        <w:rPr>
          <w:rFonts w:asciiTheme="minorBidi" w:hAnsiTheme="minorBidi"/>
          <w:sz w:val="22"/>
          <w:szCs w:val="22"/>
        </w:rPr>
        <w:t>Heyland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D, </w:t>
      </w:r>
      <w:proofErr w:type="spellStart"/>
      <w:r w:rsidRPr="00496A46">
        <w:rPr>
          <w:rFonts w:asciiTheme="minorBidi" w:hAnsiTheme="minorBidi"/>
          <w:sz w:val="22"/>
          <w:szCs w:val="22"/>
        </w:rPr>
        <w:t>Muscedere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J, </w:t>
      </w:r>
      <w:proofErr w:type="spellStart"/>
      <w:r w:rsidRPr="00496A46">
        <w:rPr>
          <w:rFonts w:asciiTheme="minorBidi" w:hAnsiTheme="minorBidi"/>
          <w:sz w:val="22"/>
          <w:szCs w:val="22"/>
        </w:rPr>
        <w:t>Wischmeyer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PE, et al. </w:t>
      </w:r>
      <w:proofErr w:type="gramStart"/>
      <w:r w:rsidRPr="00496A46">
        <w:rPr>
          <w:rFonts w:asciiTheme="minorBidi" w:hAnsiTheme="minorBidi"/>
          <w:sz w:val="22"/>
          <w:szCs w:val="22"/>
        </w:rPr>
        <w:t>A randomized trial of glutamine and antioxidants in critically ill patients.</w:t>
      </w:r>
      <w:proofErr w:type="gramEnd"/>
      <w:r w:rsidRPr="00496A46">
        <w:rPr>
          <w:rFonts w:asciiTheme="minorBidi" w:hAnsiTheme="minorBidi"/>
          <w:sz w:val="22"/>
          <w:szCs w:val="22"/>
        </w:rPr>
        <w:t xml:space="preserve"> N </w:t>
      </w:r>
      <w:proofErr w:type="spellStart"/>
      <w:r w:rsidRPr="00496A46">
        <w:rPr>
          <w:rFonts w:asciiTheme="minorBidi" w:hAnsiTheme="minorBidi"/>
          <w:sz w:val="22"/>
          <w:szCs w:val="22"/>
        </w:rPr>
        <w:t>Engl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J Med 2013</w:t>
      </w:r>
      <w:proofErr w:type="gramStart"/>
      <w:r w:rsidRPr="00496A46">
        <w:rPr>
          <w:rFonts w:asciiTheme="minorBidi" w:hAnsiTheme="minorBidi"/>
          <w:sz w:val="22"/>
          <w:szCs w:val="22"/>
        </w:rPr>
        <w:t>;368:1489</w:t>
      </w:r>
      <w:proofErr w:type="gramEnd"/>
      <w:r w:rsidRPr="00496A46">
        <w:rPr>
          <w:rFonts w:asciiTheme="minorBidi" w:hAnsiTheme="minorBidi"/>
          <w:sz w:val="22"/>
          <w:szCs w:val="22"/>
        </w:rPr>
        <w:t>-97.</w:t>
      </w:r>
    </w:p>
    <w:p w14:paraId="6A104909" w14:textId="77777777" w:rsidR="00804BC6" w:rsidRPr="00174843" w:rsidRDefault="00804BC6" w:rsidP="00804BC6">
      <w:pPr>
        <w:pStyle w:val="EndNoteBibliography"/>
        <w:ind w:left="540" w:hanging="540"/>
        <w:rPr>
          <w:rFonts w:asciiTheme="minorBidi" w:hAnsiTheme="minorBidi"/>
          <w:sz w:val="22"/>
          <w:szCs w:val="22"/>
          <w:lang w:val="fr-FR"/>
        </w:rPr>
      </w:pPr>
      <w:r w:rsidRPr="00496A46">
        <w:rPr>
          <w:rFonts w:asciiTheme="minorBidi" w:hAnsiTheme="minorBidi"/>
          <w:sz w:val="22"/>
          <w:szCs w:val="22"/>
        </w:rPr>
        <w:t>11.</w:t>
      </w:r>
      <w:r w:rsidRPr="00496A46">
        <w:rPr>
          <w:rFonts w:asciiTheme="minorBidi" w:hAnsiTheme="minorBidi"/>
          <w:sz w:val="22"/>
          <w:szCs w:val="22"/>
        </w:rPr>
        <w:tab/>
        <w:t>Rice TW, Wheeler AP, Thompson BT, et al. Enteral omega-3 fatty acid, gamma-</w:t>
      </w:r>
      <w:proofErr w:type="spellStart"/>
      <w:r w:rsidRPr="00496A46">
        <w:rPr>
          <w:rFonts w:asciiTheme="minorBidi" w:hAnsiTheme="minorBidi"/>
          <w:sz w:val="22"/>
          <w:szCs w:val="22"/>
        </w:rPr>
        <w:t>linolenic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acid, and antioxidant supplementation in acute lung injury. </w:t>
      </w:r>
      <w:r w:rsidRPr="00174843">
        <w:rPr>
          <w:rFonts w:asciiTheme="minorBidi" w:hAnsiTheme="minorBidi"/>
          <w:sz w:val="22"/>
          <w:szCs w:val="22"/>
          <w:lang w:val="fr-FR"/>
        </w:rPr>
        <w:t>JAMA 2011;306:1574-81.</w:t>
      </w:r>
    </w:p>
    <w:p w14:paraId="5C31D714" w14:textId="6685FEE6" w:rsidR="00E70041" w:rsidRPr="00496A46" w:rsidRDefault="00804BC6" w:rsidP="00174843">
      <w:pPr>
        <w:pStyle w:val="EndNoteBibliography"/>
        <w:ind w:left="540" w:hanging="540"/>
        <w:rPr>
          <w:rFonts w:asciiTheme="minorBidi" w:hAnsiTheme="minorBidi"/>
          <w:sz w:val="22"/>
          <w:szCs w:val="22"/>
        </w:rPr>
      </w:pPr>
      <w:r w:rsidRPr="00174843">
        <w:rPr>
          <w:rFonts w:asciiTheme="minorBidi" w:hAnsiTheme="minorBidi"/>
          <w:sz w:val="22"/>
          <w:szCs w:val="22"/>
          <w:lang w:val="fr-FR"/>
        </w:rPr>
        <w:t>12.</w:t>
      </w:r>
      <w:r w:rsidRPr="00174843">
        <w:rPr>
          <w:rFonts w:asciiTheme="minorBidi" w:hAnsiTheme="minorBidi"/>
          <w:sz w:val="22"/>
          <w:szCs w:val="22"/>
          <w:lang w:val="fr-FR"/>
        </w:rPr>
        <w:tab/>
        <w:t xml:space="preserve">van </w:t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Zanten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AR, </w:t>
      </w:r>
      <w:proofErr w:type="spellStart"/>
      <w:r w:rsidRPr="00174843">
        <w:rPr>
          <w:rFonts w:asciiTheme="minorBidi" w:hAnsiTheme="minorBidi"/>
          <w:sz w:val="22"/>
          <w:szCs w:val="22"/>
          <w:lang w:val="fr-FR"/>
        </w:rPr>
        <w:t>Sztark</w:t>
      </w:r>
      <w:proofErr w:type="spellEnd"/>
      <w:r w:rsidRPr="00174843">
        <w:rPr>
          <w:rFonts w:asciiTheme="minorBidi" w:hAnsiTheme="minorBidi"/>
          <w:sz w:val="22"/>
          <w:szCs w:val="22"/>
          <w:lang w:val="fr-FR"/>
        </w:rPr>
        <w:t xml:space="preserve"> F, Kaisers UX, et al. </w:t>
      </w:r>
      <w:r w:rsidRPr="00496A46">
        <w:rPr>
          <w:rFonts w:asciiTheme="minorBidi" w:hAnsiTheme="minorBidi"/>
          <w:sz w:val="22"/>
          <w:szCs w:val="22"/>
        </w:rPr>
        <w:t xml:space="preserve">High-protein enteral nutrition enriched with immune-modulating nutrients </w:t>
      </w:r>
      <w:proofErr w:type="spellStart"/>
      <w:r w:rsidRPr="00496A46">
        <w:rPr>
          <w:rFonts w:asciiTheme="minorBidi" w:hAnsiTheme="minorBidi"/>
          <w:sz w:val="22"/>
          <w:szCs w:val="22"/>
        </w:rPr>
        <w:t>vs</w:t>
      </w:r>
      <w:proofErr w:type="spellEnd"/>
      <w:r w:rsidRPr="00496A46">
        <w:rPr>
          <w:rFonts w:asciiTheme="minorBidi" w:hAnsiTheme="minorBidi"/>
          <w:sz w:val="22"/>
          <w:szCs w:val="22"/>
        </w:rPr>
        <w:t xml:space="preserve"> standard high-protein enteral nutrition and nosocomial infections in the ICU: a randomized clinical trial. JAMA 2014</w:t>
      </w:r>
      <w:proofErr w:type="gramStart"/>
      <w:r w:rsidRPr="00496A46">
        <w:rPr>
          <w:rFonts w:asciiTheme="minorBidi" w:hAnsiTheme="minorBidi"/>
          <w:sz w:val="22"/>
          <w:szCs w:val="22"/>
        </w:rPr>
        <w:t>;312:514</w:t>
      </w:r>
      <w:proofErr w:type="gramEnd"/>
      <w:r w:rsidRPr="00496A46">
        <w:rPr>
          <w:rFonts w:asciiTheme="minorBidi" w:hAnsiTheme="minorBidi"/>
          <w:sz w:val="22"/>
          <w:szCs w:val="22"/>
        </w:rPr>
        <w:t>-24.</w:t>
      </w:r>
    </w:p>
    <w:sectPr w:rsidR="00E70041" w:rsidRPr="00496A46" w:rsidSect="00066741">
      <w:pgSz w:w="11907" w:h="16839" w:code="9"/>
      <w:pgMar w:top="1440" w:right="657" w:bottom="63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B35"/>
    <w:multiLevelType w:val="singleLevel"/>
    <w:tmpl w:val="6F8E1040"/>
    <w:lvl w:ilvl="0">
      <w:start w:val="1"/>
      <w:numFmt w:val="decimal"/>
      <w:lvlText w:val="%1."/>
      <w:lvlJc w:val="center"/>
      <w:pPr>
        <w:tabs>
          <w:tab w:val="num" w:pos="928"/>
        </w:tabs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">
    <w:nsid w:val="0BAE43D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614137"/>
    <w:multiLevelType w:val="hybridMultilevel"/>
    <w:tmpl w:val="312A5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C224C6"/>
    <w:multiLevelType w:val="hybridMultilevel"/>
    <w:tmpl w:val="7436C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324F3"/>
    <w:multiLevelType w:val="multilevel"/>
    <w:tmpl w:val="DFFEB5C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664344"/>
    <w:multiLevelType w:val="hybridMultilevel"/>
    <w:tmpl w:val="6B6A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850A8"/>
    <w:multiLevelType w:val="hybridMultilevel"/>
    <w:tmpl w:val="9570859A"/>
    <w:lvl w:ilvl="0" w:tplc="EEF4B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0657D"/>
    <w:multiLevelType w:val="hybridMultilevel"/>
    <w:tmpl w:val="68CCDE50"/>
    <w:lvl w:ilvl="0" w:tplc="EEF4B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4254C"/>
    <w:multiLevelType w:val="hybridMultilevel"/>
    <w:tmpl w:val="3DDC7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841C7"/>
    <w:multiLevelType w:val="hybridMultilevel"/>
    <w:tmpl w:val="94A4E788"/>
    <w:lvl w:ilvl="0" w:tplc="E3F4B306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86F90"/>
    <w:multiLevelType w:val="hybridMultilevel"/>
    <w:tmpl w:val="DAD24F50"/>
    <w:lvl w:ilvl="0" w:tplc="1F0084D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34E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4E945BE"/>
    <w:multiLevelType w:val="hybridMultilevel"/>
    <w:tmpl w:val="F02E9EE0"/>
    <w:lvl w:ilvl="0" w:tplc="1F86B84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66D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6B5D87"/>
    <w:multiLevelType w:val="hybridMultilevel"/>
    <w:tmpl w:val="6B5E8F62"/>
    <w:lvl w:ilvl="0" w:tplc="EEF4B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C53DFA"/>
    <w:multiLevelType w:val="hybridMultilevel"/>
    <w:tmpl w:val="A5B48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901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0727E2"/>
    <w:multiLevelType w:val="hybridMultilevel"/>
    <w:tmpl w:val="78748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C6433"/>
    <w:multiLevelType w:val="hybridMultilevel"/>
    <w:tmpl w:val="AAE6EA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6C1127"/>
    <w:multiLevelType w:val="hybridMultilevel"/>
    <w:tmpl w:val="630E9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E6AC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7EE29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B20E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91D118C"/>
    <w:multiLevelType w:val="hybridMultilevel"/>
    <w:tmpl w:val="D28E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21851"/>
    <w:multiLevelType w:val="hybridMultilevel"/>
    <w:tmpl w:val="2A5C8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7531C"/>
    <w:multiLevelType w:val="hybridMultilevel"/>
    <w:tmpl w:val="AE823068"/>
    <w:lvl w:ilvl="0" w:tplc="842E66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60FD8"/>
    <w:multiLevelType w:val="hybridMultilevel"/>
    <w:tmpl w:val="0E9CB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C66536"/>
    <w:multiLevelType w:val="hybridMultilevel"/>
    <w:tmpl w:val="BF6C1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40C2B"/>
    <w:multiLevelType w:val="hybridMultilevel"/>
    <w:tmpl w:val="205EFF94"/>
    <w:lvl w:ilvl="0" w:tplc="EEF4B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56AF2"/>
    <w:multiLevelType w:val="hybridMultilevel"/>
    <w:tmpl w:val="367C831A"/>
    <w:lvl w:ilvl="0" w:tplc="EEF4B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7F1FC6"/>
    <w:multiLevelType w:val="hybridMultilevel"/>
    <w:tmpl w:val="70587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61D95"/>
    <w:multiLevelType w:val="hybridMultilevel"/>
    <w:tmpl w:val="B638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2609FD"/>
    <w:multiLevelType w:val="hybridMultilevel"/>
    <w:tmpl w:val="AEB84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517F7"/>
    <w:multiLevelType w:val="hybridMultilevel"/>
    <w:tmpl w:val="E084D7DC"/>
    <w:lvl w:ilvl="0" w:tplc="40B6E45A">
      <w:start w:val="1"/>
      <w:numFmt w:val="decimal"/>
      <w:lvlText w:val="%1."/>
      <w:lvlJc w:val="left"/>
      <w:pPr>
        <w:ind w:left="720" w:hanging="360"/>
      </w:pPr>
      <w:rPr>
        <w:rFonts w:ascii="Microsoft Sans Serif" w:hAnsi="Microsoft Sans Serif" w:cs="Microsoft Sans Serif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85A90"/>
    <w:multiLevelType w:val="hybridMultilevel"/>
    <w:tmpl w:val="34865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27E56"/>
    <w:multiLevelType w:val="hybridMultilevel"/>
    <w:tmpl w:val="45F2A2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E9436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3"/>
  </w:num>
  <w:num w:numId="3">
    <w:abstractNumId w:val="35"/>
  </w:num>
  <w:num w:numId="4">
    <w:abstractNumId w:val="24"/>
  </w:num>
  <w:num w:numId="5">
    <w:abstractNumId w:val="15"/>
  </w:num>
  <w:num w:numId="6">
    <w:abstractNumId w:val="5"/>
  </w:num>
  <w:num w:numId="7">
    <w:abstractNumId w:val="30"/>
  </w:num>
  <w:num w:numId="8">
    <w:abstractNumId w:val="32"/>
  </w:num>
  <w:num w:numId="9">
    <w:abstractNumId w:val="17"/>
  </w:num>
  <w:num w:numId="10">
    <w:abstractNumId w:val="22"/>
  </w:num>
  <w:num w:numId="11">
    <w:abstractNumId w:val="20"/>
  </w:num>
  <w:num w:numId="12">
    <w:abstractNumId w:val="1"/>
  </w:num>
  <w:num w:numId="13">
    <w:abstractNumId w:val="23"/>
  </w:num>
  <w:num w:numId="14">
    <w:abstractNumId w:val="34"/>
  </w:num>
  <w:num w:numId="15">
    <w:abstractNumId w:val="10"/>
  </w:num>
  <w:num w:numId="16">
    <w:abstractNumId w:val="9"/>
  </w:num>
  <w:num w:numId="17">
    <w:abstractNumId w:val="27"/>
  </w:num>
  <w:num w:numId="18">
    <w:abstractNumId w:val="18"/>
  </w:num>
  <w:num w:numId="19">
    <w:abstractNumId w:val="19"/>
  </w:num>
  <w:num w:numId="20">
    <w:abstractNumId w:val="11"/>
  </w:num>
  <w:num w:numId="21">
    <w:abstractNumId w:val="2"/>
  </w:num>
  <w:num w:numId="22">
    <w:abstractNumId w:val="26"/>
  </w:num>
  <w:num w:numId="23">
    <w:abstractNumId w:val="4"/>
  </w:num>
  <w:num w:numId="24">
    <w:abstractNumId w:val="13"/>
  </w:num>
  <w:num w:numId="25">
    <w:abstractNumId w:val="16"/>
  </w:num>
  <w:num w:numId="26">
    <w:abstractNumId w:val="21"/>
  </w:num>
  <w:num w:numId="27">
    <w:abstractNumId w:val="36"/>
  </w:num>
  <w:num w:numId="28">
    <w:abstractNumId w:val="12"/>
  </w:num>
  <w:num w:numId="29">
    <w:abstractNumId w:val="0"/>
  </w:num>
  <w:num w:numId="30">
    <w:abstractNumId w:val="33"/>
  </w:num>
  <w:num w:numId="31">
    <w:abstractNumId w:val="31"/>
  </w:num>
  <w:num w:numId="32">
    <w:abstractNumId w:val="6"/>
  </w:num>
  <w:num w:numId="33">
    <w:abstractNumId w:val="25"/>
  </w:num>
  <w:num w:numId="34">
    <w:abstractNumId w:val="7"/>
  </w:num>
  <w:num w:numId="35">
    <w:abstractNumId w:val="29"/>
  </w:num>
  <w:num w:numId="36">
    <w:abstractNumId w:val="1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mbria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0z2dwe9990ace25dcpvraaf52ff0av9r0s&quot;&gt;Nutrition in critically ill patients&lt;record-ids&gt;&lt;item&gt;7&lt;/item&gt;&lt;item&gt;68&lt;/item&gt;&lt;item&gt;304&lt;/item&gt;&lt;item&gt;338&lt;/item&gt;&lt;item&gt;344&lt;/item&gt;&lt;item&gt;364&lt;/item&gt;&lt;item&gt;365&lt;/item&gt;&lt;item&gt;366&lt;/item&gt;&lt;item&gt;380&lt;/item&gt;&lt;item&gt;381&lt;/item&gt;&lt;item&gt;382&lt;/item&gt;&lt;item&gt;399&lt;/item&gt;&lt;/record-ids&gt;&lt;/item&gt;&lt;/Libraries&gt;"/>
  </w:docVars>
  <w:rsids>
    <w:rsidRoot w:val="007172E7"/>
    <w:rsid w:val="000408D9"/>
    <w:rsid w:val="00066741"/>
    <w:rsid w:val="00096317"/>
    <w:rsid w:val="000C4927"/>
    <w:rsid w:val="000D7661"/>
    <w:rsid w:val="0014583A"/>
    <w:rsid w:val="00174843"/>
    <w:rsid w:val="0019350D"/>
    <w:rsid w:val="001A4D1A"/>
    <w:rsid w:val="001F258B"/>
    <w:rsid w:val="00253410"/>
    <w:rsid w:val="00277B89"/>
    <w:rsid w:val="002C655F"/>
    <w:rsid w:val="00345ADA"/>
    <w:rsid w:val="004265F9"/>
    <w:rsid w:val="00496A46"/>
    <w:rsid w:val="004A54BE"/>
    <w:rsid w:val="004A7B0C"/>
    <w:rsid w:val="004D140C"/>
    <w:rsid w:val="004F3C1B"/>
    <w:rsid w:val="00542EC6"/>
    <w:rsid w:val="005A4338"/>
    <w:rsid w:val="006B5784"/>
    <w:rsid w:val="006E29A9"/>
    <w:rsid w:val="006E41B4"/>
    <w:rsid w:val="006F203A"/>
    <w:rsid w:val="007172E7"/>
    <w:rsid w:val="00737CD5"/>
    <w:rsid w:val="00751D23"/>
    <w:rsid w:val="007B2AE5"/>
    <w:rsid w:val="00804BC6"/>
    <w:rsid w:val="0082552C"/>
    <w:rsid w:val="00890202"/>
    <w:rsid w:val="009105D8"/>
    <w:rsid w:val="00976129"/>
    <w:rsid w:val="009B317A"/>
    <w:rsid w:val="00A10CB0"/>
    <w:rsid w:val="00A2461D"/>
    <w:rsid w:val="00A3543E"/>
    <w:rsid w:val="00A7546E"/>
    <w:rsid w:val="00B04B71"/>
    <w:rsid w:val="00B55F49"/>
    <w:rsid w:val="00B7573E"/>
    <w:rsid w:val="00D131B0"/>
    <w:rsid w:val="00D2211B"/>
    <w:rsid w:val="00D41439"/>
    <w:rsid w:val="00DA6445"/>
    <w:rsid w:val="00DE7B68"/>
    <w:rsid w:val="00E60E2D"/>
    <w:rsid w:val="00E70041"/>
    <w:rsid w:val="00E852C0"/>
    <w:rsid w:val="00EE18FB"/>
    <w:rsid w:val="00F374A5"/>
    <w:rsid w:val="00F67E1F"/>
    <w:rsid w:val="00FF3DAF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349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E7"/>
  </w:style>
  <w:style w:type="paragraph" w:styleId="Titre1">
    <w:name w:val="heading 1"/>
    <w:basedOn w:val="Normal"/>
    <w:link w:val="Titre1Car"/>
    <w:uiPriority w:val="9"/>
    <w:qFormat/>
    <w:rsid w:val="007172E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7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72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72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72E7"/>
    <w:rPr>
      <w:rFonts w:ascii="Times" w:hAnsi="Times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semiHidden/>
    <w:rsid w:val="00717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172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7172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717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sid w:val="007172E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172E7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172E7"/>
    <w:rPr>
      <w:sz w:val="18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72E7"/>
    <w:rPr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72E7"/>
    <w:rPr>
      <w:b/>
      <w:bCs/>
    </w:rPr>
  </w:style>
  <w:style w:type="character" w:customStyle="1" w:styleId="CommentSubjectChar1">
    <w:name w:val="Comment Subject Char1"/>
    <w:basedOn w:val="CommentaireCar"/>
    <w:uiPriority w:val="99"/>
    <w:semiHidden/>
    <w:rsid w:val="007172E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72E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2E7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172E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172E7"/>
  </w:style>
  <w:style w:type="paragraph" w:customStyle="1" w:styleId="EndNoteBibliographyTitle">
    <w:name w:val="EndNote Bibliography Title"/>
    <w:basedOn w:val="Normal"/>
    <w:rsid w:val="007172E7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7172E7"/>
    <w:rPr>
      <w:rFonts w:ascii="Cambria" w:hAnsi="Cambria"/>
    </w:rPr>
  </w:style>
  <w:style w:type="character" w:customStyle="1" w:styleId="current-selection">
    <w:name w:val="current-selection"/>
    <w:basedOn w:val="Policepardfaut"/>
    <w:rsid w:val="007172E7"/>
  </w:style>
  <w:style w:type="character" w:customStyle="1" w:styleId="a">
    <w:name w:val="_"/>
    <w:basedOn w:val="Policepardfaut"/>
    <w:rsid w:val="007172E7"/>
  </w:style>
  <w:style w:type="character" w:customStyle="1" w:styleId="highlight">
    <w:name w:val="highlight"/>
    <w:basedOn w:val="Policepardfaut"/>
    <w:rsid w:val="007172E7"/>
  </w:style>
  <w:style w:type="paragraph" w:styleId="Paragraphedeliste">
    <w:name w:val="List Paragraph"/>
    <w:basedOn w:val="Normal"/>
    <w:uiPriority w:val="34"/>
    <w:qFormat/>
    <w:rsid w:val="007172E7"/>
    <w:pPr>
      <w:ind w:left="720"/>
      <w:contextualSpacing/>
    </w:pPr>
  </w:style>
  <w:style w:type="paragraph" w:customStyle="1" w:styleId="p">
    <w:name w:val="p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ansinterligne">
    <w:name w:val="No Spacing"/>
    <w:qFormat/>
    <w:rsid w:val="007172E7"/>
  </w:style>
  <w:style w:type="paragraph" w:styleId="NormalWeb">
    <w:name w:val="Normal (Web)"/>
    <w:basedOn w:val="Normal"/>
    <w:uiPriority w:val="99"/>
    <w:unhideWhenUsed/>
    <w:rsid w:val="007172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yiv9834349218msonormal">
    <w:name w:val="yiv9834349218msonormal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Accentuation">
    <w:name w:val="Emphasis"/>
    <w:basedOn w:val="Policepardfaut"/>
    <w:uiPriority w:val="20"/>
    <w:qFormat/>
    <w:rsid w:val="007172E7"/>
    <w:rPr>
      <w:i/>
      <w:iCs/>
    </w:rPr>
  </w:style>
  <w:style w:type="paragraph" w:customStyle="1" w:styleId="para">
    <w:name w:val="para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ibrecord-highlight">
    <w:name w:val="bibrecord-highlight"/>
    <w:basedOn w:val="Policepardfaut"/>
    <w:rsid w:val="007172E7"/>
  </w:style>
  <w:style w:type="character" w:customStyle="1" w:styleId="cit-gray1">
    <w:name w:val="cit-gray1"/>
    <w:rsid w:val="007172E7"/>
    <w:rPr>
      <w:color w:val="666666"/>
    </w:rPr>
  </w:style>
  <w:style w:type="character" w:customStyle="1" w:styleId="cit-vol1">
    <w:name w:val="cit-vol1"/>
    <w:rsid w:val="007172E7"/>
    <w:rPr>
      <w:b/>
      <w:bCs/>
    </w:rPr>
  </w:style>
  <w:style w:type="character" w:customStyle="1" w:styleId="cit-sep1">
    <w:name w:val="cit-sep1"/>
    <w:rsid w:val="007172E7"/>
    <w:rPr>
      <w:b w:val="0"/>
      <w:bCs w:val="0"/>
    </w:rPr>
  </w:style>
  <w:style w:type="character" w:customStyle="1" w:styleId="cit-sepcit-sep-after-article-vol">
    <w:name w:val="cit-sep cit-sep-after-article-vol"/>
    <w:basedOn w:val="Policepardfaut"/>
    <w:rsid w:val="007172E7"/>
  </w:style>
  <w:style w:type="character" w:customStyle="1" w:styleId="cit-first-page">
    <w:name w:val="cit-first-page"/>
    <w:basedOn w:val="Policepardfaut"/>
    <w:rsid w:val="007172E7"/>
  </w:style>
  <w:style w:type="character" w:customStyle="1" w:styleId="cit-last-page2">
    <w:name w:val="cit-last-page2"/>
    <w:basedOn w:val="Policepardfaut"/>
    <w:rsid w:val="007172E7"/>
  </w:style>
  <w:style w:type="character" w:customStyle="1" w:styleId="orgname">
    <w:name w:val="orgname"/>
    <w:basedOn w:val="Policepardfaut"/>
    <w:rsid w:val="007172E7"/>
  </w:style>
  <w:style w:type="character" w:customStyle="1" w:styleId="postbox">
    <w:name w:val="postbox"/>
    <w:basedOn w:val="Policepardfaut"/>
    <w:rsid w:val="007172E7"/>
  </w:style>
  <w:style w:type="character" w:customStyle="1" w:styleId="city">
    <w:name w:val="city"/>
    <w:basedOn w:val="Policepardfaut"/>
    <w:rsid w:val="007172E7"/>
  </w:style>
  <w:style w:type="character" w:customStyle="1" w:styleId="postcode">
    <w:name w:val="postcode"/>
    <w:basedOn w:val="Policepardfaut"/>
    <w:rsid w:val="007172E7"/>
  </w:style>
  <w:style w:type="character" w:customStyle="1" w:styleId="country">
    <w:name w:val="country"/>
    <w:basedOn w:val="Policepardfaut"/>
    <w:rsid w:val="007172E7"/>
  </w:style>
  <w:style w:type="character" w:customStyle="1" w:styleId="supaff">
    <w:name w:val="supaff"/>
    <w:basedOn w:val="Policepardfaut"/>
    <w:rsid w:val="007172E7"/>
  </w:style>
  <w:style w:type="character" w:customStyle="1" w:styleId="jrnl">
    <w:name w:val="jrnl"/>
    <w:basedOn w:val="Policepardfaut"/>
    <w:rsid w:val="007172E7"/>
  </w:style>
  <w:style w:type="table" w:styleId="Ombrageclair">
    <w:name w:val="Light Shading"/>
    <w:basedOn w:val="TableauNormal"/>
    <w:uiPriority w:val="60"/>
    <w:rsid w:val="0025341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rsid w:val="00B04B7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6">
    <w:name w:val="Light Shading Accent 6"/>
    <w:basedOn w:val="TableauNormal"/>
    <w:uiPriority w:val="60"/>
    <w:rsid w:val="00B04B71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B04B71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E7"/>
  </w:style>
  <w:style w:type="paragraph" w:styleId="Titre1">
    <w:name w:val="heading 1"/>
    <w:basedOn w:val="Normal"/>
    <w:link w:val="Titre1Car"/>
    <w:uiPriority w:val="9"/>
    <w:qFormat/>
    <w:rsid w:val="007172E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7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72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72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72E7"/>
    <w:rPr>
      <w:rFonts w:ascii="Times" w:hAnsi="Times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semiHidden/>
    <w:rsid w:val="00717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172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7172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717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sid w:val="007172E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172E7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172E7"/>
    <w:rPr>
      <w:sz w:val="18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72E7"/>
    <w:rPr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72E7"/>
    <w:rPr>
      <w:b/>
      <w:bCs/>
    </w:rPr>
  </w:style>
  <w:style w:type="character" w:customStyle="1" w:styleId="CommentSubjectChar1">
    <w:name w:val="Comment Subject Char1"/>
    <w:basedOn w:val="CommentaireCar"/>
    <w:uiPriority w:val="99"/>
    <w:semiHidden/>
    <w:rsid w:val="007172E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72E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2E7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172E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172E7"/>
  </w:style>
  <w:style w:type="paragraph" w:customStyle="1" w:styleId="EndNoteBibliographyTitle">
    <w:name w:val="EndNote Bibliography Title"/>
    <w:basedOn w:val="Normal"/>
    <w:rsid w:val="007172E7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7172E7"/>
    <w:rPr>
      <w:rFonts w:ascii="Cambria" w:hAnsi="Cambria"/>
    </w:rPr>
  </w:style>
  <w:style w:type="character" w:customStyle="1" w:styleId="current-selection">
    <w:name w:val="current-selection"/>
    <w:basedOn w:val="Policepardfaut"/>
    <w:rsid w:val="007172E7"/>
  </w:style>
  <w:style w:type="character" w:customStyle="1" w:styleId="a">
    <w:name w:val="_"/>
    <w:basedOn w:val="Policepardfaut"/>
    <w:rsid w:val="007172E7"/>
  </w:style>
  <w:style w:type="character" w:customStyle="1" w:styleId="highlight">
    <w:name w:val="highlight"/>
    <w:basedOn w:val="Policepardfaut"/>
    <w:rsid w:val="007172E7"/>
  </w:style>
  <w:style w:type="paragraph" w:styleId="Paragraphedeliste">
    <w:name w:val="List Paragraph"/>
    <w:basedOn w:val="Normal"/>
    <w:uiPriority w:val="34"/>
    <w:qFormat/>
    <w:rsid w:val="007172E7"/>
    <w:pPr>
      <w:ind w:left="720"/>
      <w:contextualSpacing/>
    </w:pPr>
  </w:style>
  <w:style w:type="paragraph" w:customStyle="1" w:styleId="p">
    <w:name w:val="p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ansinterligne">
    <w:name w:val="No Spacing"/>
    <w:qFormat/>
    <w:rsid w:val="007172E7"/>
  </w:style>
  <w:style w:type="paragraph" w:styleId="NormalWeb">
    <w:name w:val="Normal (Web)"/>
    <w:basedOn w:val="Normal"/>
    <w:uiPriority w:val="99"/>
    <w:unhideWhenUsed/>
    <w:rsid w:val="007172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yiv9834349218msonormal">
    <w:name w:val="yiv9834349218msonormal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Accentuation">
    <w:name w:val="Emphasis"/>
    <w:basedOn w:val="Policepardfaut"/>
    <w:uiPriority w:val="20"/>
    <w:qFormat/>
    <w:rsid w:val="007172E7"/>
    <w:rPr>
      <w:i/>
      <w:iCs/>
    </w:rPr>
  </w:style>
  <w:style w:type="paragraph" w:customStyle="1" w:styleId="para">
    <w:name w:val="para"/>
    <w:basedOn w:val="Normal"/>
    <w:rsid w:val="007172E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ibrecord-highlight">
    <w:name w:val="bibrecord-highlight"/>
    <w:basedOn w:val="Policepardfaut"/>
    <w:rsid w:val="007172E7"/>
  </w:style>
  <w:style w:type="character" w:customStyle="1" w:styleId="cit-gray1">
    <w:name w:val="cit-gray1"/>
    <w:rsid w:val="007172E7"/>
    <w:rPr>
      <w:color w:val="666666"/>
    </w:rPr>
  </w:style>
  <w:style w:type="character" w:customStyle="1" w:styleId="cit-vol1">
    <w:name w:val="cit-vol1"/>
    <w:rsid w:val="007172E7"/>
    <w:rPr>
      <w:b/>
      <w:bCs/>
    </w:rPr>
  </w:style>
  <w:style w:type="character" w:customStyle="1" w:styleId="cit-sep1">
    <w:name w:val="cit-sep1"/>
    <w:rsid w:val="007172E7"/>
    <w:rPr>
      <w:b w:val="0"/>
      <w:bCs w:val="0"/>
    </w:rPr>
  </w:style>
  <w:style w:type="character" w:customStyle="1" w:styleId="cit-sepcit-sep-after-article-vol">
    <w:name w:val="cit-sep cit-sep-after-article-vol"/>
    <w:basedOn w:val="Policepardfaut"/>
    <w:rsid w:val="007172E7"/>
  </w:style>
  <w:style w:type="character" w:customStyle="1" w:styleId="cit-first-page">
    <w:name w:val="cit-first-page"/>
    <w:basedOn w:val="Policepardfaut"/>
    <w:rsid w:val="007172E7"/>
  </w:style>
  <w:style w:type="character" w:customStyle="1" w:styleId="cit-last-page2">
    <w:name w:val="cit-last-page2"/>
    <w:basedOn w:val="Policepardfaut"/>
    <w:rsid w:val="007172E7"/>
  </w:style>
  <w:style w:type="character" w:customStyle="1" w:styleId="orgname">
    <w:name w:val="orgname"/>
    <w:basedOn w:val="Policepardfaut"/>
    <w:rsid w:val="007172E7"/>
  </w:style>
  <w:style w:type="character" w:customStyle="1" w:styleId="postbox">
    <w:name w:val="postbox"/>
    <w:basedOn w:val="Policepardfaut"/>
    <w:rsid w:val="007172E7"/>
  </w:style>
  <w:style w:type="character" w:customStyle="1" w:styleId="city">
    <w:name w:val="city"/>
    <w:basedOn w:val="Policepardfaut"/>
    <w:rsid w:val="007172E7"/>
  </w:style>
  <w:style w:type="character" w:customStyle="1" w:styleId="postcode">
    <w:name w:val="postcode"/>
    <w:basedOn w:val="Policepardfaut"/>
    <w:rsid w:val="007172E7"/>
  </w:style>
  <w:style w:type="character" w:customStyle="1" w:styleId="country">
    <w:name w:val="country"/>
    <w:basedOn w:val="Policepardfaut"/>
    <w:rsid w:val="007172E7"/>
  </w:style>
  <w:style w:type="character" w:customStyle="1" w:styleId="supaff">
    <w:name w:val="supaff"/>
    <w:basedOn w:val="Policepardfaut"/>
    <w:rsid w:val="007172E7"/>
  </w:style>
  <w:style w:type="character" w:customStyle="1" w:styleId="jrnl">
    <w:name w:val="jrnl"/>
    <w:basedOn w:val="Policepardfaut"/>
    <w:rsid w:val="007172E7"/>
  </w:style>
  <w:style w:type="table" w:styleId="Ombrageclair">
    <w:name w:val="Light Shading"/>
    <w:basedOn w:val="TableauNormal"/>
    <w:uiPriority w:val="60"/>
    <w:rsid w:val="0025341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rsid w:val="00B04B7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6">
    <w:name w:val="Light Shading Accent 6"/>
    <w:basedOn w:val="TableauNormal"/>
    <w:uiPriority w:val="60"/>
    <w:rsid w:val="00B04B71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B04B71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Yaseen Arabi</dc:creator>
  <cp:keywords/>
  <dc:description/>
  <cp:lastModifiedBy>ICM</cp:lastModifiedBy>
  <cp:revision>4</cp:revision>
  <dcterms:created xsi:type="dcterms:W3CDTF">2017-03-08T19:09:00Z</dcterms:created>
  <dcterms:modified xsi:type="dcterms:W3CDTF">2017-03-14T18:57:00Z</dcterms:modified>
</cp:coreProperties>
</file>