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31A" w:rsidRPr="001729C3" w:rsidRDefault="008F231A" w:rsidP="008F231A">
      <w:pPr>
        <w:rPr>
          <w:rFonts w:ascii="Times New Roman" w:hAnsi="Times New Roman" w:cs="Times New Roman"/>
          <w:b/>
          <w:lang w:val="en-US"/>
        </w:rPr>
      </w:pPr>
      <w:r w:rsidRPr="001729C3">
        <w:rPr>
          <w:rFonts w:ascii="Times New Roman" w:hAnsi="Times New Roman" w:cs="Times New Roman"/>
          <w:b/>
          <w:lang w:val="en-US"/>
        </w:rPr>
        <w:t>Supplementary appendix</w:t>
      </w:r>
    </w:p>
    <w:p w:rsidR="008F231A" w:rsidRPr="001729C3" w:rsidRDefault="008F231A" w:rsidP="008F231A">
      <w:pPr>
        <w:rPr>
          <w:rFonts w:ascii="Times New Roman" w:hAnsi="Times New Roman" w:cs="Times New Roman"/>
          <w:lang w:val="en-US"/>
        </w:rPr>
      </w:pPr>
    </w:p>
    <w:p w:rsidR="008F231A" w:rsidRPr="001729C3" w:rsidRDefault="008F231A" w:rsidP="00AE039B">
      <w:pPr>
        <w:widowControl w:val="0"/>
        <w:tabs>
          <w:tab w:val="left" w:pos="480"/>
        </w:tabs>
        <w:autoSpaceDE w:val="0"/>
        <w:autoSpaceDN w:val="0"/>
        <w:adjustRightInd w:val="0"/>
        <w:spacing w:after="240"/>
        <w:rPr>
          <w:rFonts w:ascii="Times New Roman" w:hAnsi="Times New Roman" w:cs="Times New Roman"/>
          <w:b/>
          <w:lang w:val="en-US"/>
        </w:rPr>
      </w:pPr>
    </w:p>
    <w:p w:rsidR="007E0CA4" w:rsidRPr="007E0CA4" w:rsidRDefault="007E0CA4" w:rsidP="007E0CA4">
      <w:pPr>
        <w:rPr>
          <w:sz w:val="22"/>
          <w:szCs w:val="22"/>
          <w:lang w:val="en-US"/>
        </w:rPr>
      </w:pPr>
      <w:r w:rsidRPr="007E0CA4">
        <w:rPr>
          <w:rFonts w:ascii="Times New Roman" w:hAnsi="Times New Roman" w:cs="Times New Roman"/>
          <w:b/>
          <w:sz w:val="22"/>
          <w:szCs w:val="22"/>
          <w:lang w:val="en-US"/>
        </w:rPr>
        <w:t xml:space="preserve">Appendix </w:t>
      </w:r>
      <w:r w:rsidR="00541964">
        <w:rPr>
          <w:rFonts w:ascii="Times New Roman" w:hAnsi="Times New Roman" w:cs="Times New Roman"/>
          <w:b/>
          <w:sz w:val="22"/>
          <w:szCs w:val="22"/>
          <w:lang w:val="en-US"/>
        </w:rPr>
        <w:t>1</w:t>
      </w:r>
      <w:r w:rsidRPr="007E0CA4">
        <w:rPr>
          <w:rFonts w:ascii="Times New Roman" w:hAnsi="Times New Roman" w:cs="Times New Roman"/>
          <w:b/>
          <w:sz w:val="22"/>
          <w:szCs w:val="22"/>
          <w:lang w:val="en-US"/>
        </w:rPr>
        <w:t xml:space="preserve"> – Flowchart of the patient selection process</w:t>
      </w:r>
    </w:p>
    <w:p w:rsidR="007E0CA4" w:rsidRPr="0064155F" w:rsidRDefault="007E0CA4" w:rsidP="007E0CA4">
      <w:pPr>
        <w:rPr>
          <w:lang w:val="en-US"/>
        </w:rPr>
      </w:pPr>
      <w:r w:rsidRPr="0064155F">
        <w:rPr>
          <w:noProof/>
          <w:lang w:val="en-IN" w:eastAsia="en-IN"/>
        </w:rPr>
        <w:drawing>
          <wp:inline distT="0" distB="0" distL="0" distR="0">
            <wp:extent cx="5755640" cy="4314483"/>
            <wp:effectExtent l="0" t="0" r="1016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55640" cy="4314483"/>
                    </a:xfrm>
                    <a:prstGeom prst="rect">
                      <a:avLst/>
                    </a:prstGeom>
                    <a:noFill/>
                    <a:ln>
                      <a:noFill/>
                    </a:ln>
                  </pic:spPr>
                </pic:pic>
              </a:graphicData>
            </a:graphic>
          </wp:inline>
        </w:drawing>
      </w:r>
    </w:p>
    <w:p w:rsidR="007E0CA4" w:rsidRPr="0064155F" w:rsidRDefault="007E0CA4" w:rsidP="007E0CA4">
      <w:pPr>
        <w:rPr>
          <w:b/>
          <w:color w:val="0000FF"/>
          <w:szCs w:val="20"/>
          <w:lang w:val="en-US"/>
        </w:rPr>
      </w:pPr>
    </w:p>
    <w:p w:rsidR="007E0CA4" w:rsidRPr="0064155F" w:rsidRDefault="007E0CA4" w:rsidP="007E0CA4">
      <w:pPr>
        <w:rPr>
          <w:b/>
          <w:color w:val="0000FF"/>
          <w:szCs w:val="20"/>
          <w:lang w:val="en-US"/>
        </w:rPr>
      </w:pPr>
    </w:p>
    <w:p w:rsidR="007E0CA4" w:rsidRPr="0064155F" w:rsidRDefault="007E0CA4" w:rsidP="007E0CA4">
      <w:pPr>
        <w:rPr>
          <w:b/>
          <w:color w:val="0000FF"/>
          <w:szCs w:val="20"/>
          <w:lang w:val="en-US"/>
        </w:rPr>
      </w:pPr>
    </w:p>
    <w:p w:rsidR="007E0CA4" w:rsidRPr="0064155F" w:rsidRDefault="007E0CA4" w:rsidP="007E0CA4">
      <w:pPr>
        <w:spacing w:line="276" w:lineRule="auto"/>
        <w:rPr>
          <w:rFonts w:ascii="Times New Roman" w:hAnsi="Times New Roman" w:cs="Times New Roman"/>
          <w:b/>
          <w:sz w:val="20"/>
          <w:szCs w:val="20"/>
          <w:lang w:val="en-US"/>
        </w:rPr>
      </w:pPr>
    </w:p>
    <w:p w:rsidR="007E0CA4" w:rsidRPr="0064155F" w:rsidRDefault="007E0CA4" w:rsidP="007E0CA4">
      <w:pPr>
        <w:spacing w:line="276" w:lineRule="auto"/>
        <w:rPr>
          <w:rFonts w:ascii="Times New Roman" w:hAnsi="Times New Roman" w:cs="Times New Roman"/>
          <w:sz w:val="20"/>
          <w:szCs w:val="20"/>
          <w:lang w:val="en-US"/>
        </w:rPr>
      </w:pPr>
      <w:r w:rsidRPr="0064155F">
        <w:rPr>
          <w:rFonts w:ascii="Times New Roman" w:hAnsi="Times New Roman" w:cs="Times New Roman"/>
          <w:sz w:val="20"/>
          <w:szCs w:val="20"/>
          <w:lang w:val="en-US"/>
        </w:rPr>
        <w:t xml:space="preserve">Legend. </w:t>
      </w:r>
      <w:proofErr w:type="gramStart"/>
      <w:r w:rsidRPr="0064155F">
        <w:rPr>
          <w:rFonts w:ascii="Times New Roman" w:hAnsi="Times New Roman" w:cs="Times New Roman"/>
          <w:sz w:val="20"/>
          <w:szCs w:val="20"/>
          <w:lang w:val="en-US"/>
        </w:rPr>
        <w:t>MDC, major diagnostic category.</w:t>
      </w:r>
      <w:proofErr w:type="gramEnd"/>
      <w:r w:rsidRPr="0064155F">
        <w:rPr>
          <w:rFonts w:ascii="Times New Roman" w:hAnsi="Times New Roman" w:cs="Times New Roman"/>
          <w:sz w:val="20"/>
          <w:szCs w:val="20"/>
          <w:lang w:val="en-US"/>
        </w:rPr>
        <w:t xml:space="preserve"> </w:t>
      </w:r>
    </w:p>
    <w:p w:rsidR="007E0CA4" w:rsidRDefault="007E0CA4" w:rsidP="008F231A">
      <w:pPr>
        <w:rPr>
          <w:rFonts w:ascii="Times New Roman" w:hAnsi="Times New Roman" w:cs="Times New Roman"/>
          <w:b/>
          <w:sz w:val="22"/>
          <w:lang w:val="en-US"/>
        </w:rPr>
      </w:pPr>
    </w:p>
    <w:p w:rsidR="007E0CA4" w:rsidRDefault="007E0CA4">
      <w:pPr>
        <w:rPr>
          <w:rFonts w:ascii="Times New Roman" w:hAnsi="Times New Roman" w:cs="Times New Roman"/>
          <w:b/>
          <w:sz w:val="22"/>
          <w:lang w:val="en-US"/>
        </w:rPr>
      </w:pPr>
      <w:r>
        <w:rPr>
          <w:rFonts w:ascii="Times New Roman" w:hAnsi="Times New Roman" w:cs="Times New Roman"/>
          <w:b/>
          <w:sz w:val="22"/>
          <w:lang w:val="en-US"/>
        </w:rPr>
        <w:br w:type="page"/>
      </w:r>
    </w:p>
    <w:p w:rsidR="00541964" w:rsidRDefault="00541964" w:rsidP="00541964">
      <w:pPr>
        <w:rPr>
          <w:rFonts w:ascii="Times New Roman" w:hAnsi="Times New Roman" w:cs="Times New Roman"/>
          <w:b/>
          <w:sz w:val="22"/>
          <w:szCs w:val="22"/>
          <w:lang w:val="en-US"/>
        </w:rPr>
      </w:pPr>
      <w:r w:rsidRPr="007E0CA4">
        <w:rPr>
          <w:rFonts w:ascii="Times New Roman" w:hAnsi="Times New Roman" w:cs="Times New Roman"/>
          <w:b/>
          <w:sz w:val="22"/>
          <w:szCs w:val="22"/>
          <w:lang w:val="en-US"/>
        </w:rPr>
        <w:lastRenderedPageBreak/>
        <w:t xml:space="preserve">Appendix </w:t>
      </w:r>
      <w:r>
        <w:rPr>
          <w:rFonts w:ascii="Times New Roman" w:hAnsi="Times New Roman" w:cs="Times New Roman"/>
          <w:b/>
          <w:sz w:val="22"/>
          <w:szCs w:val="22"/>
          <w:lang w:val="en-US"/>
        </w:rPr>
        <w:t>2 – Specifications logistic regression model</w:t>
      </w:r>
    </w:p>
    <w:p w:rsidR="00541964" w:rsidRDefault="00541964" w:rsidP="00541964">
      <w:pPr>
        <w:rPr>
          <w:rFonts w:ascii="Times New Roman" w:hAnsi="Times New Roman" w:cs="Times New Roman"/>
          <w:b/>
          <w:sz w:val="22"/>
          <w:szCs w:val="22"/>
          <w:lang w:val="en-US"/>
        </w:rPr>
      </w:pPr>
    </w:p>
    <w:p w:rsidR="00541964" w:rsidRPr="00653FE8" w:rsidRDefault="00541964" w:rsidP="00541964">
      <w:pPr>
        <w:widowControl w:val="0"/>
        <w:autoSpaceDE w:val="0"/>
        <w:autoSpaceDN w:val="0"/>
        <w:adjustRightInd w:val="0"/>
        <w:spacing w:line="360" w:lineRule="auto"/>
        <w:rPr>
          <w:rFonts w:ascii="Times New Roman" w:hAnsi="Times New Roman" w:cs="Times New Roman"/>
          <w:lang w:val="en-US"/>
        </w:rPr>
      </w:pPr>
      <w:r w:rsidRPr="00653FE8">
        <w:rPr>
          <w:rFonts w:ascii="Times New Roman" w:hAnsi="Times New Roman" w:cs="Times New Roman"/>
          <w:lang w:val="en-US"/>
        </w:rPr>
        <w:t>We fitted the following logistic regression model:</w:t>
      </w:r>
    </w:p>
    <w:p w:rsidR="00541964" w:rsidRPr="00653FE8" w:rsidRDefault="00541964" w:rsidP="00541964">
      <w:pPr>
        <w:spacing w:line="360" w:lineRule="auto"/>
        <w:rPr>
          <w:rFonts w:ascii="Times New Roman" w:hAnsi="Times New Roman" w:cs="Times New Roman"/>
          <w:lang w:val="en-US"/>
        </w:rPr>
      </w:pPr>
    </w:p>
    <w:p w:rsidR="00541964" w:rsidRPr="00653FE8" w:rsidRDefault="00541964" w:rsidP="00541964">
      <w:pPr>
        <w:spacing w:line="360" w:lineRule="auto"/>
        <w:rPr>
          <w:rFonts w:ascii="Times New Roman" w:hAnsi="Times New Roman" w:cs="Times New Roman"/>
          <w:lang w:val="en-US"/>
        </w:rPr>
      </w:pPr>
      <m:oMathPara>
        <m:oMath>
          <m:r>
            <w:rPr>
              <w:rFonts w:ascii="Cambria Math" w:hAnsi="Cambria Math" w:cs="Times New Roman"/>
            </w:rPr>
            <m:t>log</m:t>
          </m:r>
          <m:d>
            <m:dPr>
              <m:begChr m:val="["/>
              <m:endChr m:val="]"/>
              <m:ctrlPr>
                <w:rPr>
                  <w:rFonts w:ascii="Cambria Math" w:hAnsi="Cambria Math" w:cs="Times New Roman"/>
                </w:rPr>
              </m:ctrlPr>
            </m:dPr>
            <m:e>
              <m:f>
                <m:fPr>
                  <m:ctrlPr>
                    <w:rPr>
                      <w:rFonts w:ascii="Cambria Math" w:hAnsi="Cambria Math" w:cs="Times New Roman"/>
                      <w:lang w:val="en-US"/>
                    </w:rPr>
                  </m:ctrlPr>
                </m:fPr>
                <m:num>
                  <m:r>
                    <w:rPr>
                      <w:rFonts w:ascii="Cambria Math" w:hAnsi="Cambria Math" w:cs="Times New Roman"/>
                      <w:lang w:val="en-US"/>
                    </w:rPr>
                    <m:t>P(</m:t>
                  </m:r>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i</m:t>
                      </m:r>
                    </m:sub>
                  </m:sSub>
                  <m:r>
                    <w:rPr>
                      <w:rFonts w:ascii="Cambria Math" w:hAnsi="Cambria Math" w:cs="Times New Roman"/>
                      <w:lang w:val="en-US"/>
                    </w:rPr>
                    <m:t>=1)</m:t>
                  </m:r>
                </m:num>
                <m:den>
                  <m:r>
                    <w:rPr>
                      <w:rFonts w:ascii="Cambria Math" w:hAnsi="Cambria Math" w:cs="Times New Roman"/>
                      <w:lang w:val="en-US"/>
                    </w:rPr>
                    <m:t>1-P(</m:t>
                  </m:r>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i</m:t>
                      </m:r>
                    </m:sub>
                  </m:sSub>
                  <m:r>
                    <w:rPr>
                      <w:rFonts w:ascii="Cambria Math" w:hAnsi="Cambria Math" w:cs="Times New Roman"/>
                      <w:lang w:val="en-US"/>
                    </w:rPr>
                    <m:t>=1)</m:t>
                  </m:r>
                </m:den>
              </m:f>
            </m:e>
          </m:d>
          <m:r>
            <m:rPr>
              <m:sty m:val="p"/>
            </m:rPr>
            <w:rPr>
              <w:rFonts w:ascii="Cambria Math" w:hAnsi="Cambria Math" w:cs="Times New Roman"/>
              <w:lang w:val="en-US"/>
            </w:rPr>
            <m:t xml:space="preserve">= </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lang w:val="en-US"/>
                </w:rPr>
                <m:t>0</m:t>
              </m:r>
            </m:sub>
          </m:sSub>
          <m:r>
            <m:rPr>
              <m:sty m:val="p"/>
            </m:rPr>
            <w:rPr>
              <w:rFonts w:ascii="Cambria Math" w:hAnsi="Cambria Math" w:cs="Times New Roman"/>
              <w:lang w:val="en-US"/>
            </w:rPr>
            <m:t>+</m:t>
          </m:r>
          <m:nary>
            <m:naryPr>
              <m:chr m:val="∑"/>
              <m:limLoc m:val="undOvr"/>
              <m:ctrlPr>
                <w:rPr>
                  <w:rFonts w:ascii="Cambria Math" w:hAnsi="Cambria Math" w:cs="Times New Roman"/>
                </w:rPr>
              </m:ctrlPr>
            </m:naryPr>
            <m:sub>
              <m:r>
                <w:rPr>
                  <w:rFonts w:ascii="Cambria Math" w:hAnsi="Cambria Math" w:cs="Times New Roman"/>
                </w:rPr>
                <m:t>j</m:t>
              </m:r>
              <m:r>
                <w:rPr>
                  <w:rFonts w:ascii="Cambria Math" w:hAnsi="Cambria Math" w:cs="Times New Roman"/>
                  <w:lang w:val="en-US"/>
                </w:rPr>
                <m:t>=1</m:t>
              </m:r>
            </m:sub>
            <m:sup>
              <m:r>
                <w:rPr>
                  <w:rFonts w:ascii="Cambria Math" w:hAnsi="Cambria Math" w:cs="Times New Roman"/>
                </w:rPr>
                <m:t>2</m:t>
              </m:r>
            </m:sup>
            <m:e>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j</m:t>
                  </m:r>
                </m:sub>
              </m:sSub>
              <m:sSub>
                <m:sSubPr>
                  <m:ctrlPr>
                    <w:rPr>
                      <w:rFonts w:ascii="Cambria Math" w:hAnsi="Cambria Math" w:cs="Times New Roman"/>
                    </w:rPr>
                  </m:ctrlPr>
                </m:sSubPr>
                <m:e>
                  <m:r>
                    <w:rPr>
                      <w:rFonts w:ascii="Cambria Math" w:hAnsi="Cambria Math" w:cs="Times New Roman"/>
                    </w:rPr>
                    <m:t>CHG</m:t>
                  </m:r>
                </m:e>
                <m:sub>
                  <m:r>
                    <w:rPr>
                      <w:rFonts w:ascii="Cambria Math" w:hAnsi="Cambria Math" w:cs="Times New Roman"/>
                    </w:rPr>
                    <m:t>j,i</m:t>
                  </m:r>
                </m:sub>
              </m:sSub>
            </m:e>
          </m:nary>
          <m:r>
            <m:rPr>
              <m:sty m:val="p"/>
            </m:rPr>
            <w:rPr>
              <w:rFonts w:ascii="Cambria Math" w:hAnsi="Cambria Math" w:cs="Times New Roman"/>
              <w:lang w:val="en-US"/>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rPr>
              </m:ctrlPr>
            </m:sSubPr>
            <m:e>
              <m:r>
                <w:rPr>
                  <w:rFonts w:ascii="Cambria Math" w:hAnsi="Cambria Math" w:cs="Times New Roman"/>
                </w:rPr>
                <m:t>Age</m:t>
              </m:r>
            </m:e>
            <m:sub>
              <m:r>
                <w:rPr>
                  <w:rFonts w:ascii="Cambria Math" w:hAnsi="Cambria Math" w:cs="Times New Roman"/>
                </w:rPr>
                <m:t>i</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lang w:val="en-US"/>
                </w:rPr>
                <m:t>4</m:t>
              </m:r>
            </m:sub>
          </m:sSub>
          <m:sSub>
            <m:sSubPr>
              <m:ctrlPr>
                <w:rPr>
                  <w:rFonts w:ascii="Cambria Math" w:hAnsi="Cambria Math" w:cs="Times New Roman"/>
                </w:rPr>
              </m:ctrlPr>
            </m:sSubPr>
            <m:e>
              <m:r>
                <w:rPr>
                  <w:rFonts w:ascii="Cambria Math" w:hAnsi="Cambria Math" w:cs="Times New Roman"/>
                </w:rPr>
                <m:t>Sex</m:t>
              </m:r>
            </m:e>
            <m:sub>
              <m:r>
                <w:rPr>
                  <w:rFonts w:ascii="Cambria Math" w:hAnsi="Cambria Math" w:cs="Times New Roman"/>
                </w:rPr>
                <m:t>i</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lang w:val="en-US"/>
                </w:rPr>
                <m:t>5</m:t>
              </m:r>
            </m:sub>
          </m:sSub>
          <m:sSub>
            <m:sSubPr>
              <m:ctrlPr>
                <w:rPr>
                  <w:rFonts w:ascii="Cambria Math" w:hAnsi="Cambria Math" w:cs="Times New Roman"/>
                </w:rPr>
              </m:ctrlPr>
            </m:sSubPr>
            <m:e>
              <m:r>
                <w:rPr>
                  <w:rFonts w:ascii="Cambria Math" w:hAnsi="Cambria Math" w:cs="Times New Roman"/>
                </w:rPr>
                <m:t>MedC</m:t>
              </m:r>
              <m:r>
                <w:rPr>
                  <w:rFonts w:ascii="Cambria Math" w:hAnsi="Cambria Math" w:cs="Times New Roman"/>
                  <w:lang w:val="en-US"/>
                </w:rPr>
                <m:t>h</m:t>
              </m:r>
              <m:r>
                <w:rPr>
                  <w:rFonts w:ascii="Cambria Math" w:hAnsi="Cambria Math" w:cs="Times New Roman"/>
                </w:rPr>
                <m:t>ir</m:t>
              </m:r>
            </m:e>
            <m:sub>
              <m:r>
                <w:rPr>
                  <w:rFonts w:ascii="Cambria Math" w:hAnsi="Cambria Math" w:cs="Times New Roman"/>
                </w:rPr>
                <m:t>i</m:t>
              </m:r>
            </m:sub>
          </m:sSub>
          <m:r>
            <m:rPr>
              <m:sty m:val="p"/>
            </m:rP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lang w:val="en-US"/>
                </w:rPr>
                <m:t>6</m:t>
              </m:r>
            </m:sub>
          </m:sSub>
          <m:sSub>
            <m:sSubPr>
              <m:ctrlPr>
                <w:rPr>
                  <w:rFonts w:ascii="Cambria Math" w:hAnsi="Cambria Math" w:cs="Times New Roman"/>
                </w:rPr>
              </m:ctrlPr>
            </m:sSubPr>
            <m:e>
              <m:r>
                <w:rPr>
                  <w:rFonts w:ascii="Cambria Math" w:hAnsi="Cambria Math" w:cs="Times New Roman"/>
                </w:rPr>
                <m:t>ER</m:t>
              </m:r>
            </m:e>
            <m:sub>
              <m:r>
                <w:rPr>
                  <w:rFonts w:ascii="Cambria Math" w:hAnsi="Cambria Math" w:cs="Times New Roman"/>
                </w:rPr>
                <m:t>i</m:t>
              </m:r>
            </m:sub>
          </m:sSub>
          <m:r>
            <m:rPr>
              <m:sty m:val="p"/>
            </m:rPr>
            <w:rPr>
              <w:rFonts w:ascii="Cambria Math" w:hAnsi="Cambria Math" w:cs="Times New Roman"/>
              <w:lang w:val="en-US"/>
            </w:rPr>
            <m:t xml:space="preserve">+  </m:t>
          </m:r>
          <m:nary>
            <m:naryPr>
              <m:chr m:val="∑"/>
              <m:limLoc m:val="undOvr"/>
              <m:ctrlPr>
                <w:rPr>
                  <w:rFonts w:ascii="Cambria Math" w:hAnsi="Cambria Math" w:cs="Times New Roman"/>
                </w:rPr>
              </m:ctrlPr>
            </m:naryPr>
            <m:sub>
              <m:r>
                <w:rPr>
                  <w:rFonts w:ascii="Cambria Math" w:hAnsi="Cambria Math" w:cs="Times New Roman"/>
                </w:rPr>
                <m:t>k</m:t>
              </m:r>
              <m:r>
                <w:rPr>
                  <w:rFonts w:ascii="Cambria Math" w:hAnsi="Cambria Math" w:cs="Times New Roman"/>
                  <w:lang w:val="en-US"/>
                </w:rPr>
                <m:t>=7</m:t>
              </m:r>
            </m:sub>
            <m:sup>
              <m:r>
                <w:rPr>
                  <w:rFonts w:ascii="Cambria Math" w:hAnsi="Cambria Math" w:cs="Times New Roman"/>
                </w:rPr>
                <m:t>10</m:t>
              </m:r>
            </m:sup>
            <m:e>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lang w:val="en-US"/>
                    </w:rPr>
                    <m:t>k</m:t>
                  </m:r>
                </m:sub>
              </m:sSub>
              <m:sSub>
                <m:sSubPr>
                  <m:ctrlPr>
                    <w:rPr>
                      <w:rFonts w:ascii="Cambria Math" w:hAnsi="Cambria Math" w:cs="Times New Roman"/>
                    </w:rPr>
                  </m:ctrlPr>
                </m:sSubPr>
                <m:e>
                  <m:r>
                    <w:rPr>
                      <w:rFonts w:ascii="Cambria Math" w:hAnsi="Cambria Math" w:cs="Times New Roman"/>
                    </w:rPr>
                    <m:t>RoM</m:t>
                  </m:r>
                </m:e>
                <m:sub>
                  <m:r>
                    <w:rPr>
                      <w:rFonts w:ascii="Cambria Math" w:hAnsi="Cambria Math" w:cs="Times New Roman"/>
                    </w:rPr>
                    <m:t>k-6,i</m:t>
                  </m:r>
                </m:sub>
              </m:sSub>
            </m:e>
          </m:nary>
          <m:r>
            <m:rPr>
              <m:sty m:val="p"/>
            </m:rPr>
            <w:rPr>
              <w:rFonts w:ascii="Cambria Math" w:hAnsi="Cambria Math" w:cs="Times New Roman"/>
              <w:lang w:val="en-US"/>
            </w:rPr>
            <m:t xml:space="preserve">+ </m:t>
          </m:r>
          <m:nary>
            <m:naryPr>
              <m:chr m:val="∑"/>
              <m:limLoc m:val="undOvr"/>
              <m:ctrlPr>
                <w:rPr>
                  <w:rFonts w:ascii="Cambria Math" w:hAnsi="Cambria Math" w:cs="Times New Roman"/>
                </w:rPr>
              </m:ctrlPr>
            </m:naryPr>
            <m:sub>
              <m:r>
                <w:rPr>
                  <w:rFonts w:ascii="Cambria Math" w:hAnsi="Cambria Math" w:cs="Times New Roman"/>
                </w:rPr>
                <m:t>l</m:t>
              </m:r>
              <m:r>
                <w:rPr>
                  <w:rFonts w:ascii="Cambria Math" w:hAnsi="Cambria Math" w:cs="Times New Roman"/>
                  <w:lang w:val="en-US"/>
                </w:rPr>
                <m:t>=11</m:t>
              </m:r>
            </m:sub>
            <m:sup>
              <m:r>
                <w:rPr>
                  <w:rFonts w:ascii="Cambria Math" w:hAnsi="Cambria Math" w:cs="Times New Roman"/>
                </w:rPr>
                <m:t>36</m:t>
              </m:r>
            </m:sup>
            <m:e>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l</m:t>
                  </m:r>
                </m:sub>
              </m:sSub>
              <m:sSub>
                <m:sSubPr>
                  <m:ctrlPr>
                    <w:rPr>
                      <w:rFonts w:ascii="Cambria Math" w:hAnsi="Cambria Math" w:cs="Times New Roman"/>
                    </w:rPr>
                  </m:ctrlPr>
                </m:sSubPr>
                <m:e>
                  <m:r>
                    <w:rPr>
                      <w:rFonts w:ascii="Cambria Math" w:hAnsi="Cambria Math" w:cs="Times New Roman"/>
                    </w:rPr>
                    <m:t>MDC</m:t>
                  </m:r>
                </m:e>
                <m:sub>
                  <m:r>
                    <w:rPr>
                      <w:rFonts w:ascii="Cambria Math" w:hAnsi="Cambria Math" w:cs="Times New Roman"/>
                    </w:rPr>
                    <m:t>l-10,i</m:t>
                  </m:r>
                </m:sub>
              </m:sSub>
            </m:e>
          </m:nary>
          <m:r>
            <m:rPr>
              <m:sty m:val="p"/>
            </m:rPr>
            <w:rPr>
              <w:rFonts w:ascii="Cambria Math" w:hAnsi="Cambria Math" w:cs="Times New Roman"/>
              <w:lang w:val="en-US"/>
            </w:rPr>
            <m:t xml:space="preserve"> </m:t>
          </m:r>
        </m:oMath>
      </m:oMathPara>
    </w:p>
    <w:p w:rsidR="00541964" w:rsidRPr="00653FE8" w:rsidRDefault="00541964" w:rsidP="00541964">
      <w:pPr>
        <w:spacing w:line="360" w:lineRule="auto"/>
        <w:rPr>
          <w:rFonts w:ascii="Times New Roman" w:hAnsi="Times New Roman" w:cs="Times New Roman"/>
          <w:lang w:val="en-US"/>
        </w:rPr>
      </w:pP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in</w:t>
      </w:r>
      <w:proofErr w:type="gramEnd"/>
      <w:r w:rsidRPr="00653FE8">
        <w:rPr>
          <w:rFonts w:ascii="Times New Roman" w:hAnsi="Times New Roman" w:cs="Times New Roman"/>
          <w:lang w:val="en-US"/>
        </w:rPr>
        <w:t xml:space="preserve"> which </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i/>
          <w:lang w:val="en-US"/>
        </w:rPr>
        <w:t>P</w:t>
      </w:r>
      <w:r w:rsidRPr="00653FE8">
        <w:rPr>
          <w:rFonts w:ascii="Times New Roman" w:hAnsi="Times New Roman" w:cs="Times New Roman"/>
          <w:lang w:val="en-US"/>
        </w:rPr>
        <w:t>(</w:t>
      </w:r>
      <w:proofErr w:type="gramEnd"/>
      <w:r w:rsidRPr="00653FE8">
        <w:rPr>
          <w:rFonts w:ascii="Times New Roman" w:hAnsi="Times New Roman" w:cs="Times New Roman"/>
          <w:i/>
          <w:lang w:val="en-US"/>
        </w:rPr>
        <w:t>Y</w:t>
      </w:r>
      <w:r w:rsidRPr="00653FE8">
        <w:rPr>
          <w:rFonts w:ascii="Times New Roman" w:hAnsi="Times New Roman" w:cs="Times New Roman"/>
          <w:i/>
          <w:vertAlign w:val="subscript"/>
          <w:lang w:val="en-US"/>
        </w:rPr>
        <w:t>i</w:t>
      </w:r>
      <w:r w:rsidRPr="00653FE8">
        <w:rPr>
          <w:rFonts w:ascii="Times New Roman" w:hAnsi="Times New Roman" w:cs="Times New Roman"/>
          <w:lang w:val="en-US"/>
        </w:rPr>
        <w:t xml:space="preserve"> = 1)</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probability of the patients dying during the hospital stay of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w:t>
      </w:r>
    </w:p>
    <w:p w:rsidR="00541964" w:rsidRPr="00653FE8" w:rsidRDefault="00541964" w:rsidP="00541964">
      <w:pPr>
        <w:spacing w:line="360" w:lineRule="auto"/>
        <w:rPr>
          <w:rFonts w:ascii="Times New Roman" w:hAnsi="Times New Roman" w:cs="Times New Roman"/>
          <w:lang w:val="en-US"/>
        </w:rPr>
      </w:pPr>
      <w:r w:rsidRPr="00653FE8">
        <w:rPr>
          <w:rFonts w:ascii="Times New Roman" w:hAnsi="Times New Roman" w:cs="Times New Roman"/>
          <w:i/>
          <w:lang w:val="en-US"/>
        </w:rPr>
        <w:t>Y</w:t>
      </w:r>
      <w:r w:rsidRPr="00653FE8">
        <w:rPr>
          <w:rFonts w:ascii="Times New Roman" w:hAnsi="Times New Roman" w:cs="Times New Roman"/>
          <w:i/>
          <w:vertAlign w:val="subscript"/>
          <w:lang w:val="en-US"/>
        </w:rPr>
        <w:t>i</w:t>
      </w:r>
      <w:r w:rsidRPr="00653FE8">
        <w:rPr>
          <w:rFonts w:ascii="Times New Roman" w:hAnsi="Times New Roman" w:cs="Times New Roman"/>
          <w:lang w:val="en-US"/>
        </w:rPr>
        <w:t xml:space="preserve"> </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binary variable that indicates the patients survived or died during the hospital stay of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w:t>
      </w:r>
    </w:p>
    <w:p w:rsidR="00541964" w:rsidRPr="00653FE8" w:rsidRDefault="00541964" w:rsidP="00541964">
      <w:pPr>
        <w:spacing w:line="360" w:lineRule="auto"/>
        <w:rPr>
          <w:rFonts w:ascii="Times New Roman" w:hAnsi="Times New Roman" w:cs="Times New Roman"/>
          <w:i/>
          <w:lang w:val="en-US"/>
        </w:rPr>
      </w:pPr>
      <w:r w:rsidRPr="00653FE8">
        <w:rPr>
          <w:rFonts w:ascii="Times New Roman" w:hAnsi="Times New Roman" w:cs="Times New Roman"/>
          <w:i/>
          <w:lang w:val="en-US"/>
        </w:rPr>
        <w:t xml:space="preserve">CHG </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indicator for an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 xml:space="preserve"> that receives chlorhexidine oral care, </w:t>
      </w:r>
    </w:p>
    <w:p w:rsidR="00541964" w:rsidRPr="00653FE8" w:rsidRDefault="00541964" w:rsidP="00541964">
      <w:pPr>
        <w:spacing w:line="360" w:lineRule="auto"/>
        <w:rPr>
          <w:rFonts w:ascii="Times New Roman" w:hAnsi="Times New Roman" w:cs="Times New Roman"/>
          <w:i/>
          <w:lang w:val="en-US"/>
        </w:rPr>
      </w:pPr>
      <w:r w:rsidRPr="00653FE8">
        <w:rPr>
          <w:rFonts w:ascii="Times New Roman" w:hAnsi="Times New Roman" w:cs="Times New Roman"/>
          <w:i/>
          <w:lang w:val="en-US"/>
        </w:rPr>
        <w:t>Age</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variable that indicates the age of patient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w:t>
      </w:r>
    </w:p>
    <w:p w:rsidR="00541964" w:rsidRPr="00653FE8" w:rsidRDefault="00541964" w:rsidP="00541964">
      <w:pPr>
        <w:spacing w:line="360" w:lineRule="auto"/>
        <w:rPr>
          <w:rFonts w:ascii="Times New Roman" w:hAnsi="Times New Roman" w:cs="Times New Roman"/>
          <w:i/>
          <w:lang w:val="en-US"/>
        </w:rPr>
      </w:pPr>
      <w:r w:rsidRPr="00653FE8">
        <w:rPr>
          <w:rFonts w:ascii="Times New Roman" w:hAnsi="Times New Roman" w:cs="Times New Roman"/>
          <w:i/>
          <w:lang w:val="en-US"/>
        </w:rPr>
        <w:t>Sex</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variable that indicates the sex of patient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w:t>
      </w:r>
    </w:p>
    <w:p w:rsidR="00541964" w:rsidRPr="00653FE8" w:rsidRDefault="00541964" w:rsidP="00541964">
      <w:pPr>
        <w:spacing w:line="360" w:lineRule="auto"/>
        <w:rPr>
          <w:rFonts w:ascii="Times New Roman" w:hAnsi="Times New Roman" w:cs="Times New Roman"/>
          <w:i/>
          <w:lang w:val="en-US"/>
        </w:rPr>
      </w:pPr>
      <w:proofErr w:type="spellStart"/>
      <w:r w:rsidRPr="00653FE8">
        <w:rPr>
          <w:rFonts w:ascii="Times New Roman" w:hAnsi="Times New Roman" w:cs="Times New Roman"/>
          <w:i/>
          <w:lang w:val="en-US"/>
        </w:rPr>
        <w:t>MedChir</w:t>
      </w:r>
      <w:proofErr w:type="spellEnd"/>
    </w:p>
    <w:p w:rsidR="00541964" w:rsidRPr="00653FE8" w:rsidRDefault="00541964" w:rsidP="00541964">
      <w:pPr>
        <w:spacing w:line="360" w:lineRule="auto"/>
        <w:rPr>
          <w:rFonts w:ascii="Times New Roman" w:hAnsi="Times New Roman" w:cs="Times New Roman"/>
          <w:i/>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a binary indicator that classifies the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 xml:space="preserve"> into a medical or surgical category,</w:t>
      </w:r>
      <w:r w:rsidRPr="00653FE8">
        <w:rPr>
          <w:rFonts w:ascii="Times New Roman" w:hAnsi="Times New Roman" w:cs="Times New Roman"/>
          <w:i/>
          <w:lang w:val="en-US"/>
        </w:rPr>
        <w:t xml:space="preserve"> </w:t>
      </w:r>
    </w:p>
    <w:p w:rsidR="00541964" w:rsidRPr="00653FE8" w:rsidRDefault="00541964" w:rsidP="00541964">
      <w:pPr>
        <w:spacing w:line="360" w:lineRule="auto"/>
        <w:rPr>
          <w:rFonts w:ascii="Times New Roman" w:hAnsi="Times New Roman" w:cs="Times New Roman"/>
          <w:i/>
          <w:lang w:val="en-US"/>
        </w:rPr>
      </w:pPr>
      <w:r w:rsidRPr="00653FE8">
        <w:rPr>
          <w:rFonts w:ascii="Times New Roman" w:hAnsi="Times New Roman" w:cs="Times New Roman"/>
          <w:i/>
          <w:lang w:val="en-US"/>
        </w:rPr>
        <w:t>ER</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a binary indicator for an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 xml:space="preserve"> through the emergency room, </w:t>
      </w:r>
    </w:p>
    <w:p w:rsidR="00541964" w:rsidRPr="00653FE8" w:rsidRDefault="00541964" w:rsidP="00541964">
      <w:pPr>
        <w:spacing w:line="360" w:lineRule="auto"/>
        <w:rPr>
          <w:rFonts w:ascii="Times New Roman" w:hAnsi="Times New Roman" w:cs="Times New Roman"/>
          <w:lang w:val="en-US"/>
        </w:rPr>
      </w:pPr>
      <w:r w:rsidRPr="00653FE8">
        <w:rPr>
          <w:rFonts w:ascii="Times New Roman" w:hAnsi="Times New Roman" w:cs="Times New Roman"/>
          <w:i/>
          <w:lang w:val="en-US"/>
        </w:rPr>
        <w:t>RoM</w:t>
      </w:r>
      <w:r w:rsidRPr="00653FE8">
        <w:rPr>
          <w:rFonts w:ascii="Times New Roman" w:hAnsi="Times New Roman" w:cs="Times New Roman"/>
          <w:lang w:val="en-US"/>
        </w:rPr>
        <w:t xml:space="preserve"> </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risk of mortality for each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 xml:space="preserve">, and </w:t>
      </w:r>
    </w:p>
    <w:p w:rsidR="00541964" w:rsidRPr="00653FE8" w:rsidRDefault="00541964" w:rsidP="00541964">
      <w:pPr>
        <w:spacing w:line="360" w:lineRule="auto"/>
        <w:rPr>
          <w:rFonts w:ascii="Times New Roman" w:hAnsi="Times New Roman" w:cs="Times New Roman"/>
          <w:lang w:val="en-US"/>
        </w:rPr>
      </w:pPr>
      <w:r w:rsidRPr="00653FE8">
        <w:rPr>
          <w:rFonts w:ascii="Times New Roman" w:hAnsi="Times New Roman" w:cs="Times New Roman"/>
          <w:i/>
          <w:lang w:val="en-US"/>
        </w:rPr>
        <w:t>MDC</w:t>
      </w:r>
      <w:r w:rsidRPr="00653FE8">
        <w:rPr>
          <w:rFonts w:ascii="Times New Roman" w:hAnsi="Times New Roman" w:cs="Times New Roman"/>
          <w:lang w:val="en-US"/>
        </w:rPr>
        <w:t xml:space="preserve"> </w:t>
      </w:r>
    </w:p>
    <w:p w:rsidR="00541964" w:rsidRPr="00653FE8" w:rsidRDefault="00541964" w:rsidP="00541964">
      <w:pPr>
        <w:spacing w:line="360" w:lineRule="auto"/>
        <w:rPr>
          <w:rFonts w:ascii="Times New Roman" w:hAnsi="Times New Roman" w:cs="Times New Roman"/>
          <w:lang w:val="en-US"/>
        </w:rPr>
      </w:pPr>
      <w:proofErr w:type="gramStart"/>
      <w:r w:rsidRPr="00653FE8">
        <w:rPr>
          <w:rFonts w:ascii="Times New Roman" w:hAnsi="Times New Roman" w:cs="Times New Roman"/>
          <w:lang w:val="en-US"/>
        </w:rPr>
        <w:t>denotes</w:t>
      </w:r>
      <w:proofErr w:type="gramEnd"/>
      <w:r w:rsidRPr="00653FE8">
        <w:rPr>
          <w:rFonts w:ascii="Times New Roman" w:hAnsi="Times New Roman" w:cs="Times New Roman"/>
          <w:lang w:val="en-US"/>
        </w:rPr>
        <w:t xml:space="preserve"> the major diagnostic category for each admission </w:t>
      </w:r>
      <w:proofErr w:type="spellStart"/>
      <w:r w:rsidRPr="00653FE8">
        <w:rPr>
          <w:rFonts w:ascii="Times New Roman" w:hAnsi="Times New Roman" w:cs="Times New Roman"/>
          <w:lang w:val="en-US"/>
        </w:rPr>
        <w:t>i</w:t>
      </w:r>
      <w:proofErr w:type="spellEnd"/>
      <w:r w:rsidRPr="00653FE8">
        <w:rPr>
          <w:rFonts w:ascii="Times New Roman" w:hAnsi="Times New Roman" w:cs="Times New Roman"/>
          <w:lang w:val="en-US"/>
        </w:rPr>
        <w:t xml:space="preserve">. </w:t>
      </w:r>
    </w:p>
    <w:p w:rsidR="00541964" w:rsidRPr="00653FE8" w:rsidRDefault="00541964" w:rsidP="00541964">
      <w:pPr>
        <w:spacing w:line="360" w:lineRule="auto"/>
        <w:rPr>
          <w:rFonts w:ascii="Times New Roman" w:hAnsi="Times New Roman" w:cs="Times New Roman"/>
          <w:lang w:val="en-US"/>
        </w:rPr>
      </w:pPr>
      <w:r w:rsidRPr="00653FE8">
        <w:rPr>
          <w:rFonts w:ascii="Times New Roman" w:hAnsi="Times New Roman" w:cs="Times New Roman"/>
          <w:lang w:val="en-US"/>
        </w:rPr>
        <w:t xml:space="preserve">Our key parameter of interest is the estimate of </w:t>
      </w:r>
      <w:r w:rsidRPr="00653FE8">
        <w:rPr>
          <w:rFonts w:ascii="Times New Roman" w:hAnsi="Times New Roman" w:cs="Times New Roman"/>
        </w:rPr>
        <w:t>β</w:t>
      </w:r>
      <w:r w:rsidRPr="00653FE8">
        <w:rPr>
          <w:rFonts w:ascii="Times New Roman" w:hAnsi="Times New Roman" w:cs="Times New Roman"/>
          <w:vertAlign w:val="subscript"/>
          <w:lang w:val="en-US"/>
        </w:rPr>
        <w:t xml:space="preserve">1 </w:t>
      </w:r>
      <w:r w:rsidRPr="00653FE8">
        <w:rPr>
          <w:rFonts w:ascii="Times New Roman" w:hAnsi="Times New Roman" w:cs="Times New Roman"/>
          <w:lang w:val="en-US"/>
        </w:rPr>
        <w:t xml:space="preserve">and </w:t>
      </w:r>
      <w:r w:rsidRPr="00653FE8">
        <w:rPr>
          <w:rFonts w:ascii="Times New Roman" w:hAnsi="Times New Roman" w:cs="Times New Roman"/>
        </w:rPr>
        <w:t>β</w:t>
      </w:r>
      <w:r w:rsidRPr="00653FE8">
        <w:rPr>
          <w:rFonts w:ascii="Times New Roman" w:hAnsi="Times New Roman" w:cs="Times New Roman"/>
          <w:vertAlign w:val="subscript"/>
          <w:lang w:val="en-US"/>
        </w:rPr>
        <w:t>2</w:t>
      </w:r>
      <w:r w:rsidRPr="00653FE8">
        <w:rPr>
          <w:rFonts w:ascii="Times New Roman" w:hAnsi="Times New Roman" w:cs="Times New Roman"/>
          <w:lang w:val="en-US"/>
        </w:rPr>
        <w:t xml:space="preserve"> that represents the mean adjusted change in each outcome attributable to the use of chlorhexidine oral care. </w:t>
      </w:r>
    </w:p>
    <w:p w:rsidR="00541964" w:rsidRPr="00653FE8" w:rsidRDefault="00541964" w:rsidP="00541964">
      <w:pPr>
        <w:pStyle w:val="EndNoteBibliography"/>
        <w:spacing w:after="0" w:line="360" w:lineRule="auto"/>
        <w:rPr>
          <w:rFonts w:ascii="Times New Roman" w:hAnsi="Times New Roman"/>
          <w:sz w:val="24"/>
          <w:szCs w:val="24"/>
        </w:rPr>
      </w:pPr>
      <w:r w:rsidRPr="00653FE8">
        <w:rPr>
          <w:rFonts w:ascii="Times New Roman" w:hAnsi="Times New Roman"/>
          <w:sz w:val="24"/>
          <w:szCs w:val="24"/>
        </w:rPr>
        <w:lastRenderedPageBreak/>
        <w:t xml:space="preserve">Feature selection and final fit is done through a stepwise forward and backward approach, depending on the Akaike Information Criterion (AIC) value (dropping and adding variables that lead to the smallest AIC). </w:t>
      </w:r>
    </w:p>
    <w:p w:rsidR="00541964" w:rsidRPr="00653FE8" w:rsidRDefault="00541964" w:rsidP="00653FE8">
      <w:pPr>
        <w:pStyle w:val="EndNoteBibliography"/>
        <w:spacing w:after="0" w:line="360" w:lineRule="auto"/>
        <w:rPr>
          <w:rFonts w:ascii="Times New Roman" w:hAnsi="Times New Roman"/>
          <w:sz w:val="24"/>
          <w:szCs w:val="24"/>
        </w:rPr>
      </w:pPr>
      <w:r w:rsidRPr="00653FE8">
        <w:rPr>
          <w:rFonts w:ascii="Times New Roman" w:hAnsi="Times New Roman"/>
        </w:rPr>
        <w:t xml:space="preserve">To assess the relative contribution of chlorhexidine oral care to the predictive value of the </w:t>
      </w:r>
      <w:r w:rsidRPr="00653FE8">
        <w:rPr>
          <w:rFonts w:ascii="Times New Roman" w:hAnsi="Times New Roman"/>
          <w:sz w:val="24"/>
          <w:szCs w:val="24"/>
        </w:rPr>
        <w:t>final model we additionally planned a logistic regression model without chlorhexidine oral care. Both regression models (with and without chlorhexidine oral care) were compared using the analysis of deviance with the Chi-square test, testing whether reduction in the residual sum of squares is statistically significant or not.</w:t>
      </w:r>
    </w:p>
    <w:p w:rsidR="00541964" w:rsidRDefault="00541964" w:rsidP="00653FE8">
      <w:pPr>
        <w:pStyle w:val="EndNoteBibliography"/>
        <w:spacing w:after="0" w:line="360" w:lineRule="auto"/>
        <w:rPr>
          <w:rFonts w:ascii="Times New Roman" w:hAnsi="Times New Roman"/>
          <w:sz w:val="24"/>
          <w:szCs w:val="24"/>
        </w:rPr>
      </w:pPr>
      <w:r w:rsidRPr="00653FE8">
        <w:rPr>
          <w:rFonts w:ascii="Times New Roman" w:hAnsi="Times New Roman"/>
          <w:sz w:val="24"/>
          <w:szCs w:val="24"/>
        </w:rPr>
        <w:t>As we are aware of certain bias and potential confounding we use propensity scores to evaluate the range of the effect of the dichotomous variable on receiving chlorhexidine  oral care. We use the nearest neighbor approach and the logit function to</w:t>
      </w:r>
      <w:r w:rsidR="00653FE8" w:rsidRPr="00653FE8">
        <w:rPr>
          <w:rFonts w:ascii="Times New Roman" w:hAnsi="Times New Roman"/>
          <w:sz w:val="24"/>
          <w:szCs w:val="24"/>
        </w:rPr>
        <w:t xml:space="preserve"> calculate the weighted scores</w:t>
      </w:r>
      <w:r w:rsidR="00653FE8">
        <w:rPr>
          <w:rStyle w:val="FootnoteReference"/>
          <w:rFonts w:ascii="Times New Roman" w:hAnsi="Times New Roman"/>
          <w:sz w:val="24"/>
          <w:szCs w:val="24"/>
        </w:rPr>
        <w:footnoteReference w:id="1"/>
      </w:r>
      <w:r w:rsidR="00653FE8">
        <w:rPr>
          <w:rFonts w:ascii="Times New Roman" w:hAnsi="Times New Roman"/>
          <w:sz w:val="24"/>
          <w:szCs w:val="24"/>
        </w:rPr>
        <w:t>.</w:t>
      </w:r>
    </w:p>
    <w:p w:rsidR="00167D6D" w:rsidRPr="00001030" w:rsidRDefault="00167D6D" w:rsidP="00167D6D">
      <w:pPr>
        <w:spacing w:line="360" w:lineRule="auto"/>
        <w:rPr>
          <w:rFonts w:ascii="Times New Roman" w:hAnsi="Times New Roman" w:cs="Times New Roman"/>
          <w:lang w:val="en-US"/>
        </w:rPr>
      </w:pPr>
      <w:r w:rsidRPr="00001030">
        <w:rPr>
          <w:rFonts w:ascii="Times New Roman" w:hAnsi="Times New Roman" w:cs="Times New Roman"/>
          <w:lang w:val="en-US"/>
        </w:rPr>
        <w:t xml:space="preserve">The results of using propensity score in the logistic regression model only fitting </w:t>
      </w:r>
      <w:r w:rsidRPr="00001030">
        <w:rPr>
          <w:rFonts w:ascii="Times New Roman" w:hAnsi="Times New Roman" w:cs="Times New Roman"/>
          <w:lang w:val="en-GB"/>
        </w:rPr>
        <w:t>chlorhexidine oral care</w:t>
      </w:r>
      <w:r w:rsidRPr="00001030">
        <w:rPr>
          <w:rFonts w:ascii="Times New Roman" w:hAnsi="Times New Roman" w:cs="Times New Roman"/>
          <w:lang w:val="en-US"/>
        </w:rPr>
        <w:t xml:space="preserve"> to the mortality (OR 2.69 95% CI 2.42 – 2.96, p &lt; 0.001) are in line with the logistic regression model. We only report these results in this appendix and continue without this approach in the main article.</w:t>
      </w:r>
    </w:p>
    <w:p w:rsidR="00167D6D" w:rsidRPr="00653FE8" w:rsidRDefault="00167D6D" w:rsidP="00653FE8">
      <w:pPr>
        <w:pStyle w:val="EndNoteBibliography"/>
        <w:spacing w:after="0" w:line="360" w:lineRule="auto"/>
        <w:rPr>
          <w:rFonts w:ascii="Times New Roman" w:hAnsi="Times New Roman"/>
          <w:sz w:val="24"/>
          <w:szCs w:val="24"/>
        </w:rPr>
      </w:pPr>
    </w:p>
    <w:p w:rsidR="00653FE8" w:rsidRPr="00653FE8" w:rsidRDefault="00653FE8" w:rsidP="00653FE8">
      <w:pPr>
        <w:spacing w:after="160" w:line="259" w:lineRule="auto"/>
        <w:rPr>
          <w:rFonts w:ascii="Times New Roman" w:hAnsi="Times New Roman" w:cs="Times New Roman"/>
          <w:color w:val="008000"/>
          <w:lang w:val="en-US"/>
        </w:rPr>
      </w:pPr>
    </w:p>
    <w:p w:rsidR="00541964" w:rsidRDefault="00541964" w:rsidP="008F231A">
      <w:pPr>
        <w:rPr>
          <w:rFonts w:ascii="Times New Roman" w:hAnsi="Times New Roman" w:cs="Times New Roman"/>
          <w:b/>
          <w:color w:val="FF0000"/>
          <w:sz w:val="22"/>
          <w:lang w:val="en-US"/>
        </w:rPr>
      </w:pPr>
    </w:p>
    <w:p w:rsidR="00541964" w:rsidRDefault="00541964">
      <w:pPr>
        <w:rPr>
          <w:rFonts w:ascii="Times New Roman" w:hAnsi="Times New Roman" w:cs="Times New Roman"/>
          <w:b/>
          <w:color w:val="FF0000"/>
          <w:sz w:val="22"/>
          <w:lang w:val="en-US"/>
        </w:rPr>
      </w:pPr>
      <w:r>
        <w:rPr>
          <w:rFonts w:ascii="Times New Roman" w:hAnsi="Times New Roman" w:cs="Times New Roman"/>
          <w:b/>
          <w:color w:val="FF0000"/>
          <w:sz w:val="22"/>
          <w:lang w:val="en-US"/>
        </w:rPr>
        <w:br w:type="page"/>
      </w:r>
    </w:p>
    <w:p w:rsidR="008F231A" w:rsidRPr="00653FE8" w:rsidRDefault="007E0CA4" w:rsidP="008F231A">
      <w:pPr>
        <w:rPr>
          <w:rFonts w:ascii="Times New Roman" w:hAnsi="Times New Roman" w:cs="Times New Roman"/>
          <w:b/>
          <w:sz w:val="22"/>
          <w:lang w:val="en-US"/>
        </w:rPr>
      </w:pPr>
      <w:r w:rsidRPr="00653FE8">
        <w:rPr>
          <w:rFonts w:ascii="Times New Roman" w:hAnsi="Times New Roman" w:cs="Times New Roman"/>
          <w:b/>
          <w:sz w:val="22"/>
          <w:lang w:val="en-US"/>
        </w:rPr>
        <w:lastRenderedPageBreak/>
        <w:t>Appendix 3</w:t>
      </w:r>
      <w:r w:rsidR="008F231A" w:rsidRPr="00653FE8">
        <w:rPr>
          <w:rFonts w:ascii="Times New Roman" w:hAnsi="Times New Roman" w:cs="Times New Roman"/>
          <w:b/>
          <w:sz w:val="22"/>
          <w:lang w:val="en-US"/>
        </w:rPr>
        <w:t xml:space="preserve"> – Receiver Operating Characteristic curve of the logistic regression analysis assessing relationships with mortality on the total study cohort (n=82 274), AUC=0</w:t>
      </w:r>
      <w:r w:rsidR="001729C3" w:rsidRPr="00653FE8">
        <w:rPr>
          <w:rFonts w:ascii="Times New Roman" w:hAnsi="Times New Roman" w:cs="Times New Roman"/>
          <w:b/>
          <w:sz w:val="22"/>
          <w:lang w:val="en-US"/>
        </w:rPr>
        <w:t>.</w:t>
      </w:r>
      <w:r w:rsidR="008F231A" w:rsidRPr="00653FE8">
        <w:rPr>
          <w:rFonts w:ascii="Times New Roman" w:hAnsi="Times New Roman" w:cs="Times New Roman"/>
          <w:b/>
          <w:sz w:val="22"/>
          <w:lang w:val="en-US"/>
        </w:rPr>
        <w:t>94</w:t>
      </w:r>
    </w:p>
    <w:p w:rsidR="008F231A" w:rsidRPr="001729C3" w:rsidRDefault="008F231A" w:rsidP="008F231A">
      <w:pPr>
        <w:rPr>
          <w:rFonts w:ascii="Times New Roman" w:hAnsi="Times New Roman" w:cs="Times New Roman"/>
          <w:b/>
          <w:lang w:val="en-US"/>
        </w:rPr>
      </w:pPr>
    </w:p>
    <w:p w:rsidR="008F231A" w:rsidRPr="001729C3" w:rsidRDefault="008F231A" w:rsidP="008F231A">
      <w:pPr>
        <w:rPr>
          <w:rFonts w:ascii="Times New Roman" w:hAnsi="Times New Roman" w:cs="Times New Roman"/>
          <w:b/>
          <w:lang w:val="en-US"/>
        </w:rPr>
      </w:pPr>
    </w:p>
    <w:p w:rsidR="00422737" w:rsidRPr="001729C3" w:rsidRDefault="00422737" w:rsidP="008F231A">
      <w:pPr>
        <w:rPr>
          <w:rFonts w:ascii="Times New Roman" w:hAnsi="Times New Roman" w:cs="Times New Roman"/>
          <w:b/>
          <w:lang w:val="en-US"/>
        </w:rPr>
      </w:pPr>
      <w:r>
        <w:rPr>
          <w:noProof/>
          <w:lang w:val="en-IN" w:eastAsia="en-IN"/>
        </w:rPr>
        <w:drawing>
          <wp:inline distT="0" distB="0" distL="0" distR="0">
            <wp:extent cx="4029075" cy="2809875"/>
            <wp:effectExtent l="0" t="0" r="9525" b="9525"/>
            <wp:docPr id="2"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rotWithShape="1">
                    <a:blip r:embed="rId9"/>
                    <a:srcRect t="6444"/>
                    <a:stretch/>
                  </pic:blipFill>
                  <pic:spPr bwMode="auto">
                    <a:xfrm>
                      <a:off x="0" y="0"/>
                      <a:ext cx="4029075" cy="2809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8F231A" w:rsidRPr="001729C3" w:rsidRDefault="008F231A" w:rsidP="008F231A">
      <w:pPr>
        <w:rPr>
          <w:rFonts w:ascii="Times New Roman" w:hAnsi="Times New Roman" w:cs="Times New Roman"/>
          <w:b/>
          <w:lang w:val="en-US"/>
        </w:rPr>
      </w:pPr>
    </w:p>
    <w:p w:rsidR="008F231A" w:rsidRPr="001729C3" w:rsidRDefault="008F231A" w:rsidP="008F231A">
      <w:pPr>
        <w:rPr>
          <w:rFonts w:ascii="Times New Roman" w:hAnsi="Times New Roman" w:cs="Times New Roman"/>
          <w:b/>
          <w:lang w:val="en-US"/>
        </w:rPr>
      </w:pPr>
    </w:p>
    <w:p w:rsidR="008F231A" w:rsidRPr="001729C3" w:rsidRDefault="008F231A" w:rsidP="008F231A">
      <w:pPr>
        <w:rPr>
          <w:rFonts w:ascii="Times New Roman" w:hAnsi="Times New Roman" w:cs="Times New Roman"/>
          <w:b/>
          <w:lang w:val="en-US"/>
        </w:rPr>
      </w:pPr>
    </w:p>
    <w:p w:rsidR="008F231A" w:rsidRPr="001729C3" w:rsidRDefault="008F231A" w:rsidP="008F231A">
      <w:pPr>
        <w:widowControl w:val="0"/>
        <w:autoSpaceDE w:val="0"/>
        <w:autoSpaceDN w:val="0"/>
        <w:adjustRightInd w:val="0"/>
        <w:spacing w:line="360" w:lineRule="auto"/>
        <w:rPr>
          <w:rFonts w:ascii="Times New Roman" w:hAnsi="Times New Roman" w:cs="Times New Roman"/>
          <w:lang w:val="en-US"/>
        </w:rPr>
      </w:pPr>
      <w:r w:rsidRPr="001729C3">
        <w:rPr>
          <w:rFonts w:ascii="Times New Roman" w:hAnsi="Times New Roman" w:cs="Times New Roman"/>
          <w:lang w:val="en-US"/>
        </w:rPr>
        <w:t>The discriminative power of the models was assessed by receiver–operator characteristic (ROC) curve analysis, which demonstrates the sensitivity and specificity of the prediction model in a graphic way. The discriminative power is maximal when the area under the curve is 1; there is no discriminative power when this area is 0</w:t>
      </w:r>
      <w:r w:rsidR="001729C3">
        <w:rPr>
          <w:rFonts w:ascii="Times New Roman" w:hAnsi="Times New Roman" w:cs="Times New Roman"/>
          <w:lang w:val="en-US"/>
        </w:rPr>
        <w:t>.</w:t>
      </w:r>
      <w:r w:rsidRPr="001729C3">
        <w:rPr>
          <w:rFonts w:ascii="Times New Roman" w:hAnsi="Times New Roman" w:cs="Times New Roman"/>
          <w:lang w:val="en-US"/>
        </w:rPr>
        <w:t>5.</w:t>
      </w:r>
    </w:p>
    <w:p w:rsidR="008F231A" w:rsidRPr="001729C3" w:rsidRDefault="008F231A" w:rsidP="008F231A">
      <w:pPr>
        <w:rPr>
          <w:rFonts w:ascii="Times New Roman" w:hAnsi="Times New Roman" w:cs="Times New Roman"/>
          <w:b/>
          <w:lang w:val="en-US"/>
        </w:rPr>
      </w:pPr>
    </w:p>
    <w:p w:rsidR="007D7622" w:rsidRDefault="007D7622">
      <w:pPr>
        <w:rPr>
          <w:rFonts w:ascii="Times New Roman" w:hAnsi="Times New Roman" w:cs="Times New Roman"/>
          <w:b/>
          <w:lang w:val="en-US"/>
        </w:rPr>
      </w:pPr>
      <w:r>
        <w:rPr>
          <w:rFonts w:ascii="Times New Roman" w:hAnsi="Times New Roman" w:cs="Times New Roman"/>
          <w:b/>
          <w:lang w:val="en-US"/>
        </w:rPr>
        <w:br w:type="page"/>
      </w:r>
    </w:p>
    <w:p w:rsidR="007D7622" w:rsidRPr="00F63177" w:rsidRDefault="007E0CA4" w:rsidP="007D7622">
      <w:pPr>
        <w:spacing w:line="360" w:lineRule="auto"/>
        <w:rPr>
          <w:rFonts w:ascii="Times New Roman" w:hAnsi="Times New Roman" w:cs="Times New Roman"/>
          <w:b/>
          <w:sz w:val="22"/>
          <w:szCs w:val="20"/>
          <w:lang w:val="en-US"/>
        </w:rPr>
      </w:pPr>
      <w:r w:rsidRPr="00001030">
        <w:rPr>
          <w:rFonts w:ascii="Times New Roman" w:hAnsi="Times New Roman" w:cs="Times New Roman"/>
          <w:b/>
          <w:sz w:val="22"/>
          <w:szCs w:val="20"/>
          <w:lang w:val="en-US"/>
        </w:rPr>
        <w:lastRenderedPageBreak/>
        <w:t>Appendix 4</w:t>
      </w:r>
      <w:r w:rsidR="007D7622" w:rsidRPr="00001030">
        <w:rPr>
          <w:rFonts w:ascii="Times New Roman" w:hAnsi="Times New Roman" w:cs="Times New Roman"/>
          <w:b/>
          <w:sz w:val="22"/>
          <w:szCs w:val="20"/>
          <w:lang w:val="en-US"/>
        </w:rPr>
        <w:t xml:space="preserve"> – Mortality rates according to exposure to chlorhexidine oral care in cardiothoracic &amp; vascular surgery patients</w:t>
      </w:r>
    </w:p>
    <w:p w:rsidR="007D7622" w:rsidRPr="00C910C6" w:rsidRDefault="007D7622" w:rsidP="007D7622">
      <w:pPr>
        <w:spacing w:line="360" w:lineRule="auto"/>
        <w:rPr>
          <w:rFonts w:ascii="Times New Roman" w:hAnsi="Times New Roman" w:cs="Times New Roman"/>
          <w:b/>
          <w:strike/>
          <w:sz w:val="20"/>
          <w:szCs w:val="20"/>
          <w:lang w:val="en-US"/>
        </w:rPr>
      </w:pPr>
    </w:p>
    <w:tbl>
      <w:tblPr>
        <w:tblW w:w="5000" w:type="pct"/>
        <w:tblCellMar>
          <w:left w:w="70" w:type="dxa"/>
          <w:right w:w="70" w:type="dxa"/>
        </w:tblCellMar>
        <w:tblLook w:val="04A0"/>
      </w:tblPr>
      <w:tblGrid>
        <w:gridCol w:w="854"/>
        <w:gridCol w:w="4357"/>
        <w:gridCol w:w="1331"/>
        <w:gridCol w:w="1331"/>
        <w:gridCol w:w="1331"/>
      </w:tblGrid>
      <w:tr w:rsidR="00001030" w:rsidRPr="00001030" w:rsidTr="00F26C04">
        <w:trPr>
          <w:trHeight w:val="1035"/>
        </w:trPr>
        <w:tc>
          <w:tcPr>
            <w:tcW w:w="2831" w:type="pct"/>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rsidR="007545D9" w:rsidRPr="00001030" w:rsidRDefault="007545D9" w:rsidP="007545D9">
            <w:pPr>
              <w:rPr>
                <w:rFonts w:ascii="Times New Roman" w:eastAsia="Times New Roman" w:hAnsi="Times New Roman" w:cs="Times New Roman"/>
                <w:b/>
                <w:bCs/>
                <w:sz w:val="20"/>
                <w:szCs w:val="20"/>
                <w:lang w:val="en-US" w:eastAsia="nl-BE"/>
              </w:rPr>
            </w:pPr>
            <w:r w:rsidRPr="00001030">
              <w:rPr>
                <w:rFonts w:ascii="Times New Roman" w:eastAsia="Times New Roman" w:hAnsi="Times New Roman" w:cs="Times New Roman"/>
                <w:b/>
                <w:bCs/>
                <w:sz w:val="20"/>
                <w:szCs w:val="20"/>
                <w:lang w:val="en-US" w:eastAsia="nl-BE"/>
              </w:rPr>
              <w:t> </w:t>
            </w:r>
          </w:p>
        </w:tc>
        <w:tc>
          <w:tcPr>
            <w:tcW w:w="723" w:type="pct"/>
            <w:tcBorders>
              <w:top w:val="single" w:sz="8" w:space="0" w:color="auto"/>
              <w:left w:val="nil"/>
              <w:bottom w:val="single" w:sz="8" w:space="0" w:color="auto"/>
              <w:right w:val="single" w:sz="8" w:space="0" w:color="auto"/>
            </w:tcBorders>
            <w:shd w:val="clear" w:color="000000" w:fill="E6E6E6"/>
            <w:vAlign w:val="center"/>
            <w:hideMark/>
          </w:tcPr>
          <w:p w:rsidR="007545D9" w:rsidRPr="00001030" w:rsidRDefault="007545D9" w:rsidP="007545D9">
            <w:pPr>
              <w:jc w:val="center"/>
              <w:rPr>
                <w:rFonts w:ascii="Times New Roman" w:eastAsia="Times New Roman" w:hAnsi="Times New Roman" w:cs="Times New Roman"/>
                <w:b/>
                <w:bCs/>
                <w:sz w:val="20"/>
                <w:szCs w:val="20"/>
                <w:lang w:eastAsia="nl-BE"/>
              </w:rPr>
            </w:pPr>
            <w:r w:rsidRPr="00001030">
              <w:rPr>
                <w:rFonts w:ascii="Times New Roman" w:eastAsia="Times New Roman" w:hAnsi="Times New Roman" w:cs="Times New Roman"/>
                <w:b/>
                <w:bCs/>
                <w:sz w:val="20"/>
                <w:szCs w:val="20"/>
                <w:lang w:val="en-US" w:eastAsia="nl-BE"/>
              </w:rPr>
              <w:t>No chlorhexidine oral care</w:t>
            </w:r>
          </w:p>
        </w:tc>
        <w:tc>
          <w:tcPr>
            <w:tcW w:w="723" w:type="pct"/>
            <w:tcBorders>
              <w:top w:val="single" w:sz="8" w:space="0" w:color="auto"/>
              <w:left w:val="nil"/>
              <w:bottom w:val="single" w:sz="8" w:space="0" w:color="auto"/>
              <w:right w:val="single" w:sz="8" w:space="0" w:color="auto"/>
            </w:tcBorders>
            <w:shd w:val="clear" w:color="000000" w:fill="E6E6E6"/>
            <w:vAlign w:val="center"/>
            <w:hideMark/>
          </w:tcPr>
          <w:p w:rsidR="007545D9" w:rsidRPr="00001030" w:rsidRDefault="007545D9" w:rsidP="007545D9">
            <w:pPr>
              <w:jc w:val="center"/>
              <w:rPr>
                <w:rFonts w:ascii="Times New Roman" w:eastAsia="Times New Roman" w:hAnsi="Times New Roman" w:cs="Times New Roman"/>
                <w:b/>
                <w:bCs/>
                <w:sz w:val="20"/>
                <w:szCs w:val="20"/>
                <w:lang w:eastAsia="nl-BE"/>
              </w:rPr>
            </w:pPr>
            <w:r w:rsidRPr="00001030">
              <w:rPr>
                <w:rFonts w:ascii="Times New Roman" w:eastAsia="Times New Roman" w:hAnsi="Times New Roman" w:cs="Times New Roman"/>
                <w:b/>
                <w:bCs/>
                <w:sz w:val="20"/>
                <w:szCs w:val="20"/>
                <w:lang w:val="en-US" w:eastAsia="nl-BE"/>
              </w:rPr>
              <w:t>Low chlorhexidine oral care</w:t>
            </w:r>
          </w:p>
        </w:tc>
        <w:tc>
          <w:tcPr>
            <w:tcW w:w="723" w:type="pct"/>
            <w:tcBorders>
              <w:top w:val="single" w:sz="8" w:space="0" w:color="auto"/>
              <w:left w:val="nil"/>
              <w:bottom w:val="single" w:sz="8" w:space="0" w:color="auto"/>
              <w:right w:val="single" w:sz="8" w:space="0" w:color="auto"/>
            </w:tcBorders>
            <w:shd w:val="clear" w:color="000000" w:fill="E6E6E6"/>
            <w:vAlign w:val="center"/>
            <w:hideMark/>
          </w:tcPr>
          <w:p w:rsidR="007545D9" w:rsidRPr="00001030" w:rsidRDefault="007545D9" w:rsidP="007545D9">
            <w:pPr>
              <w:jc w:val="center"/>
              <w:rPr>
                <w:rFonts w:ascii="Times New Roman" w:eastAsia="Times New Roman" w:hAnsi="Times New Roman" w:cs="Times New Roman"/>
                <w:b/>
                <w:bCs/>
                <w:sz w:val="20"/>
                <w:szCs w:val="20"/>
                <w:lang w:eastAsia="nl-BE"/>
              </w:rPr>
            </w:pPr>
            <w:r w:rsidRPr="00001030">
              <w:rPr>
                <w:rFonts w:ascii="Times New Roman" w:eastAsia="Times New Roman" w:hAnsi="Times New Roman" w:cs="Times New Roman"/>
                <w:b/>
                <w:bCs/>
                <w:sz w:val="20"/>
                <w:szCs w:val="20"/>
                <w:lang w:val="en-US" w:eastAsia="nl-BE"/>
              </w:rPr>
              <w:t>High chlorhexidine oral care</w:t>
            </w:r>
          </w:p>
        </w:tc>
      </w:tr>
      <w:tr w:rsidR="00001030" w:rsidRPr="00001030" w:rsidTr="00F26C04">
        <w:trPr>
          <w:trHeight w:val="540"/>
        </w:trPr>
        <w:tc>
          <w:tcPr>
            <w:tcW w:w="2831"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7545D9" w:rsidRPr="00001030" w:rsidRDefault="007545D9" w:rsidP="007545D9">
            <w:pPr>
              <w:rPr>
                <w:rFonts w:ascii="Times New Roman" w:eastAsia="Times New Roman" w:hAnsi="Times New Roman" w:cs="Times New Roman"/>
                <w:b/>
                <w:bCs/>
                <w:sz w:val="20"/>
                <w:szCs w:val="20"/>
                <w:lang w:val="en-US" w:eastAsia="nl-BE"/>
              </w:rPr>
            </w:pPr>
            <w:r w:rsidRPr="00001030">
              <w:rPr>
                <w:rFonts w:ascii="Times New Roman" w:eastAsia="Times New Roman" w:hAnsi="Times New Roman" w:cs="Times New Roman"/>
                <w:b/>
                <w:bCs/>
                <w:sz w:val="20"/>
                <w:szCs w:val="20"/>
                <w:lang w:val="en-US" w:eastAsia="nl-BE"/>
              </w:rPr>
              <w:t>Major cardiothoracic &amp; vascular surgery patients*</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r>
      <w:tr w:rsidR="00001030" w:rsidRPr="00001030" w:rsidTr="00F26C04">
        <w:trPr>
          <w:trHeight w:val="540"/>
        </w:trPr>
        <w:tc>
          <w:tcPr>
            <w:tcW w:w="2831"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Risk of mortality category</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r>
      <w:tr w:rsidR="00001030" w:rsidRPr="00001030" w:rsidTr="00F26C04">
        <w:trPr>
          <w:trHeight w:val="530"/>
        </w:trPr>
        <w:tc>
          <w:tcPr>
            <w:tcW w:w="464" w:type="pct"/>
            <w:tcBorders>
              <w:top w:val="nil"/>
              <w:left w:val="single" w:sz="8" w:space="0" w:color="auto"/>
              <w:bottom w:val="single" w:sz="8" w:space="0" w:color="auto"/>
              <w:right w:val="single" w:sz="8" w:space="0" w:color="auto"/>
            </w:tcBorders>
            <w:shd w:val="clear" w:color="auto" w:fill="auto"/>
            <w:vAlign w:val="center"/>
            <w:hideMark/>
          </w:tcPr>
          <w:p w:rsidR="00F26C04" w:rsidRPr="00001030" w:rsidRDefault="00F26C04" w:rsidP="00F26C04">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2367"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1-2, minor &amp; moderate (n=748, non-survivors=0)</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lang w:eastAsia="nl-BE"/>
              </w:rPr>
            </w:pPr>
            <w:r w:rsidRPr="00001030">
              <w:rPr>
                <w:rFonts w:ascii="Times New Roman" w:hAnsi="Times New Roman" w:cs="Times New Roman"/>
                <w:sz w:val="20"/>
                <w:szCs w:val="20"/>
              </w:rPr>
              <w:t>0.00%</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0.00%</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0.00%</w:t>
            </w:r>
          </w:p>
        </w:tc>
      </w:tr>
      <w:tr w:rsidR="00001030" w:rsidRPr="00001030" w:rsidTr="00F26C04">
        <w:trPr>
          <w:trHeight w:val="530"/>
        </w:trPr>
        <w:tc>
          <w:tcPr>
            <w:tcW w:w="464" w:type="pct"/>
            <w:tcBorders>
              <w:top w:val="nil"/>
              <w:left w:val="single" w:sz="8" w:space="0" w:color="auto"/>
              <w:bottom w:val="single" w:sz="8" w:space="0" w:color="auto"/>
              <w:right w:val="single" w:sz="8" w:space="0" w:color="auto"/>
            </w:tcBorders>
            <w:shd w:val="clear" w:color="auto" w:fill="auto"/>
            <w:vAlign w:val="center"/>
            <w:hideMark/>
          </w:tcPr>
          <w:p w:rsidR="00F26C04" w:rsidRPr="00001030" w:rsidRDefault="00F26C04" w:rsidP="00F26C04">
            <w:pP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c>
          <w:tcPr>
            <w:tcW w:w="2367"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3, major (n=241, non-survivors=6)</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3.70%</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0.00%</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6.33%</w:t>
            </w:r>
          </w:p>
        </w:tc>
      </w:tr>
      <w:tr w:rsidR="00001030" w:rsidRPr="00001030" w:rsidTr="00F26C04">
        <w:trPr>
          <w:trHeight w:val="530"/>
        </w:trPr>
        <w:tc>
          <w:tcPr>
            <w:tcW w:w="464" w:type="pct"/>
            <w:tcBorders>
              <w:top w:val="nil"/>
              <w:left w:val="single" w:sz="8" w:space="0" w:color="auto"/>
              <w:bottom w:val="single" w:sz="8" w:space="0" w:color="auto"/>
              <w:right w:val="single" w:sz="8" w:space="0" w:color="auto"/>
            </w:tcBorders>
            <w:shd w:val="clear" w:color="auto" w:fill="auto"/>
            <w:vAlign w:val="center"/>
            <w:hideMark/>
          </w:tcPr>
          <w:p w:rsidR="00F26C04" w:rsidRPr="00001030" w:rsidRDefault="00F26C04" w:rsidP="00F26C04">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2367"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4, extreme (n=117, non-survivors=36)</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30.00%</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31.82%</w:t>
            </w:r>
          </w:p>
        </w:tc>
        <w:tc>
          <w:tcPr>
            <w:tcW w:w="723" w:type="pct"/>
            <w:tcBorders>
              <w:top w:val="nil"/>
              <w:left w:val="nil"/>
              <w:bottom w:val="single" w:sz="8" w:space="0" w:color="auto"/>
              <w:right w:val="single" w:sz="8" w:space="0" w:color="auto"/>
            </w:tcBorders>
            <w:shd w:val="clear" w:color="auto" w:fill="auto"/>
            <w:vAlign w:val="center"/>
            <w:hideMark/>
          </w:tcPr>
          <w:p w:rsidR="00F26C04" w:rsidRPr="00001030" w:rsidRDefault="00F26C04" w:rsidP="00F26C04">
            <w:pPr>
              <w:jc w:val="center"/>
              <w:rPr>
                <w:rFonts w:ascii="Times New Roman" w:hAnsi="Times New Roman" w:cs="Times New Roman"/>
                <w:sz w:val="20"/>
                <w:szCs w:val="20"/>
              </w:rPr>
            </w:pPr>
            <w:r w:rsidRPr="00001030">
              <w:rPr>
                <w:rFonts w:ascii="Times New Roman" w:hAnsi="Times New Roman" w:cs="Times New Roman"/>
                <w:sz w:val="20"/>
                <w:szCs w:val="20"/>
              </w:rPr>
              <w:t>30.16%</w:t>
            </w:r>
          </w:p>
        </w:tc>
      </w:tr>
      <w:tr w:rsidR="00001030" w:rsidRPr="00001030" w:rsidTr="00F26C04">
        <w:trPr>
          <w:trHeight w:val="540"/>
        </w:trPr>
        <w:tc>
          <w:tcPr>
            <w:tcW w:w="2831"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7545D9" w:rsidRPr="00001030" w:rsidRDefault="007545D9" w:rsidP="007545D9">
            <w:pPr>
              <w:rPr>
                <w:rFonts w:ascii="Times New Roman" w:eastAsia="Times New Roman" w:hAnsi="Times New Roman" w:cs="Times New Roman"/>
                <w:b/>
                <w:bCs/>
                <w:sz w:val="20"/>
                <w:szCs w:val="20"/>
                <w:lang w:val="en-US" w:eastAsia="nl-BE"/>
              </w:rPr>
            </w:pPr>
            <w:r w:rsidRPr="00001030">
              <w:rPr>
                <w:rFonts w:ascii="Times New Roman" w:eastAsia="Times New Roman" w:hAnsi="Times New Roman" w:cs="Times New Roman"/>
                <w:b/>
                <w:bCs/>
                <w:sz w:val="20"/>
                <w:szCs w:val="20"/>
                <w:lang w:val="en-US" w:eastAsia="nl-BE"/>
              </w:rPr>
              <w:t>All cardiothoracic &amp; vascular surgery patients included in MDC-05**</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 </w:t>
            </w:r>
          </w:p>
        </w:tc>
      </w:tr>
      <w:tr w:rsidR="00001030" w:rsidRPr="00001030" w:rsidTr="00F26C04">
        <w:trPr>
          <w:trHeight w:val="540"/>
        </w:trPr>
        <w:tc>
          <w:tcPr>
            <w:tcW w:w="2831"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Risk of mortality category</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 </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 </w:t>
            </w:r>
          </w:p>
        </w:tc>
      </w:tr>
      <w:tr w:rsidR="00001030" w:rsidRPr="00001030" w:rsidTr="00F26C04">
        <w:trPr>
          <w:trHeight w:val="363"/>
        </w:trPr>
        <w:tc>
          <w:tcPr>
            <w:tcW w:w="464" w:type="pct"/>
            <w:tcBorders>
              <w:top w:val="nil"/>
              <w:left w:val="single" w:sz="8" w:space="0" w:color="auto"/>
              <w:bottom w:val="single" w:sz="8" w:space="0" w:color="auto"/>
              <w:right w:val="single" w:sz="8" w:space="0" w:color="auto"/>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2367"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val="en-US" w:eastAsia="nl-BE"/>
              </w:rPr>
            </w:pPr>
            <w:r w:rsidRPr="00001030">
              <w:rPr>
                <w:rFonts w:ascii="Times New Roman" w:eastAsia="Times New Roman" w:hAnsi="Times New Roman" w:cs="Times New Roman"/>
                <w:sz w:val="20"/>
                <w:szCs w:val="20"/>
                <w:lang w:val="en-US" w:eastAsia="nl-BE"/>
              </w:rPr>
              <w:t>1-2, minor &amp; moderate (n=5154, non-survivors=5)</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0.07%</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0.23%</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0.00%</w:t>
            </w:r>
          </w:p>
        </w:tc>
      </w:tr>
      <w:tr w:rsidR="00001030" w:rsidRPr="00001030" w:rsidTr="00F26C04">
        <w:trPr>
          <w:trHeight w:val="363"/>
        </w:trPr>
        <w:tc>
          <w:tcPr>
            <w:tcW w:w="464" w:type="pct"/>
            <w:tcBorders>
              <w:top w:val="nil"/>
              <w:left w:val="single" w:sz="8" w:space="0" w:color="auto"/>
              <w:bottom w:val="single" w:sz="8" w:space="0" w:color="auto"/>
              <w:right w:val="single" w:sz="8" w:space="0" w:color="auto"/>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2367"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3, major (n=770, non-survivors=30)</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3.34%</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2.70%</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7.59%</w:t>
            </w:r>
          </w:p>
        </w:tc>
      </w:tr>
      <w:tr w:rsidR="00001030" w:rsidRPr="00001030" w:rsidTr="00F26C04">
        <w:trPr>
          <w:trHeight w:val="363"/>
        </w:trPr>
        <w:tc>
          <w:tcPr>
            <w:tcW w:w="464" w:type="pct"/>
            <w:tcBorders>
              <w:top w:val="nil"/>
              <w:left w:val="single" w:sz="8" w:space="0" w:color="auto"/>
              <w:bottom w:val="single" w:sz="8" w:space="0" w:color="auto"/>
              <w:right w:val="single" w:sz="8" w:space="0" w:color="auto"/>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 </w:t>
            </w:r>
          </w:p>
        </w:tc>
        <w:tc>
          <w:tcPr>
            <w:tcW w:w="2367"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val="en-US" w:eastAsia="nl-BE"/>
              </w:rPr>
              <w:t>4, extreme (n=410, non-survivors=122)</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29.55%</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26.88%</w:t>
            </w:r>
          </w:p>
        </w:tc>
        <w:tc>
          <w:tcPr>
            <w:tcW w:w="723" w:type="pct"/>
            <w:tcBorders>
              <w:top w:val="nil"/>
              <w:left w:val="nil"/>
              <w:bottom w:val="single" w:sz="8" w:space="0" w:color="auto"/>
              <w:right w:val="single" w:sz="8" w:space="0" w:color="auto"/>
            </w:tcBorders>
            <w:shd w:val="clear" w:color="auto" w:fill="auto"/>
            <w:vAlign w:val="center"/>
            <w:hideMark/>
          </w:tcPr>
          <w:p w:rsidR="007545D9" w:rsidRPr="00001030" w:rsidRDefault="007545D9" w:rsidP="007545D9">
            <w:pPr>
              <w:jc w:val="center"/>
              <w:rPr>
                <w:rFonts w:ascii="Times New Roman" w:eastAsia="Times New Roman" w:hAnsi="Times New Roman" w:cs="Times New Roman"/>
                <w:sz w:val="20"/>
                <w:szCs w:val="20"/>
                <w:lang w:eastAsia="nl-BE"/>
              </w:rPr>
            </w:pPr>
            <w:r w:rsidRPr="00001030">
              <w:rPr>
                <w:rFonts w:ascii="Times New Roman" w:eastAsia="Times New Roman" w:hAnsi="Times New Roman" w:cs="Times New Roman"/>
                <w:sz w:val="20"/>
                <w:szCs w:val="20"/>
                <w:lang w:eastAsia="nl-BE"/>
              </w:rPr>
              <w:t>32.72%</w:t>
            </w:r>
          </w:p>
        </w:tc>
      </w:tr>
    </w:tbl>
    <w:p w:rsidR="007545D9" w:rsidRDefault="007545D9" w:rsidP="007D7622">
      <w:pPr>
        <w:spacing w:line="360" w:lineRule="auto"/>
        <w:rPr>
          <w:rFonts w:ascii="Times New Roman" w:hAnsi="Times New Roman" w:cs="Times New Roman"/>
          <w:sz w:val="20"/>
          <w:szCs w:val="20"/>
          <w:lang w:val="en-US"/>
        </w:rPr>
      </w:pPr>
    </w:p>
    <w:p w:rsidR="007D7622" w:rsidRPr="00C910C6" w:rsidRDefault="007D7622" w:rsidP="007D7622">
      <w:pPr>
        <w:spacing w:line="360" w:lineRule="auto"/>
        <w:rPr>
          <w:rFonts w:ascii="Times New Roman" w:hAnsi="Times New Roman" w:cs="Times New Roman"/>
          <w:sz w:val="20"/>
          <w:szCs w:val="20"/>
          <w:lang w:val="en-US"/>
        </w:rPr>
      </w:pPr>
      <w:r w:rsidRPr="00C910C6">
        <w:rPr>
          <w:rFonts w:ascii="Times New Roman" w:hAnsi="Times New Roman" w:cs="Times New Roman"/>
          <w:sz w:val="20"/>
          <w:szCs w:val="20"/>
          <w:lang w:val="en-US"/>
        </w:rPr>
        <w:t>Legend:</w:t>
      </w:r>
    </w:p>
    <w:p w:rsidR="007D7622" w:rsidRPr="00C910C6" w:rsidRDefault="007D7622" w:rsidP="007D7622">
      <w:pPr>
        <w:spacing w:line="360" w:lineRule="auto"/>
        <w:rPr>
          <w:rFonts w:ascii="Times New Roman" w:hAnsi="Times New Roman" w:cs="Times New Roman"/>
          <w:sz w:val="20"/>
          <w:szCs w:val="20"/>
          <w:lang w:val="en-US"/>
        </w:rPr>
      </w:pPr>
      <w:r w:rsidRPr="00C910C6">
        <w:rPr>
          <w:rFonts w:ascii="Times New Roman" w:hAnsi="Times New Roman" w:cs="Times New Roman"/>
          <w:sz w:val="20"/>
          <w:szCs w:val="20"/>
          <w:lang w:val="en-US"/>
        </w:rPr>
        <w:t>*Patients included in the All Patient Refined-Diagnostic Related Groups (APR-DRG) 160 (major cardiothoracic repair of heart anomaly), APR-DRG 165 (coronary bypass with cardiac catheterization or percutaneous cardiac procedure), APR-DRG 166 (coronary bypass without cardiac catheterization or percutaneous cardiac procedure, and APR-DRG 169 (major thoracic and abdominal vascular procedures)</w:t>
      </w:r>
    </w:p>
    <w:p w:rsidR="009E142B" w:rsidRDefault="007D7622" w:rsidP="007E0CA4">
      <w:pPr>
        <w:spacing w:line="360" w:lineRule="auto"/>
        <w:rPr>
          <w:rFonts w:ascii="Times New Roman" w:hAnsi="Times New Roman" w:cs="Times New Roman"/>
          <w:sz w:val="20"/>
          <w:szCs w:val="20"/>
          <w:lang w:val="en-US"/>
        </w:rPr>
      </w:pPr>
      <w:r w:rsidRPr="00C910C6">
        <w:rPr>
          <w:rFonts w:ascii="Times New Roman" w:hAnsi="Times New Roman" w:cs="Times New Roman"/>
          <w:sz w:val="20"/>
          <w:szCs w:val="20"/>
          <w:lang w:val="en-US"/>
        </w:rPr>
        <w:t>**Major Diagnostic Category-05: Diseases &amp; disorders of the circulatory system</w:t>
      </w:r>
    </w:p>
    <w:p w:rsidR="007E0CA4" w:rsidRPr="007E0CA4" w:rsidRDefault="007E0CA4" w:rsidP="007E0CA4">
      <w:pPr>
        <w:spacing w:line="360" w:lineRule="auto"/>
        <w:rPr>
          <w:rFonts w:ascii="Times New Roman" w:hAnsi="Times New Roman" w:cs="Times New Roman"/>
          <w:sz w:val="20"/>
          <w:szCs w:val="20"/>
          <w:lang w:val="en-US"/>
        </w:rPr>
      </w:pPr>
    </w:p>
    <w:p w:rsidR="003D62F5" w:rsidRDefault="003D62F5">
      <w:pPr>
        <w:rPr>
          <w:rFonts w:ascii="Times New Roman" w:hAnsi="Times New Roman" w:cs="Times New Roman"/>
          <w:b/>
          <w:lang w:val="en-US"/>
        </w:rPr>
      </w:pPr>
      <w:r>
        <w:rPr>
          <w:rFonts w:ascii="Times New Roman" w:hAnsi="Times New Roman" w:cs="Times New Roman"/>
          <w:b/>
          <w:lang w:val="en-US"/>
        </w:rPr>
        <w:br w:type="page"/>
      </w:r>
    </w:p>
    <w:p w:rsidR="008F231A" w:rsidRDefault="003D62F5" w:rsidP="008F231A">
      <w:pPr>
        <w:rPr>
          <w:rFonts w:ascii="Times New Roman" w:hAnsi="Times New Roman" w:cs="Times New Roman"/>
          <w:b/>
          <w:lang w:val="en-US"/>
        </w:rPr>
      </w:pPr>
      <w:r>
        <w:rPr>
          <w:rFonts w:ascii="Times New Roman" w:hAnsi="Times New Roman" w:cs="Times New Roman"/>
          <w:b/>
          <w:lang w:val="en-US"/>
        </w:rPr>
        <w:lastRenderedPageBreak/>
        <w:t xml:space="preserve">Appendix 5 – Results sub analyses by </w:t>
      </w:r>
      <w:r w:rsidRPr="003D62F5">
        <w:rPr>
          <w:rFonts w:ascii="Times New Roman" w:hAnsi="Times New Roman" w:cs="Times New Roman"/>
          <w:b/>
          <w:lang w:val="en-US"/>
        </w:rPr>
        <w:t>Major Diagnostic Category</w:t>
      </w:r>
    </w:p>
    <w:p w:rsidR="003D62F5" w:rsidRDefault="003D62F5" w:rsidP="008F231A">
      <w:pPr>
        <w:rPr>
          <w:rFonts w:ascii="Times New Roman" w:hAnsi="Times New Roman" w:cs="Times New Roman"/>
          <w:b/>
          <w:lang w:val="en-US"/>
        </w:rPr>
      </w:pPr>
    </w:p>
    <w:p w:rsidR="003D62F5" w:rsidRDefault="003D62F5" w:rsidP="008F231A">
      <w:pPr>
        <w:rPr>
          <w:rFonts w:ascii="Times New Roman" w:hAnsi="Times New Roman" w:cs="Times New Roman"/>
          <w:sz w:val="20"/>
          <w:lang w:val="en-US"/>
        </w:rPr>
      </w:pPr>
      <w:r w:rsidRPr="003D62F5">
        <w:rPr>
          <w:rFonts w:ascii="Times New Roman" w:hAnsi="Times New Roman" w:cs="Times New Roman"/>
          <w:sz w:val="20"/>
          <w:lang w:val="en-US"/>
        </w:rPr>
        <w:t>In order</w:t>
      </w:r>
      <w:r>
        <w:rPr>
          <w:rFonts w:ascii="Times New Roman" w:hAnsi="Times New Roman" w:cs="Times New Roman"/>
          <w:sz w:val="20"/>
          <w:lang w:val="en-US"/>
        </w:rPr>
        <w:t xml:space="preserve"> to see the association between </w:t>
      </w:r>
      <w:r w:rsidRPr="003D62F5">
        <w:rPr>
          <w:rFonts w:ascii="Times New Roman" w:hAnsi="Times New Roman" w:cs="Times New Roman"/>
          <w:sz w:val="20"/>
          <w:lang w:val="en-US"/>
        </w:rPr>
        <w:t>chlorhexidine oral care</w:t>
      </w:r>
      <w:r>
        <w:rPr>
          <w:rFonts w:ascii="Times New Roman" w:hAnsi="Times New Roman" w:cs="Times New Roman"/>
          <w:sz w:val="20"/>
          <w:lang w:val="en-US"/>
        </w:rPr>
        <w:t xml:space="preserve"> and mortality for each </w:t>
      </w:r>
      <w:r w:rsidRPr="003D62F5">
        <w:rPr>
          <w:rFonts w:ascii="Times New Roman" w:hAnsi="Times New Roman" w:cs="Times New Roman"/>
          <w:sz w:val="20"/>
          <w:lang w:val="en-US"/>
        </w:rPr>
        <w:t>Major Diagnostic Category</w:t>
      </w:r>
      <w:r>
        <w:rPr>
          <w:rFonts w:ascii="Times New Roman" w:hAnsi="Times New Roman" w:cs="Times New Roman"/>
          <w:sz w:val="20"/>
          <w:lang w:val="en-US"/>
        </w:rPr>
        <w:t xml:space="preserve"> (MDC) we performed for all of </w:t>
      </w:r>
      <w:r w:rsidRPr="003D62F5">
        <w:rPr>
          <w:rFonts w:ascii="Times New Roman" w:hAnsi="Times New Roman" w:cs="Times New Roman"/>
          <w:sz w:val="20"/>
          <w:szCs w:val="20"/>
          <w:lang w:val="en-US"/>
        </w:rPr>
        <w:t xml:space="preserve">them a </w:t>
      </w:r>
      <w:proofErr w:type="spellStart"/>
      <w:r w:rsidRPr="003D62F5">
        <w:rPr>
          <w:rFonts w:ascii="Times New Roman" w:hAnsi="Times New Roman" w:cs="Times New Roman"/>
          <w:sz w:val="20"/>
          <w:szCs w:val="20"/>
          <w:lang w:val="en-US"/>
        </w:rPr>
        <w:t>subanalysis</w:t>
      </w:r>
      <w:proofErr w:type="spellEnd"/>
      <w:r w:rsidRPr="003D62F5">
        <w:rPr>
          <w:rFonts w:ascii="Times New Roman" w:hAnsi="Times New Roman" w:cs="Times New Roman"/>
          <w:sz w:val="20"/>
          <w:szCs w:val="20"/>
          <w:lang w:val="en-US"/>
        </w:rPr>
        <w:t xml:space="preserve"> with risk of mortality, age and sex as predictors. We have to be </w:t>
      </w:r>
      <w:proofErr w:type="spellStart"/>
      <w:r w:rsidRPr="003D62F5">
        <w:rPr>
          <w:rFonts w:ascii="Times New Roman" w:hAnsi="Times New Roman" w:cs="Times New Roman"/>
          <w:sz w:val="20"/>
          <w:szCs w:val="20"/>
          <w:lang w:val="en-US"/>
        </w:rPr>
        <w:t>carefull</w:t>
      </w:r>
      <w:proofErr w:type="spellEnd"/>
      <w:r w:rsidRPr="003D62F5">
        <w:rPr>
          <w:rFonts w:ascii="Times New Roman" w:hAnsi="Times New Roman" w:cs="Times New Roman"/>
          <w:sz w:val="20"/>
          <w:szCs w:val="20"/>
          <w:lang w:val="en-US"/>
        </w:rPr>
        <w:t xml:space="preserve"> interpreting all these results as the number of non-survivors is rather small in some MDC (e.g. MDC 24 had no non-survivors receiving in the cat</w:t>
      </w:r>
      <w:r>
        <w:rPr>
          <w:rFonts w:ascii="Times New Roman" w:hAnsi="Times New Roman" w:cs="Times New Roman"/>
          <w:sz w:val="20"/>
          <w:szCs w:val="20"/>
          <w:lang w:val="en-US"/>
        </w:rPr>
        <w:t>e</w:t>
      </w:r>
      <w:r w:rsidRPr="003D62F5">
        <w:rPr>
          <w:rFonts w:ascii="Times New Roman" w:hAnsi="Times New Roman" w:cs="Times New Roman"/>
          <w:sz w:val="20"/>
          <w:szCs w:val="20"/>
          <w:lang w:val="en-US"/>
        </w:rPr>
        <w:t xml:space="preserve">gory high </w:t>
      </w:r>
      <w:r w:rsidRPr="00D63B22">
        <w:rPr>
          <w:rFonts w:ascii="Times New Roman" w:eastAsia="Times New Roman" w:hAnsi="Times New Roman" w:cs="Times New Roman"/>
          <w:bCs/>
          <w:sz w:val="20"/>
          <w:szCs w:val="20"/>
          <w:lang w:val="en-US"/>
        </w:rPr>
        <w:t>chlorhexidine oral care</w:t>
      </w:r>
      <w:r w:rsidRPr="003D62F5">
        <w:rPr>
          <w:rFonts w:ascii="Times New Roman" w:eastAsia="Times New Roman" w:hAnsi="Times New Roman" w:cs="Times New Roman"/>
          <w:bCs/>
          <w:sz w:val="20"/>
          <w:szCs w:val="20"/>
          <w:lang w:val="en-US"/>
        </w:rPr>
        <w:t>)</w:t>
      </w:r>
      <w:r>
        <w:rPr>
          <w:rFonts w:ascii="Times New Roman" w:eastAsia="Times New Roman" w:hAnsi="Times New Roman" w:cs="Times New Roman"/>
          <w:bCs/>
          <w:sz w:val="20"/>
          <w:szCs w:val="20"/>
          <w:lang w:val="en-US"/>
        </w:rPr>
        <w:t>.</w:t>
      </w:r>
    </w:p>
    <w:p w:rsidR="003D62F5" w:rsidRDefault="003D62F5" w:rsidP="008F231A">
      <w:pPr>
        <w:rPr>
          <w:rFonts w:ascii="Times New Roman" w:hAnsi="Times New Roman" w:cs="Times New Roman"/>
          <w:sz w:val="20"/>
          <w:lang w:val="en-US"/>
        </w:rPr>
      </w:pPr>
    </w:p>
    <w:p w:rsidR="003D62F5" w:rsidRDefault="003D62F5" w:rsidP="003D62F5">
      <w:pPr>
        <w:rPr>
          <w:rFonts w:eastAsia="Times New Roman"/>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tblPr>
      <w:tblGrid>
        <w:gridCol w:w="979"/>
        <w:gridCol w:w="2769"/>
        <w:gridCol w:w="858"/>
        <w:gridCol w:w="578"/>
        <w:gridCol w:w="1443"/>
        <w:gridCol w:w="576"/>
        <w:gridCol w:w="1441"/>
        <w:gridCol w:w="560"/>
      </w:tblGrid>
      <w:tr w:rsidR="003D62F5" w:rsidRPr="003D62F5" w:rsidTr="003D62F5">
        <w:trPr>
          <w:trHeight w:val="1035"/>
        </w:trPr>
        <w:tc>
          <w:tcPr>
            <w:tcW w:w="2036" w:type="pct"/>
            <w:gridSpan w:val="2"/>
            <w:shd w:val="clear" w:color="000000" w:fill="E6E6E6"/>
            <w:noWrap/>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rPr>
              <w:t>MDC</w:t>
            </w:r>
          </w:p>
        </w:tc>
        <w:tc>
          <w:tcPr>
            <w:tcW w:w="780" w:type="pct"/>
            <w:gridSpan w:val="2"/>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lang w:val="en-US"/>
              </w:rPr>
              <w:t>No chlorhexidine oral care</w:t>
            </w:r>
          </w:p>
        </w:tc>
        <w:tc>
          <w:tcPr>
            <w:tcW w:w="1097" w:type="pct"/>
            <w:gridSpan w:val="2"/>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lang w:val="en-US"/>
              </w:rPr>
              <w:t>Low chlorhexidine oral care</w:t>
            </w:r>
          </w:p>
        </w:tc>
        <w:tc>
          <w:tcPr>
            <w:tcW w:w="1087" w:type="pct"/>
            <w:gridSpan w:val="2"/>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lang w:val="en-US"/>
              </w:rPr>
              <w:t>High chlorhexidine oral care</w:t>
            </w:r>
          </w:p>
        </w:tc>
      </w:tr>
      <w:tr w:rsidR="003D62F5" w:rsidRPr="003D62F5" w:rsidTr="003D62F5">
        <w:trPr>
          <w:trHeight w:val="315"/>
        </w:trPr>
        <w:tc>
          <w:tcPr>
            <w:tcW w:w="532" w:type="pct"/>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rPr>
              <w:t> </w:t>
            </w:r>
          </w:p>
        </w:tc>
        <w:tc>
          <w:tcPr>
            <w:tcW w:w="1504" w:type="pct"/>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rPr>
              <w:t> </w:t>
            </w:r>
          </w:p>
        </w:tc>
        <w:tc>
          <w:tcPr>
            <w:tcW w:w="466" w:type="pct"/>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rPr>
              <w:t>OR (95% CI)</w:t>
            </w:r>
          </w:p>
        </w:tc>
        <w:tc>
          <w:tcPr>
            <w:tcW w:w="314" w:type="pct"/>
            <w:shd w:val="clear" w:color="000000" w:fill="E6E6E6"/>
            <w:noWrap/>
            <w:vAlign w:val="center"/>
            <w:hideMark/>
          </w:tcPr>
          <w:p w:rsidR="003D62F5" w:rsidRPr="00D63B22" w:rsidRDefault="003D62F5" w:rsidP="00724695">
            <w:pPr>
              <w:jc w:val="center"/>
              <w:rPr>
                <w:rFonts w:ascii="Times New Roman" w:eastAsia="Times New Roman" w:hAnsi="Times New Roman" w:cs="Times New Roman"/>
                <w:b/>
                <w:bCs/>
                <w:i/>
                <w:iCs/>
                <w:sz w:val="16"/>
                <w:szCs w:val="16"/>
              </w:rPr>
            </w:pPr>
            <w:r w:rsidRPr="00D63B22">
              <w:rPr>
                <w:rFonts w:ascii="Times New Roman" w:eastAsia="Times New Roman" w:hAnsi="Times New Roman" w:cs="Times New Roman"/>
                <w:b/>
                <w:bCs/>
                <w:i/>
                <w:iCs/>
                <w:sz w:val="16"/>
                <w:szCs w:val="16"/>
              </w:rPr>
              <w:t>P</w:t>
            </w:r>
            <w:r w:rsidRPr="00D63B22">
              <w:rPr>
                <w:rFonts w:ascii="Times New Roman" w:eastAsia="Times New Roman" w:hAnsi="Times New Roman" w:cs="Times New Roman"/>
                <w:b/>
                <w:bCs/>
                <w:sz w:val="16"/>
                <w:szCs w:val="16"/>
              </w:rPr>
              <w:t xml:space="preserve"> value</w:t>
            </w:r>
          </w:p>
        </w:tc>
        <w:tc>
          <w:tcPr>
            <w:tcW w:w="784" w:type="pct"/>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rPr>
              <w:t>OR (95% CI)</w:t>
            </w:r>
          </w:p>
        </w:tc>
        <w:tc>
          <w:tcPr>
            <w:tcW w:w="313" w:type="pct"/>
            <w:shd w:val="clear" w:color="000000" w:fill="E6E6E6"/>
            <w:noWrap/>
            <w:vAlign w:val="center"/>
            <w:hideMark/>
          </w:tcPr>
          <w:p w:rsidR="003D62F5" w:rsidRPr="00D63B22" w:rsidRDefault="003D62F5" w:rsidP="00724695">
            <w:pPr>
              <w:jc w:val="center"/>
              <w:rPr>
                <w:rFonts w:ascii="Times New Roman" w:eastAsia="Times New Roman" w:hAnsi="Times New Roman" w:cs="Times New Roman"/>
                <w:b/>
                <w:bCs/>
                <w:i/>
                <w:iCs/>
                <w:sz w:val="16"/>
                <w:szCs w:val="16"/>
              </w:rPr>
            </w:pPr>
            <w:r w:rsidRPr="00D63B22">
              <w:rPr>
                <w:rFonts w:ascii="Times New Roman" w:eastAsia="Times New Roman" w:hAnsi="Times New Roman" w:cs="Times New Roman"/>
                <w:b/>
                <w:bCs/>
                <w:i/>
                <w:iCs/>
                <w:sz w:val="16"/>
                <w:szCs w:val="16"/>
              </w:rPr>
              <w:t>P</w:t>
            </w:r>
            <w:r w:rsidRPr="00D63B22">
              <w:rPr>
                <w:rFonts w:ascii="Times New Roman" w:eastAsia="Times New Roman" w:hAnsi="Times New Roman" w:cs="Times New Roman"/>
                <w:b/>
                <w:bCs/>
                <w:sz w:val="16"/>
                <w:szCs w:val="16"/>
              </w:rPr>
              <w:t xml:space="preserve"> value</w:t>
            </w:r>
          </w:p>
        </w:tc>
        <w:tc>
          <w:tcPr>
            <w:tcW w:w="783" w:type="pct"/>
            <w:shd w:val="clear" w:color="000000" w:fill="E6E6E6"/>
            <w:vAlign w:val="center"/>
            <w:hideMark/>
          </w:tcPr>
          <w:p w:rsidR="003D62F5" w:rsidRPr="00D63B22" w:rsidRDefault="003D62F5" w:rsidP="00724695">
            <w:pPr>
              <w:jc w:val="center"/>
              <w:rPr>
                <w:rFonts w:ascii="Times New Roman" w:eastAsia="Times New Roman" w:hAnsi="Times New Roman" w:cs="Times New Roman"/>
                <w:b/>
                <w:bCs/>
                <w:sz w:val="16"/>
                <w:szCs w:val="16"/>
              </w:rPr>
            </w:pPr>
            <w:r w:rsidRPr="00D63B22">
              <w:rPr>
                <w:rFonts w:ascii="Times New Roman" w:eastAsia="Times New Roman" w:hAnsi="Times New Roman" w:cs="Times New Roman"/>
                <w:b/>
                <w:bCs/>
                <w:sz w:val="16"/>
                <w:szCs w:val="16"/>
              </w:rPr>
              <w:t>OR (95% CI)</w:t>
            </w:r>
          </w:p>
        </w:tc>
        <w:tc>
          <w:tcPr>
            <w:tcW w:w="304" w:type="pct"/>
            <w:shd w:val="clear" w:color="000000" w:fill="E6E6E6"/>
            <w:noWrap/>
            <w:vAlign w:val="center"/>
            <w:hideMark/>
          </w:tcPr>
          <w:p w:rsidR="003D62F5" w:rsidRPr="00D63B22" w:rsidRDefault="003D62F5" w:rsidP="00724695">
            <w:pPr>
              <w:jc w:val="center"/>
              <w:rPr>
                <w:rFonts w:ascii="Times New Roman" w:eastAsia="Times New Roman" w:hAnsi="Times New Roman" w:cs="Times New Roman"/>
                <w:b/>
                <w:bCs/>
                <w:i/>
                <w:iCs/>
                <w:sz w:val="16"/>
                <w:szCs w:val="16"/>
              </w:rPr>
            </w:pPr>
            <w:r w:rsidRPr="00D63B22">
              <w:rPr>
                <w:rFonts w:ascii="Times New Roman" w:eastAsia="Times New Roman" w:hAnsi="Times New Roman" w:cs="Times New Roman"/>
                <w:b/>
                <w:bCs/>
                <w:i/>
                <w:iCs/>
                <w:sz w:val="16"/>
                <w:szCs w:val="16"/>
              </w:rPr>
              <w:t>P</w:t>
            </w:r>
            <w:r w:rsidRPr="00D63B22">
              <w:rPr>
                <w:rFonts w:ascii="Times New Roman" w:eastAsia="Times New Roman" w:hAnsi="Times New Roman" w:cs="Times New Roman"/>
                <w:b/>
                <w:bCs/>
                <w:sz w:val="16"/>
                <w:szCs w:val="16"/>
              </w:rPr>
              <w:t xml:space="preserve"> value</w:t>
            </w:r>
          </w:p>
        </w:tc>
      </w:tr>
      <w:tr w:rsidR="00FF55FC" w:rsidRPr="003D62F5" w:rsidTr="00756974">
        <w:trPr>
          <w:trHeight w:val="780"/>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bookmarkStart w:id="0" w:name="_GoBack" w:colFirst="1" w:colLast="1"/>
            <w:r w:rsidRPr="00D63B22">
              <w:rPr>
                <w:rFonts w:ascii="Times New Roman" w:eastAsia="Times New Roman" w:hAnsi="Times New Roman" w:cs="Times New Roman"/>
                <w:sz w:val="16"/>
                <w:szCs w:val="16"/>
              </w:rPr>
              <w:t>MDC00 (n=1547)</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Pre-MDC (</w:t>
            </w:r>
            <w:r w:rsidRPr="00654B4E">
              <w:rPr>
                <w:rFonts w:ascii="Times New Roman" w:hAnsi="Times New Roman" w:cs="Times New Roman"/>
                <w:sz w:val="20"/>
                <w:szCs w:val="20"/>
                <w:lang w:val="en-US"/>
              </w:rPr>
              <w:t>Liver transplant, heart- and/or lung transplant, bone marrow transplant, tracheotomy and rest group)</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2.35 (1.17-4.86)</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0.017</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1.8 (0.93-3.62)</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0.089</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MDC01 (n=7691)</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nervous system</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2.3 (1.69-3.14)</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1.36 (0.88-2.06)</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0.16</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MDC03 (n=6276)</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ear, nose, mouth &amp; throat</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1.28 (0.47-3.12)</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0.6</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2.95 (0.99-7.96)</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0.04</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MDC04 (n=4963)</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respiratory system</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2.04 (1.58-2.63)</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2.68 (1.86-3.83)</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MDC05 (n=11343)</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circulatory system</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1.21 (0.89-1.63)</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0.22</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1.37 (0.97-1.92)</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0.075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MDC06 (n=7600)</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digestive system</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2.53 (1.74-3.66)</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2.22 (1.36-3.57)</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0.001</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MDC07 (n=3582)</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hepato-biliary system &amp; pancreas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2.18 (1.47-3.23)</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1.84 (1.07-3.12)</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0.025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MDC08 (n=10552)</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musculoskeletal system &amp; connective tissue</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5.57 (3.24-9.49)</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3.71 (1.9-7.03)</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MDC09 (n=4193)</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skin, subcutaneous tissue &amp; breast</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8.12 (3.76-17.44)</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5.41 (1.59-16.89)</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0.005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MDC10 (n=2435)</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Endocrine, nutritional &amp; metabolic diseases &amp; disorders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5.27 (2.27-12.42)</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7.64 (2.48-22.8)</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MDC11 (n=4683)</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kidney &amp; urinary tract</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4.53 (2.53-8.18)</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3.79 (1.68-8.27)</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0.001</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MDC12 (n=895)</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male reproductive system</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17.51 (4.28-74.25)</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3D62F5">
              <w:rPr>
                <w:rFonts w:ascii="Times New Roman" w:eastAsia="Times New Roman" w:hAnsi="Times New Roman" w:cs="Times New Roman"/>
                <w:sz w:val="16"/>
                <w:szCs w:val="16"/>
              </w:rPr>
              <w:t>all survivors</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MDC13 (n=1870)</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the female reproductive system</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4.75 (1.15-19.27)</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0.027</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23.22 (2.69-236.18)</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0.005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MDC16 (n=881)</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Diseases &amp; disorders of blood, blood forming organs, immunological disorders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2.75 (0.88-7.94)</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0.068</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1.62 (0.3-6.98)</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0.544</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MDC17 (n=3622)</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eastAsia="nl-BE"/>
              </w:rPr>
            </w:pPr>
            <w:r w:rsidRPr="00654B4E">
              <w:rPr>
                <w:rFonts w:ascii="Times New Roman" w:eastAsia="Times New Roman" w:hAnsi="Times New Roman" w:cs="Times New Roman"/>
                <w:sz w:val="20"/>
                <w:szCs w:val="20"/>
                <w:lang w:val="en-US" w:eastAsia="nl-BE"/>
              </w:rPr>
              <w:t>Myeloproliferative diseases &amp; disorders, poorly differentiated neoplasms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3.17 (2.08-4.8)</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2.92 (1.68-4.99)</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MDC18 (n=1809)</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Infectious &amp; parasitic diseases &amp; disorders, systemic or unspecified sites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1.13 (0.71-1.78)</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0.611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1.19 (0.69-2.02)</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0.525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lastRenderedPageBreak/>
              <w:t>MDC19 (n=2402)</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eastAsia="nl-BE"/>
              </w:rPr>
              <w:t>Mental diseases &amp; disorders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all survivors</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8.51 (0.91-74.61)</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MDC21 (n=1515)</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sidRPr="00654B4E">
              <w:rPr>
                <w:rFonts w:ascii="Times New Roman" w:eastAsia="Times New Roman" w:hAnsi="Times New Roman" w:cs="Times New Roman"/>
                <w:sz w:val="20"/>
                <w:szCs w:val="20"/>
                <w:lang w:val="en-US" w:eastAsia="nl-BE"/>
              </w:rPr>
              <w:t>Injuries, poisonings &amp; toxic effects of drugs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0.67 (0.22-1.9)</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0.452</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0.66 (0.17-2.35)</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0.533</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MDC22 (n=306)</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Pr>
                <w:rFonts w:ascii="Times New Roman" w:eastAsia="Times New Roman" w:hAnsi="Times New Roman" w:cs="Times New Roman"/>
                <w:sz w:val="20"/>
                <w:szCs w:val="20"/>
                <w:lang w:val="en-US" w:eastAsia="nl-BE"/>
              </w:rPr>
              <w:t>Burns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 (0-0.11)</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0.012</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0.04 (0-0.56)</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0.035</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MDC23 (n=3592)</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eastAsia="nl-BE"/>
              </w:rPr>
            </w:pPr>
            <w:r>
              <w:rPr>
                <w:rFonts w:ascii="Times New Roman" w:eastAsia="Times New Roman" w:hAnsi="Times New Roman" w:cs="Times New Roman"/>
                <w:sz w:val="20"/>
                <w:szCs w:val="20"/>
                <w:lang w:eastAsia="nl-BE"/>
              </w:rPr>
              <w:t>Factors influencing health status and other contacts with health services</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6.6 (2.57-16.36)</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4.96 (0.69-22.24)</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0.058</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MDC24 (n=302)</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Pr>
                <w:rFonts w:ascii="Times New Roman" w:eastAsia="Times New Roman" w:hAnsi="Times New Roman" w:cs="Times New Roman"/>
                <w:sz w:val="20"/>
                <w:szCs w:val="20"/>
                <w:lang w:val="en-US" w:eastAsia="nl-BE"/>
              </w:rPr>
              <w:t>Multiple significant trauma</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1.31 (0.06-12.09)</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0.827</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all survivors</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w:t>
            </w:r>
          </w:p>
        </w:tc>
      </w:tr>
      <w:tr w:rsidR="00FF55FC" w:rsidRPr="003D62F5" w:rsidTr="00756974">
        <w:trPr>
          <w:trHeight w:val="525"/>
        </w:trPr>
        <w:tc>
          <w:tcPr>
            <w:tcW w:w="532" w:type="pct"/>
            <w:shd w:val="clear" w:color="auto" w:fill="auto"/>
            <w:vAlign w:val="center"/>
            <w:hideMark/>
          </w:tcPr>
          <w:p w:rsidR="00FF55FC" w:rsidRPr="00D63B22" w:rsidRDefault="00FF55FC" w:rsidP="00724695">
            <w:pP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MDC25 (n=215)</w:t>
            </w:r>
          </w:p>
        </w:tc>
        <w:tc>
          <w:tcPr>
            <w:tcW w:w="1504" w:type="pct"/>
            <w:shd w:val="clear" w:color="auto" w:fill="auto"/>
            <w:hideMark/>
          </w:tcPr>
          <w:p w:rsidR="00FF55FC" w:rsidRPr="00654B4E" w:rsidRDefault="00FF55FC" w:rsidP="004F1991">
            <w:pPr>
              <w:rPr>
                <w:rFonts w:ascii="Times New Roman" w:eastAsia="Times New Roman" w:hAnsi="Times New Roman" w:cs="Times New Roman"/>
                <w:sz w:val="20"/>
                <w:szCs w:val="20"/>
                <w:lang w:val="en-US" w:eastAsia="nl-BE"/>
              </w:rPr>
            </w:pPr>
            <w:r>
              <w:rPr>
                <w:rFonts w:ascii="Times New Roman" w:eastAsia="Times New Roman" w:hAnsi="Times New Roman" w:cs="Times New Roman"/>
                <w:sz w:val="20"/>
                <w:szCs w:val="20"/>
                <w:lang w:val="en-US" w:eastAsia="nl-BE"/>
              </w:rPr>
              <w:t>Human immunodeficiency virus infection</w:t>
            </w:r>
          </w:p>
        </w:tc>
        <w:tc>
          <w:tcPr>
            <w:tcW w:w="466"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Reference</w:t>
            </w:r>
          </w:p>
        </w:tc>
        <w:tc>
          <w:tcPr>
            <w:tcW w:w="31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 xml:space="preserve"> - </w:t>
            </w:r>
          </w:p>
        </w:tc>
        <w:tc>
          <w:tcPr>
            <w:tcW w:w="78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0.13 (0.04-0.37)</w:t>
            </w:r>
          </w:p>
        </w:tc>
        <w:tc>
          <w:tcPr>
            <w:tcW w:w="31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&lt;.001</w:t>
            </w:r>
          </w:p>
        </w:tc>
        <w:tc>
          <w:tcPr>
            <w:tcW w:w="783"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0.16 (0.05-0.49)</w:t>
            </w:r>
          </w:p>
        </w:tc>
        <w:tc>
          <w:tcPr>
            <w:tcW w:w="304" w:type="pct"/>
            <w:shd w:val="clear" w:color="auto" w:fill="auto"/>
            <w:noWrap/>
            <w:vAlign w:val="center"/>
            <w:hideMark/>
          </w:tcPr>
          <w:p w:rsidR="00FF55FC" w:rsidRPr="00D63B22" w:rsidRDefault="00FF55FC" w:rsidP="00724695">
            <w:pPr>
              <w:jc w:val="center"/>
              <w:rPr>
                <w:rFonts w:ascii="Times New Roman" w:eastAsia="Times New Roman" w:hAnsi="Times New Roman" w:cs="Times New Roman"/>
                <w:sz w:val="16"/>
                <w:szCs w:val="16"/>
              </w:rPr>
            </w:pPr>
            <w:r w:rsidRPr="00D63B22">
              <w:rPr>
                <w:rFonts w:ascii="Times New Roman" w:eastAsia="Times New Roman" w:hAnsi="Times New Roman" w:cs="Times New Roman"/>
                <w:sz w:val="16"/>
                <w:szCs w:val="16"/>
              </w:rPr>
              <w:t>0.002</w:t>
            </w:r>
          </w:p>
        </w:tc>
      </w:tr>
      <w:bookmarkEnd w:id="0"/>
    </w:tbl>
    <w:p w:rsidR="003D62F5" w:rsidRDefault="003D62F5" w:rsidP="003D62F5">
      <w:pPr>
        <w:rPr>
          <w:rFonts w:eastAsia="Times New Roman"/>
          <w:sz w:val="20"/>
          <w:szCs w:val="20"/>
        </w:rPr>
      </w:pPr>
    </w:p>
    <w:p w:rsidR="003D62F5" w:rsidRPr="003D62F5" w:rsidRDefault="003D62F5" w:rsidP="008F231A">
      <w:pPr>
        <w:rPr>
          <w:rFonts w:ascii="Times New Roman" w:hAnsi="Times New Roman" w:cs="Times New Roman"/>
          <w:sz w:val="20"/>
          <w:lang w:val="en-US"/>
        </w:rPr>
      </w:pPr>
    </w:p>
    <w:sectPr w:rsidR="003D62F5" w:rsidRPr="003D62F5" w:rsidSect="00722B3E">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DB4" w:rsidRDefault="002A7DB4">
      <w:r>
        <w:separator/>
      </w:r>
    </w:p>
  </w:endnote>
  <w:endnote w:type="continuationSeparator" w:id="0">
    <w:p w:rsidR="002A7DB4" w:rsidRDefault="002A7DB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Lucida Grande">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ＭＳ ゴシック">
    <w:altName w:val="MS Mincho"/>
    <w:charset w:val="4E"/>
    <w:family w:val="auto"/>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9C3" w:rsidRDefault="000D6344" w:rsidP="001729C3">
    <w:pPr>
      <w:pStyle w:val="Footer"/>
      <w:framePr w:wrap="around" w:vAnchor="text" w:hAnchor="margin" w:xAlign="right" w:y="1"/>
      <w:rPr>
        <w:rStyle w:val="PageNumber"/>
      </w:rPr>
    </w:pPr>
    <w:r>
      <w:rPr>
        <w:rStyle w:val="PageNumber"/>
      </w:rPr>
      <w:fldChar w:fldCharType="begin"/>
    </w:r>
    <w:r w:rsidR="001729C3">
      <w:rPr>
        <w:rStyle w:val="PageNumber"/>
      </w:rPr>
      <w:instrText xml:space="preserve">PAGE  </w:instrText>
    </w:r>
    <w:r>
      <w:rPr>
        <w:rStyle w:val="PageNumber"/>
      </w:rPr>
      <w:fldChar w:fldCharType="end"/>
    </w:r>
  </w:p>
  <w:p w:rsidR="001729C3" w:rsidRDefault="001729C3" w:rsidP="001729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9C3" w:rsidRDefault="000D6344" w:rsidP="001729C3">
    <w:pPr>
      <w:pStyle w:val="Footer"/>
      <w:framePr w:wrap="around" w:vAnchor="text" w:hAnchor="margin" w:xAlign="right" w:y="1"/>
      <w:rPr>
        <w:rStyle w:val="PageNumber"/>
      </w:rPr>
    </w:pPr>
    <w:r>
      <w:rPr>
        <w:rStyle w:val="PageNumber"/>
      </w:rPr>
      <w:fldChar w:fldCharType="begin"/>
    </w:r>
    <w:r w:rsidR="001729C3">
      <w:rPr>
        <w:rStyle w:val="PageNumber"/>
      </w:rPr>
      <w:instrText xml:space="preserve">PAGE  </w:instrText>
    </w:r>
    <w:r>
      <w:rPr>
        <w:rStyle w:val="PageNumber"/>
      </w:rPr>
      <w:fldChar w:fldCharType="separate"/>
    </w:r>
    <w:r w:rsidR="00722B3E">
      <w:rPr>
        <w:rStyle w:val="PageNumber"/>
        <w:noProof/>
      </w:rPr>
      <w:t>7</w:t>
    </w:r>
    <w:r>
      <w:rPr>
        <w:rStyle w:val="PageNumber"/>
      </w:rPr>
      <w:fldChar w:fldCharType="end"/>
    </w:r>
  </w:p>
  <w:p w:rsidR="001729C3" w:rsidRDefault="001729C3" w:rsidP="001729C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9C3" w:rsidRDefault="001729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DB4" w:rsidRDefault="002A7DB4">
      <w:r>
        <w:separator/>
      </w:r>
    </w:p>
  </w:footnote>
  <w:footnote w:type="continuationSeparator" w:id="0">
    <w:p w:rsidR="002A7DB4" w:rsidRDefault="002A7DB4">
      <w:r>
        <w:continuationSeparator/>
      </w:r>
    </w:p>
  </w:footnote>
  <w:footnote w:id="1">
    <w:p w:rsidR="00653FE8" w:rsidRPr="00541964" w:rsidRDefault="00653FE8" w:rsidP="00653FE8">
      <w:pPr>
        <w:spacing w:after="160"/>
        <w:ind w:left="720" w:hanging="720"/>
        <w:rPr>
          <w:rFonts w:ascii="Times New Roman" w:eastAsia="Times New Roman" w:hAnsi="Times New Roman" w:cs="Times New Roman"/>
          <w:noProof/>
          <w:sz w:val="22"/>
          <w:szCs w:val="22"/>
          <w:lang w:val="en-US" w:eastAsia="en-US"/>
        </w:rPr>
      </w:pPr>
      <w:r>
        <w:rPr>
          <w:rStyle w:val="FootnoteReference"/>
        </w:rPr>
        <w:footnoteRef/>
      </w:r>
      <w:r w:rsidRPr="00653FE8">
        <w:rPr>
          <w:lang w:val="en-US"/>
        </w:rPr>
        <w:t xml:space="preserve"> </w:t>
      </w:r>
      <w:r w:rsidRPr="00541964">
        <w:rPr>
          <w:rFonts w:ascii="Times New Roman" w:eastAsia="Times New Roman" w:hAnsi="Times New Roman" w:cs="Times New Roman"/>
          <w:noProof/>
          <w:sz w:val="22"/>
          <w:szCs w:val="22"/>
          <w:lang w:val="en-US" w:eastAsia="en-US"/>
        </w:rPr>
        <w:t>Ho DE, Imai K, King G, Stuart EA, (2007) Matching as nonparametric preprocessing for reducing model dependence in parametric causal inference. Political Analysis 15: 199-236</w:t>
      </w:r>
    </w:p>
    <w:p w:rsidR="00653FE8" w:rsidRPr="00653FE8" w:rsidRDefault="00653FE8">
      <w:pPr>
        <w:pStyle w:val="FootnoteText"/>
        <w:rPr>
          <w:lang w:val="nl-N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9C3" w:rsidRDefault="001729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9C3" w:rsidRDefault="001729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9C3" w:rsidRDefault="001729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53FFD"/>
    <w:multiLevelType w:val="hybridMultilevel"/>
    <w:tmpl w:val="2AEACB30"/>
    <w:lvl w:ilvl="0" w:tplc="76029AAC">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8F231A"/>
    <w:rsid w:val="00001030"/>
    <w:rsid w:val="0003685C"/>
    <w:rsid w:val="000670E4"/>
    <w:rsid w:val="000D6344"/>
    <w:rsid w:val="00167D6D"/>
    <w:rsid w:val="001729C3"/>
    <w:rsid w:val="001A56DA"/>
    <w:rsid w:val="0020718D"/>
    <w:rsid w:val="002A3E52"/>
    <w:rsid w:val="002A7DB4"/>
    <w:rsid w:val="003D62F5"/>
    <w:rsid w:val="003E0E80"/>
    <w:rsid w:val="00422737"/>
    <w:rsid w:val="0042601B"/>
    <w:rsid w:val="00473FC3"/>
    <w:rsid w:val="00541964"/>
    <w:rsid w:val="00556C75"/>
    <w:rsid w:val="00653FE8"/>
    <w:rsid w:val="00685865"/>
    <w:rsid w:val="006C5CAE"/>
    <w:rsid w:val="00722B3E"/>
    <w:rsid w:val="007545D9"/>
    <w:rsid w:val="007D7622"/>
    <w:rsid w:val="007E0CA4"/>
    <w:rsid w:val="007F70AB"/>
    <w:rsid w:val="008F231A"/>
    <w:rsid w:val="0097475A"/>
    <w:rsid w:val="009E142B"/>
    <w:rsid w:val="00AE039B"/>
    <w:rsid w:val="00B8685C"/>
    <w:rsid w:val="00B96C88"/>
    <w:rsid w:val="00CF7E72"/>
    <w:rsid w:val="00D62B40"/>
    <w:rsid w:val="00DD2081"/>
    <w:rsid w:val="00F26C04"/>
    <w:rsid w:val="00F63177"/>
    <w:rsid w:val="00FF55FC"/>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31A"/>
    <w:rPr>
      <w:lang w:val="nl-B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31A"/>
    <w:pPr>
      <w:tabs>
        <w:tab w:val="center" w:pos="4536"/>
        <w:tab w:val="right" w:pos="9072"/>
      </w:tabs>
    </w:pPr>
  </w:style>
  <w:style w:type="character" w:customStyle="1" w:styleId="HeaderChar">
    <w:name w:val="Header Char"/>
    <w:basedOn w:val="DefaultParagraphFont"/>
    <w:link w:val="Header"/>
    <w:uiPriority w:val="99"/>
    <w:rsid w:val="008F231A"/>
    <w:rPr>
      <w:lang w:val="nl-BE" w:eastAsia="ja-JP"/>
    </w:rPr>
  </w:style>
  <w:style w:type="paragraph" w:styleId="Footer">
    <w:name w:val="footer"/>
    <w:basedOn w:val="Normal"/>
    <w:link w:val="FooterChar"/>
    <w:uiPriority w:val="99"/>
    <w:unhideWhenUsed/>
    <w:rsid w:val="008F231A"/>
    <w:pPr>
      <w:tabs>
        <w:tab w:val="center" w:pos="4536"/>
        <w:tab w:val="right" w:pos="9072"/>
      </w:tabs>
    </w:pPr>
  </w:style>
  <w:style w:type="character" w:customStyle="1" w:styleId="FooterChar">
    <w:name w:val="Footer Char"/>
    <w:basedOn w:val="DefaultParagraphFont"/>
    <w:link w:val="Footer"/>
    <w:uiPriority w:val="99"/>
    <w:rsid w:val="008F231A"/>
    <w:rPr>
      <w:lang w:val="nl-BE" w:eastAsia="ja-JP"/>
    </w:rPr>
  </w:style>
  <w:style w:type="character" w:styleId="PageNumber">
    <w:name w:val="page number"/>
    <w:basedOn w:val="DefaultParagraphFont"/>
    <w:uiPriority w:val="99"/>
    <w:semiHidden/>
    <w:unhideWhenUsed/>
    <w:rsid w:val="008F231A"/>
  </w:style>
  <w:style w:type="paragraph" w:styleId="NormalWeb">
    <w:name w:val="Normal (Web)"/>
    <w:basedOn w:val="Normal"/>
    <w:uiPriority w:val="99"/>
    <w:unhideWhenUsed/>
    <w:rsid w:val="008F231A"/>
    <w:pPr>
      <w:spacing w:before="100" w:beforeAutospacing="1" w:after="100" w:afterAutospacing="1"/>
    </w:pPr>
    <w:rPr>
      <w:rFonts w:ascii="Times New Roman" w:eastAsia="Times New Roman" w:hAnsi="Times New Roman" w:cs="Times New Roman"/>
      <w:lang w:eastAsia="nl-BE"/>
    </w:rPr>
  </w:style>
  <w:style w:type="table" w:customStyle="1" w:styleId="Onopgemaaktetabel31">
    <w:name w:val="Onopgemaakte tabel 31"/>
    <w:basedOn w:val="TableNormal"/>
    <w:uiPriority w:val="99"/>
    <w:rsid w:val="008F231A"/>
    <w:rPr>
      <w:lang w:val="nl-BE" w:eastAsia="ja-JP"/>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8F23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231A"/>
    <w:rPr>
      <w:rFonts w:ascii="Lucida Grande" w:hAnsi="Lucida Grande" w:cs="Lucida Grande"/>
      <w:sz w:val="18"/>
      <w:szCs w:val="18"/>
      <w:lang w:val="nl-BE" w:eastAsia="ja-JP"/>
    </w:rPr>
  </w:style>
  <w:style w:type="table" w:styleId="TableGrid">
    <w:name w:val="Table Grid"/>
    <w:basedOn w:val="TableNormal"/>
    <w:uiPriority w:val="39"/>
    <w:rsid w:val="007D7622"/>
    <w:rPr>
      <w:rFonts w:eastAsiaTheme="minorHAnsi"/>
      <w:sz w:val="22"/>
      <w:szCs w:val="22"/>
      <w:lang w:val="nl-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41964"/>
    <w:rPr>
      <w:sz w:val="16"/>
      <w:szCs w:val="16"/>
    </w:rPr>
  </w:style>
  <w:style w:type="paragraph" w:styleId="CommentText">
    <w:name w:val="annotation text"/>
    <w:basedOn w:val="Normal"/>
    <w:link w:val="CommentTextChar"/>
    <w:uiPriority w:val="99"/>
    <w:unhideWhenUsed/>
    <w:rsid w:val="00541964"/>
    <w:pPr>
      <w:spacing w:after="160"/>
    </w:pPr>
    <w:rPr>
      <w:rFonts w:ascii="Times New Roman" w:eastAsiaTheme="minorHAnsi" w:hAnsi="Times New Roman" w:cs="Times New Roman"/>
      <w:sz w:val="20"/>
      <w:szCs w:val="20"/>
      <w:lang w:val="en-US" w:eastAsia="en-US"/>
    </w:rPr>
  </w:style>
  <w:style w:type="character" w:customStyle="1" w:styleId="CommentTextChar">
    <w:name w:val="Comment Text Char"/>
    <w:basedOn w:val="DefaultParagraphFont"/>
    <w:link w:val="CommentText"/>
    <w:uiPriority w:val="99"/>
    <w:rsid w:val="00541964"/>
    <w:rPr>
      <w:rFonts w:ascii="Times New Roman" w:eastAsiaTheme="minorHAnsi" w:hAnsi="Times New Roman" w:cs="Times New Roman"/>
      <w:sz w:val="20"/>
      <w:szCs w:val="20"/>
      <w:lang w:val="en-US" w:eastAsia="en-US"/>
    </w:rPr>
  </w:style>
  <w:style w:type="paragraph" w:customStyle="1" w:styleId="EndNoteBibliography">
    <w:name w:val="EndNote Bibliography"/>
    <w:basedOn w:val="Normal"/>
    <w:link w:val="EndNoteBibliographyChar"/>
    <w:rsid w:val="00541964"/>
    <w:pPr>
      <w:spacing w:after="160"/>
    </w:pPr>
    <w:rPr>
      <w:rFonts w:ascii="Calibri" w:eastAsiaTheme="minorHAnsi" w:hAnsi="Calibri" w:cs="Times New Roman"/>
      <w:noProof/>
      <w:sz w:val="22"/>
      <w:szCs w:val="22"/>
      <w:lang w:val="en-US" w:eastAsia="en-US"/>
    </w:rPr>
  </w:style>
  <w:style w:type="character" w:customStyle="1" w:styleId="EndNoteBibliographyChar">
    <w:name w:val="EndNote Bibliography Char"/>
    <w:basedOn w:val="DefaultParagraphFont"/>
    <w:link w:val="EndNoteBibliography"/>
    <w:rsid w:val="00541964"/>
    <w:rPr>
      <w:rFonts w:ascii="Calibri" w:eastAsiaTheme="minorHAnsi" w:hAnsi="Calibri" w:cs="Times New Roman"/>
      <w:noProof/>
      <w:sz w:val="22"/>
      <w:szCs w:val="22"/>
      <w:lang w:val="en-US" w:eastAsia="en-US"/>
    </w:rPr>
  </w:style>
  <w:style w:type="paragraph" w:styleId="FootnoteText">
    <w:name w:val="footnote text"/>
    <w:basedOn w:val="Normal"/>
    <w:link w:val="FootnoteTextChar"/>
    <w:uiPriority w:val="99"/>
    <w:semiHidden/>
    <w:unhideWhenUsed/>
    <w:rsid w:val="00653FE8"/>
    <w:rPr>
      <w:sz w:val="20"/>
      <w:szCs w:val="20"/>
    </w:rPr>
  </w:style>
  <w:style w:type="character" w:customStyle="1" w:styleId="FootnoteTextChar">
    <w:name w:val="Footnote Text Char"/>
    <w:basedOn w:val="DefaultParagraphFont"/>
    <w:link w:val="FootnoteText"/>
    <w:uiPriority w:val="99"/>
    <w:semiHidden/>
    <w:rsid w:val="00653FE8"/>
    <w:rPr>
      <w:sz w:val="20"/>
      <w:szCs w:val="20"/>
      <w:lang w:val="nl-BE" w:eastAsia="ja-JP"/>
    </w:rPr>
  </w:style>
  <w:style w:type="character" w:styleId="FootnoteReference">
    <w:name w:val="footnote reference"/>
    <w:basedOn w:val="DefaultParagraphFont"/>
    <w:uiPriority w:val="99"/>
    <w:semiHidden/>
    <w:unhideWhenUsed/>
    <w:rsid w:val="00653FE8"/>
    <w:rPr>
      <w:vertAlign w:val="superscript"/>
    </w:rPr>
  </w:style>
  <w:style w:type="character" w:customStyle="1" w:styleId="apple-tab-span">
    <w:name w:val="apple-tab-span"/>
    <w:basedOn w:val="DefaultParagraphFont"/>
    <w:rsid w:val="003D62F5"/>
  </w:style>
  <w:style w:type="paragraph" w:styleId="ListParagraph">
    <w:name w:val="List Paragraph"/>
    <w:basedOn w:val="Normal"/>
    <w:uiPriority w:val="34"/>
    <w:qFormat/>
    <w:rsid w:val="003D62F5"/>
    <w:pPr>
      <w:ind w:left="720"/>
      <w:contextualSpacing/>
    </w:pPr>
    <w:rPr>
      <w:rFonts w:ascii="Times New Roman" w:eastAsiaTheme="minorHAnsi" w:hAnsi="Times New Roman" w:cs="Times New Roman"/>
      <w:lang w:eastAsia="nl-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F231A"/>
    <w:rPr>
      <w:lang w:val="nl-BE"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8F231A"/>
    <w:pPr>
      <w:tabs>
        <w:tab w:val="center" w:pos="4536"/>
        <w:tab w:val="right" w:pos="9072"/>
      </w:tabs>
    </w:pPr>
  </w:style>
  <w:style w:type="character" w:customStyle="1" w:styleId="KoptekstTeken">
    <w:name w:val="Koptekst Teken"/>
    <w:basedOn w:val="Standaardalinea-lettertype"/>
    <w:link w:val="Koptekst"/>
    <w:uiPriority w:val="99"/>
    <w:rsid w:val="008F231A"/>
    <w:rPr>
      <w:lang w:val="nl-BE" w:eastAsia="ja-JP"/>
    </w:rPr>
  </w:style>
  <w:style w:type="paragraph" w:styleId="Voettekst">
    <w:name w:val="footer"/>
    <w:basedOn w:val="Normaal"/>
    <w:link w:val="VoettekstTeken"/>
    <w:uiPriority w:val="99"/>
    <w:unhideWhenUsed/>
    <w:rsid w:val="008F231A"/>
    <w:pPr>
      <w:tabs>
        <w:tab w:val="center" w:pos="4536"/>
        <w:tab w:val="right" w:pos="9072"/>
      </w:tabs>
    </w:pPr>
  </w:style>
  <w:style w:type="character" w:customStyle="1" w:styleId="VoettekstTeken">
    <w:name w:val="Voettekst Teken"/>
    <w:basedOn w:val="Standaardalinea-lettertype"/>
    <w:link w:val="Voettekst"/>
    <w:uiPriority w:val="99"/>
    <w:rsid w:val="008F231A"/>
    <w:rPr>
      <w:lang w:val="nl-BE" w:eastAsia="ja-JP"/>
    </w:rPr>
  </w:style>
  <w:style w:type="character" w:styleId="Paginanummer">
    <w:name w:val="page number"/>
    <w:basedOn w:val="Standaardalinea-lettertype"/>
    <w:uiPriority w:val="99"/>
    <w:semiHidden/>
    <w:unhideWhenUsed/>
    <w:rsid w:val="008F231A"/>
  </w:style>
  <w:style w:type="paragraph" w:styleId="Normaalweb">
    <w:name w:val="Normal (Web)"/>
    <w:basedOn w:val="Normaal"/>
    <w:uiPriority w:val="99"/>
    <w:unhideWhenUsed/>
    <w:rsid w:val="008F231A"/>
    <w:pPr>
      <w:spacing w:before="100" w:beforeAutospacing="1" w:after="100" w:afterAutospacing="1"/>
    </w:pPr>
    <w:rPr>
      <w:rFonts w:ascii="Times New Roman" w:eastAsia="Times New Roman" w:hAnsi="Times New Roman" w:cs="Times New Roman"/>
      <w:lang w:eastAsia="nl-BE"/>
    </w:rPr>
  </w:style>
  <w:style w:type="table" w:customStyle="1" w:styleId="Onopgemaaktetabel31">
    <w:name w:val="Onopgemaakte tabel 31"/>
    <w:basedOn w:val="Standaardtabel"/>
    <w:uiPriority w:val="99"/>
    <w:rsid w:val="008F231A"/>
    <w:rPr>
      <w:lang w:val="nl-BE" w:eastAsia="ja-JP"/>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ntekst">
    <w:name w:val="Balloon Text"/>
    <w:basedOn w:val="Normaal"/>
    <w:link w:val="BallontekstTeken"/>
    <w:uiPriority w:val="99"/>
    <w:semiHidden/>
    <w:unhideWhenUsed/>
    <w:rsid w:val="008F231A"/>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F231A"/>
    <w:rPr>
      <w:rFonts w:ascii="Lucida Grande" w:hAnsi="Lucida Grande" w:cs="Lucida Grande"/>
      <w:sz w:val="18"/>
      <w:szCs w:val="18"/>
      <w:lang w:val="nl-BE" w:eastAsia="ja-JP"/>
    </w:rPr>
  </w:style>
  <w:style w:type="table" w:styleId="Tabelraster">
    <w:name w:val="Table Grid"/>
    <w:basedOn w:val="Standaardtabel"/>
    <w:uiPriority w:val="39"/>
    <w:rsid w:val="007D7622"/>
    <w:rPr>
      <w:rFonts w:eastAsiaTheme="minorHAnsi"/>
      <w:sz w:val="22"/>
      <w:szCs w:val="22"/>
      <w:lang w:val="nl-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541964"/>
    <w:rPr>
      <w:sz w:val="16"/>
      <w:szCs w:val="16"/>
    </w:rPr>
  </w:style>
  <w:style w:type="paragraph" w:styleId="Tekstopmerking">
    <w:name w:val="annotation text"/>
    <w:basedOn w:val="Normaal"/>
    <w:link w:val="TekstopmerkingTeken"/>
    <w:uiPriority w:val="99"/>
    <w:unhideWhenUsed/>
    <w:rsid w:val="00541964"/>
    <w:pPr>
      <w:spacing w:after="160"/>
    </w:pPr>
    <w:rPr>
      <w:rFonts w:ascii="Times New Roman" w:eastAsiaTheme="minorHAnsi" w:hAnsi="Times New Roman" w:cs="Times New Roman"/>
      <w:sz w:val="20"/>
      <w:szCs w:val="20"/>
      <w:lang w:val="en-US" w:eastAsia="en-US"/>
    </w:rPr>
  </w:style>
  <w:style w:type="character" w:customStyle="1" w:styleId="TekstopmerkingTeken">
    <w:name w:val="Tekst opmerking Teken"/>
    <w:basedOn w:val="Standaardalinea-lettertype"/>
    <w:link w:val="Tekstopmerking"/>
    <w:uiPriority w:val="99"/>
    <w:rsid w:val="00541964"/>
    <w:rPr>
      <w:rFonts w:ascii="Times New Roman" w:eastAsiaTheme="minorHAnsi" w:hAnsi="Times New Roman" w:cs="Times New Roman"/>
      <w:sz w:val="20"/>
      <w:szCs w:val="20"/>
      <w:lang w:val="en-US" w:eastAsia="en-US"/>
    </w:rPr>
  </w:style>
  <w:style w:type="paragraph" w:customStyle="1" w:styleId="EndNoteBibliography">
    <w:name w:val="EndNote Bibliography"/>
    <w:basedOn w:val="Normaal"/>
    <w:link w:val="EndNoteBibliographyChar"/>
    <w:rsid w:val="00541964"/>
    <w:pPr>
      <w:spacing w:after="160"/>
    </w:pPr>
    <w:rPr>
      <w:rFonts w:ascii="Calibri" w:eastAsiaTheme="minorHAnsi" w:hAnsi="Calibri" w:cs="Times New Roman"/>
      <w:noProof/>
      <w:sz w:val="22"/>
      <w:szCs w:val="22"/>
      <w:lang w:val="en-US" w:eastAsia="en-US"/>
    </w:rPr>
  </w:style>
  <w:style w:type="character" w:customStyle="1" w:styleId="EndNoteBibliographyChar">
    <w:name w:val="EndNote Bibliography Char"/>
    <w:basedOn w:val="Standaardalinea-lettertype"/>
    <w:link w:val="EndNoteBibliography"/>
    <w:rsid w:val="00541964"/>
    <w:rPr>
      <w:rFonts w:ascii="Calibri" w:eastAsiaTheme="minorHAnsi" w:hAnsi="Calibri" w:cs="Times New Roman"/>
      <w:noProof/>
      <w:sz w:val="22"/>
      <w:szCs w:val="22"/>
      <w:lang w:val="en-US" w:eastAsia="en-US"/>
    </w:rPr>
  </w:style>
  <w:style w:type="paragraph" w:styleId="Voetnoottekst">
    <w:name w:val="footnote text"/>
    <w:basedOn w:val="Normaal"/>
    <w:link w:val="VoetnoottekstTeken"/>
    <w:uiPriority w:val="99"/>
    <w:semiHidden/>
    <w:unhideWhenUsed/>
    <w:rsid w:val="00653FE8"/>
    <w:rPr>
      <w:sz w:val="20"/>
      <w:szCs w:val="20"/>
    </w:rPr>
  </w:style>
  <w:style w:type="character" w:customStyle="1" w:styleId="VoetnoottekstTeken">
    <w:name w:val="Voetnoottekst Teken"/>
    <w:basedOn w:val="Standaardalinea-lettertype"/>
    <w:link w:val="Voetnoottekst"/>
    <w:uiPriority w:val="99"/>
    <w:semiHidden/>
    <w:rsid w:val="00653FE8"/>
    <w:rPr>
      <w:sz w:val="20"/>
      <w:szCs w:val="20"/>
      <w:lang w:val="nl-BE" w:eastAsia="ja-JP"/>
    </w:rPr>
  </w:style>
  <w:style w:type="character" w:styleId="Voetnootmarkering">
    <w:name w:val="footnote reference"/>
    <w:basedOn w:val="Standaardalinea-lettertype"/>
    <w:uiPriority w:val="99"/>
    <w:semiHidden/>
    <w:unhideWhenUsed/>
    <w:rsid w:val="00653FE8"/>
    <w:rPr>
      <w:vertAlign w:val="superscript"/>
    </w:rPr>
  </w:style>
  <w:style w:type="character" w:customStyle="1" w:styleId="apple-tab-span">
    <w:name w:val="apple-tab-span"/>
    <w:basedOn w:val="Standaardalinea-lettertype"/>
    <w:rsid w:val="003D62F5"/>
  </w:style>
  <w:style w:type="paragraph" w:styleId="Lijstalinea">
    <w:name w:val="List Paragraph"/>
    <w:basedOn w:val="Normaal"/>
    <w:uiPriority w:val="34"/>
    <w:qFormat/>
    <w:rsid w:val="003D62F5"/>
    <w:pPr>
      <w:ind w:left="720"/>
      <w:contextualSpacing/>
    </w:pPr>
    <w:rPr>
      <w:rFonts w:ascii="Times New Roman" w:eastAsiaTheme="minorHAnsi" w:hAnsi="Times New Roman" w:cs="Times New Roman"/>
      <w:lang w:eastAsia="nl-BE"/>
    </w:rPr>
  </w:style>
</w:styles>
</file>

<file path=word/webSettings.xml><?xml version="1.0" encoding="utf-8"?>
<w:webSettings xmlns:r="http://schemas.openxmlformats.org/officeDocument/2006/relationships" xmlns:w="http://schemas.openxmlformats.org/wordprocessingml/2006/main">
  <w:divs>
    <w:div w:id="672876119">
      <w:bodyDiv w:val="1"/>
      <w:marLeft w:val="0"/>
      <w:marRight w:val="0"/>
      <w:marTop w:val="0"/>
      <w:marBottom w:val="0"/>
      <w:divBdr>
        <w:top w:val="none" w:sz="0" w:space="0" w:color="auto"/>
        <w:left w:val="none" w:sz="0" w:space="0" w:color="auto"/>
        <w:bottom w:val="none" w:sz="0" w:space="0" w:color="auto"/>
        <w:right w:val="none" w:sz="0" w:space="0" w:color="auto"/>
      </w:divBdr>
    </w:div>
    <w:div w:id="18309002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E6584-4472-41E5-8F70-BFA3C608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1175</Words>
  <Characters>6704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Blot</dc:creator>
  <cp:keywords/>
  <dc:description/>
  <cp:lastModifiedBy>0008142</cp:lastModifiedBy>
  <cp:revision>5</cp:revision>
  <dcterms:created xsi:type="dcterms:W3CDTF">2018-03-30T13:15:00Z</dcterms:created>
  <dcterms:modified xsi:type="dcterms:W3CDTF">2018-04-23T11:04:00Z</dcterms:modified>
</cp:coreProperties>
</file>