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DE" w:rsidRDefault="00303EDE" w:rsidP="00303EDE">
      <w:pPr>
        <w:pStyle w:val="NoSpacing"/>
        <w:widowControl w:val="0"/>
        <w:suppressAutoHyphens/>
        <w:rPr>
          <w:rFonts w:ascii="Times New Roman" w:hAnsi="Times New Roman"/>
        </w:rPr>
      </w:pPr>
      <w:bookmarkStart w:id="0" w:name="_GoBack"/>
      <w:bookmarkEnd w:id="0"/>
    </w:p>
    <w:p w:rsidR="00303EDE" w:rsidRDefault="00303EDE" w:rsidP="00303EDE"/>
    <w:p w:rsidR="00303EDE" w:rsidRDefault="00303EDE" w:rsidP="00303EDE">
      <w:r w:rsidRPr="00DC3D7D">
        <w:rPr>
          <w:b/>
        </w:rPr>
        <w:t>Supplementary Table 1.</w:t>
      </w:r>
      <w:r>
        <w:t xml:space="preserve"> EAA Baseline, Day 2, and Day 3 PMX versus Sham for EAA 0.6 to 0.89 group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60"/>
        <w:gridCol w:w="1940"/>
        <w:gridCol w:w="1920"/>
      </w:tblGrid>
      <w:tr w:rsidR="00303EDE" w:rsidRPr="00EC1058" w:rsidTr="008529AC"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b/>
                <w:bCs/>
                <w:color w:val="26282A"/>
                <w:sz w:val="20"/>
                <w:szCs w:val="20"/>
                <w:u w:val="single"/>
                <w:lang w:val="en-CA" w:eastAsia="en-CA"/>
              </w:rPr>
              <w:t>EAA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b/>
                <w:bCs/>
                <w:color w:val="26282A"/>
                <w:sz w:val="20"/>
                <w:szCs w:val="20"/>
                <w:lang w:val="en-CA" w:eastAsia="en-CA"/>
              </w:rPr>
              <w:t>PMX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b/>
                <w:bCs/>
                <w:color w:val="26282A"/>
                <w:sz w:val="20"/>
                <w:szCs w:val="20"/>
                <w:lang w:val="en-CA" w:eastAsia="en-CA"/>
              </w:rPr>
              <w:t>SHAM</w:t>
            </w:r>
          </w:p>
        </w:tc>
      </w:tr>
      <w:tr w:rsidR="00303EDE" w:rsidRPr="00EC1058" w:rsidTr="008529AC"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b/>
                <w:bCs/>
                <w:color w:val="26282A"/>
                <w:sz w:val="20"/>
                <w:szCs w:val="20"/>
                <w:lang w:val="en-CA" w:eastAsia="en-CA"/>
              </w:rPr>
              <w:t>Baseline [mean (SD)]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  <w:t>0.73 (0.08)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  <w:t>0.73 (0.08)</w:t>
            </w:r>
          </w:p>
        </w:tc>
      </w:tr>
      <w:tr w:rsidR="00303EDE" w:rsidRPr="00EC1058" w:rsidTr="008529AC"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b/>
                <w:bCs/>
                <w:color w:val="26282A"/>
                <w:sz w:val="20"/>
                <w:szCs w:val="20"/>
                <w:lang w:val="en-CA" w:eastAsia="en-CA"/>
              </w:rPr>
              <w:t>Day 2 [mean (SD)]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  <w:t>0.69 (0.19)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  <w:t>0.68 (0.19)</w:t>
            </w:r>
          </w:p>
        </w:tc>
      </w:tr>
      <w:tr w:rsidR="00303EDE" w:rsidRPr="00EC1058" w:rsidTr="008529AC"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b/>
                <w:bCs/>
                <w:color w:val="26282A"/>
                <w:sz w:val="20"/>
                <w:szCs w:val="20"/>
                <w:lang w:val="en-CA" w:eastAsia="en-CA"/>
              </w:rPr>
              <w:t>Day 3 [mean (SD)]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  <w:t>0.64 (0.19)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EDE" w:rsidRPr="00EC1058" w:rsidRDefault="00303EDE" w:rsidP="008529A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</w:pPr>
            <w:r w:rsidRPr="00EC1058">
              <w:rPr>
                <w:rFonts w:ascii="Helvetica" w:eastAsia="Times New Roman" w:hAnsi="Helvetica" w:cs="Helvetica"/>
                <w:color w:val="26282A"/>
                <w:sz w:val="20"/>
                <w:szCs w:val="20"/>
                <w:lang w:val="en-CA" w:eastAsia="en-CA"/>
              </w:rPr>
              <w:t>0.63 (0.20)</w:t>
            </w:r>
          </w:p>
        </w:tc>
      </w:tr>
    </w:tbl>
    <w:p w:rsidR="00303EDE" w:rsidRDefault="00303EDE" w:rsidP="00303EDE">
      <w:pPr>
        <w:outlineLvl w:val="0"/>
      </w:pPr>
    </w:p>
    <w:p w:rsidR="00303EDE" w:rsidRDefault="00303EDE" w:rsidP="00303EDE">
      <w:pPr>
        <w:outlineLvl w:val="0"/>
      </w:pPr>
      <w:r w:rsidRPr="00DC3D7D">
        <w:rPr>
          <w:b/>
        </w:rPr>
        <w:t>Supplementary Table 2.</w:t>
      </w:r>
      <w:r>
        <w:t xml:space="preserve"> Adverse </w:t>
      </w:r>
      <w:r w:rsidRPr="00C6571F">
        <w:t>events</w:t>
      </w:r>
      <w:r>
        <w:t xml:space="preserve"> among patients with EAA 0.6-0.89 for occurrence of 3 or more per event. </w:t>
      </w:r>
    </w:p>
    <w:p w:rsidR="00303EDE" w:rsidRDefault="00303EDE" w:rsidP="00303EDE">
      <w:pPr>
        <w:rPr>
          <w:b/>
        </w:rPr>
      </w:pPr>
    </w:p>
    <w:tbl>
      <w:tblPr>
        <w:tblStyle w:val="ListTable7Colorful1"/>
        <w:tblW w:w="4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/>
      </w:tblPr>
      <w:tblGrid>
        <w:gridCol w:w="4443"/>
        <w:gridCol w:w="1437"/>
        <w:gridCol w:w="1682"/>
      </w:tblGrid>
      <w:tr w:rsidR="00303EDE" w:rsidRPr="00E42595" w:rsidTr="008529AC">
        <w:trPr>
          <w:cnfStyle w:val="100000000000"/>
          <w:trHeight w:val="527"/>
        </w:trPr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pPr>
              <w:rPr>
                <w:rFonts w:asciiTheme="minorHAnsi" w:hAnsiTheme="minorHAnsi"/>
                <w:b/>
                <w:szCs w:val="24"/>
              </w:rPr>
            </w:pPr>
            <w:r w:rsidRPr="00E42595">
              <w:rPr>
                <w:rFonts w:asciiTheme="minorHAnsi" w:hAnsiTheme="minorHAnsi"/>
                <w:b/>
                <w:i w:val="0"/>
                <w:szCs w:val="24"/>
              </w:rPr>
              <w:t>Event*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jc w:val="center"/>
              <w:rPr>
                <w:rFonts w:asciiTheme="minorHAnsi" w:hAnsiTheme="minorHAnsi"/>
                <w:i w:val="0"/>
                <w:sz w:val="22"/>
                <w:szCs w:val="24"/>
              </w:rPr>
            </w:pPr>
            <w:r w:rsidRPr="00E42595">
              <w:rPr>
                <w:rFonts w:asciiTheme="minorHAnsi" w:hAnsiTheme="minorHAnsi"/>
                <w:i w:val="0"/>
                <w:sz w:val="22"/>
                <w:szCs w:val="24"/>
              </w:rPr>
              <w:t>PMX</w:t>
            </w:r>
          </w:p>
          <w:p w:rsidR="00303EDE" w:rsidRPr="00E42595" w:rsidRDefault="00303EDE" w:rsidP="008529AC">
            <w:pPr>
              <w:jc w:val="center"/>
              <w:rPr>
                <w:rFonts w:asciiTheme="minorHAnsi" w:hAnsiTheme="minorHAnsi"/>
                <w:i w:val="0"/>
                <w:sz w:val="22"/>
                <w:szCs w:val="24"/>
              </w:rPr>
            </w:pPr>
            <w:r w:rsidRPr="00E42595">
              <w:rPr>
                <w:rFonts w:asciiTheme="minorHAnsi" w:hAnsiTheme="minorHAnsi"/>
                <w:i w:val="0"/>
                <w:sz w:val="22"/>
                <w:szCs w:val="24"/>
              </w:rPr>
              <w:t>n=88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jc w:val="center"/>
              <w:rPr>
                <w:rFonts w:asciiTheme="minorHAnsi" w:hAnsiTheme="minorHAnsi"/>
                <w:i w:val="0"/>
                <w:sz w:val="22"/>
                <w:szCs w:val="24"/>
              </w:rPr>
            </w:pPr>
          </w:p>
          <w:p w:rsidR="00303EDE" w:rsidRPr="00E42595" w:rsidRDefault="00303EDE" w:rsidP="008529AC">
            <w:pPr>
              <w:jc w:val="center"/>
              <w:rPr>
                <w:rFonts w:asciiTheme="minorHAnsi" w:hAnsiTheme="minorHAnsi"/>
                <w:i w:val="0"/>
                <w:sz w:val="22"/>
                <w:szCs w:val="24"/>
              </w:rPr>
            </w:pPr>
            <w:r w:rsidRPr="00E42595">
              <w:rPr>
                <w:rFonts w:asciiTheme="minorHAnsi" w:hAnsiTheme="minorHAnsi"/>
                <w:i w:val="0"/>
                <w:sz w:val="22"/>
                <w:szCs w:val="24"/>
              </w:rPr>
              <w:t>Sham</w:t>
            </w:r>
          </w:p>
          <w:p w:rsidR="00303EDE" w:rsidRPr="00E42595" w:rsidRDefault="00303EDE" w:rsidP="008529AC">
            <w:pPr>
              <w:jc w:val="center"/>
              <w:rPr>
                <w:rFonts w:asciiTheme="minorHAnsi" w:hAnsiTheme="minorHAnsi"/>
                <w:i w:val="0"/>
                <w:sz w:val="22"/>
                <w:szCs w:val="24"/>
              </w:rPr>
            </w:pPr>
            <w:r w:rsidRPr="00E42595">
              <w:rPr>
                <w:rFonts w:asciiTheme="minorHAnsi" w:hAnsiTheme="minorHAnsi"/>
                <w:i w:val="0"/>
                <w:sz w:val="22"/>
                <w:szCs w:val="24"/>
              </w:rPr>
              <w:t>n=106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pPr>
              <w:rPr>
                <w:b/>
              </w:rPr>
            </w:pPr>
            <w:r w:rsidRPr="00E42595">
              <w:rPr>
                <w:b/>
              </w:rPr>
              <w:t>Subject with any AE</w:t>
            </w:r>
            <w:r w:rsidRPr="00E42595">
              <w:rPr>
                <w:i/>
              </w:rPr>
              <w:t xml:space="preserve"> n (%)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jc w:val="center"/>
              <w:rPr>
                <w:rStyle w:val="SubtleEmphasis"/>
                <w:i w:val="0"/>
              </w:rPr>
            </w:pPr>
            <w:r w:rsidRPr="00E42595">
              <w:rPr>
                <w:rStyle w:val="SubtleEmphasis"/>
              </w:rPr>
              <w:t>64(72.7)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jc w:val="center"/>
            </w:pPr>
            <w:r w:rsidRPr="00E42595">
              <w:t>65 (61.3)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 xml:space="preserve">Atrial fibrillation 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 xml:space="preserve">3 (3%) 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 xml:space="preserve">0 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Anemia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Thrombocytopenia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 xml:space="preserve">Supraventricular tachycardia 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Gastrointestinal hemorrhage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Worsening sepsis/septic shock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12/1 (15%)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14/4(17%)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Worsening multi organ failure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3 (3%)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5 (5%)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Cardiac arrest/cardio-respiratory arrest/PEA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2/1/1 (5%)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6/3/2(10.4%)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Dehydration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 xml:space="preserve">Deep vein thrombosis 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Hemorrhage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1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Hepatic failure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3(3%)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2(2%)</w:t>
            </w:r>
          </w:p>
        </w:tc>
      </w:tr>
      <w:tr w:rsidR="00303EDE" w:rsidRPr="00E42595" w:rsidTr="008529AC"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r w:rsidRPr="00E42595">
              <w:t>Respiratory failure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3(3%)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</w:pPr>
            <w:r w:rsidRPr="00E42595">
              <w:t>5 (5%)</w:t>
            </w:r>
          </w:p>
        </w:tc>
      </w:tr>
      <w:tr w:rsidR="00303EDE" w:rsidRPr="00E42595" w:rsidTr="008529AC">
        <w:trPr>
          <w:cnfStyle w:val="010000000000"/>
        </w:trPr>
        <w:tc>
          <w:tcPr>
            <w:tcW w:w="2938" w:type="pct"/>
            <w:noWrap/>
            <w:vAlign w:val="center"/>
          </w:tcPr>
          <w:p w:rsidR="00303EDE" w:rsidRPr="00E42595" w:rsidRDefault="00303EDE" w:rsidP="008529AC">
            <w:pPr>
              <w:rPr>
                <w:rFonts w:asciiTheme="minorHAnsi" w:hAnsiTheme="minorHAnsi"/>
                <w:i w:val="0"/>
                <w:sz w:val="22"/>
              </w:rPr>
            </w:pPr>
            <w:r w:rsidRPr="00E42595">
              <w:rPr>
                <w:rFonts w:asciiTheme="minorHAnsi" w:hAnsiTheme="minorHAnsi"/>
                <w:i w:val="0"/>
                <w:sz w:val="22"/>
              </w:rPr>
              <w:t>Acute kidney injury</w:t>
            </w:r>
          </w:p>
        </w:tc>
        <w:tc>
          <w:tcPr>
            <w:tcW w:w="950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  <w:rPr>
                <w:rFonts w:asciiTheme="minorHAnsi" w:hAnsiTheme="minorHAnsi"/>
                <w:i w:val="0"/>
                <w:sz w:val="22"/>
              </w:rPr>
            </w:pPr>
            <w:r w:rsidRPr="00E42595">
              <w:rPr>
                <w:rFonts w:asciiTheme="minorHAnsi" w:hAnsiTheme="minorHAnsi"/>
                <w:i w:val="0"/>
                <w:sz w:val="22"/>
              </w:rPr>
              <w:t>3 (3%)</w:t>
            </w:r>
          </w:p>
        </w:tc>
        <w:tc>
          <w:tcPr>
            <w:tcW w:w="1112" w:type="pct"/>
            <w:vAlign w:val="center"/>
          </w:tcPr>
          <w:p w:rsidR="00303EDE" w:rsidRPr="00E42595" w:rsidRDefault="00303EDE" w:rsidP="008529AC">
            <w:pPr>
              <w:pStyle w:val="DecimalAligned"/>
              <w:jc w:val="center"/>
              <w:rPr>
                <w:rFonts w:asciiTheme="minorHAnsi" w:hAnsiTheme="minorHAnsi"/>
                <w:i w:val="0"/>
                <w:sz w:val="22"/>
              </w:rPr>
            </w:pPr>
            <w:r w:rsidRPr="00E42595">
              <w:rPr>
                <w:rFonts w:asciiTheme="minorHAnsi" w:hAnsiTheme="minorHAnsi"/>
                <w:i w:val="0"/>
                <w:sz w:val="22"/>
              </w:rPr>
              <w:t xml:space="preserve">3 (3%) </w:t>
            </w:r>
          </w:p>
        </w:tc>
      </w:tr>
    </w:tbl>
    <w:p w:rsidR="00303EDE" w:rsidRDefault="00303EDE" w:rsidP="00303EDE">
      <w:r>
        <w:t xml:space="preserve">*table reports number of occurrences for each event, PEA = pulseless electrical activity </w:t>
      </w:r>
    </w:p>
    <w:p w:rsidR="00303EDE" w:rsidRDefault="00303EDE" w:rsidP="00303EDE">
      <w:pPr>
        <w:rPr>
          <w:b/>
        </w:rPr>
      </w:pPr>
    </w:p>
    <w:p w:rsidR="00303EDE" w:rsidRDefault="00303EDE" w:rsidP="00303EDE">
      <w:pPr>
        <w:outlineLvl w:val="0"/>
      </w:pPr>
      <w:r>
        <w:rPr>
          <w:b/>
        </w:rPr>
        <w:t xml:space="preserve">Supplementary Table 3. </w:t>
      </w:r>
      <w:r w:rsidRPr="001C75CA">
        <w:t>Serious</w:t>
      </w:r>
      <w:r>
        <w:rPr>
          <w:b/>
        </w:rPr>
        <w:t xml:space="preserve"> </w:t>
      </w:r>
      <w:r w:rsidRPr="00A202D1">
        <w:t>A</w:t>
      </w:r>
      <w:r>
        <w:t>dverse Events</w:t>
      </w:r>
      <w:r w:rsidRPr="00A202D1">
        <w:t xml:space="preserve"> </w:t>
      </w:r>
      <w:r>
        <w:t>reported as possibly related to use of</w:t>
      </w:r>
      <w:r w:rsidRPr="00A202D1">
        <w:t xml:space="preserve"> the device (PMX cartridge), </w:t>
      </w:r>
      <w:r>
        <w:t xml:space="preserve">and </w:t>
      </w:r>
      <w:r w:rsidRPr="00A202D1">
        <w:t>its components</w:t>
      </w:r>
      <w:r>
        <w:t xml:space="preserve">; systemic </w:t>
      </w:r>
      <w:r w:rsidRPr="00A202D1">
        <w:t>heparin and central venous catheter</w:t>
      </w:r>
      <w:r>
        <w:t xml:space="preserve"> for dialysis</w:t>
      </w:r>
    </w:p>
    <w:tbl>
      <w:tblPr>
        <w:tblStyle w:val="TableGrid"/>
        <w:tblW w:w="7508" w:type="dxa"/>
        <w:tblLayout w:type="fixed"/>
        <w:tblLook w:val="04A0"/>
      </w:tblPr>
      <w:tblGrid>
        <w:gridCol w:w="3964"/>
        <w:gridCol w:w="1560"/>
        <w:gridCol w:w="1984"/>
      </w:tblGrid>
      <w:tr w:rsidR="00303EDE" w:rsidRPr="00A202D1" w:rsidTr="008529AC">
        <w:trPr>
          <w:trHeight w:val="255"/>
        </w:trPr>
        <w:tc>
          <w:tcPr>
            <w:tcW w:w="3964" w:type="dxa"/>
            <w:noWrap/>
            <w:hideMark/>
          </w:tcPr>
          <w:p w:rsidR="00303EDE" w:rsidRPr="00D8601F" w:rsidRDefault="00303EDE" w:rsidP="008529AC">
            <w:pPr>
              <w:rPr>
                <w:rFonts w:eastAsia="Calibri"/>
                <w:szCs w:val="24"/>
              </w:rPr>
            </w:pPr>
            <w:r w:rsidRPr="00D8601F">
              <w:rPr>
                <w:rFonts w:eastAsia="Calibri"/>
                <w:szCs w:val="24"/>
              </w:rPr>
              <w:lastRenderedPageBreak/>
              <w:t> </w:t>
            </w:r>
          </w:p>
          <w:p w:rsidR="00303EDE" w:rsidRPr="00D8601F" w:rsidRDefault="00303EDE" w:rsidP="008529AC">
            <w:pPr>
              <w:rPr>
                <w:rFonts w:eastAsia="Calibri"/>
                <w:szCs w:val="24"/>
              </w:rPr>
            </w:pPr>
            <w:r w:rsidRPr="00D8601F">
              <w:rPr>
                <w:rFonts w:eastAsia="Calibri"/>
                <w:b/>
                <w:bCs/>
                <w:szCs w:val="24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D8601F">
              <w:rPr>
                <w:rFonts w:eastAsia="Calibri"/>
                <w:b/>
                <w:bCs/>
                <w:szCs w:val="24"/>
              </w:rPr>
              <w:t>PMX</w:t>
            </w:r>
            <w:r>
              <w:rPr>
                <w:rFonts w:eastAsia="Calibri"/>
                <w:b/>
                <w:bCs/>
                <w:szCs w:val="24"/>
              </w:rPr>
              <w:t xml:space="preserve"> (</w:t>
            </w:r>
            <w:r w:rsidRPr="00D8601F">
              <w:rPr>
                <w:rFonts w:eastAsia="Calibri"/>
                <w:b/>
                <w:bCs/>
                <w:szCs w:val="24"/>
              </w:rPr>
              <w:t>n=</w:t>
            </w:r>
            <w:r>
              <w:rPr>
                <w:rFonts w:eastAsia="Calibri"/>
                <w:b/>
                <w:bCs/>
                <w:szCs w:val="24"/>
              </w:rPr>
              <w:t>88)</w:t>
            </w: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D8601F">
              <w:rPr>
                <w:rFonts w:eastAsia="Calibri"/>
                <w:b/>
                <w:bCs/>
                <w:szCs w:val="24"/>
              </w:rPr>
              <w:t>Sham</w:t>
            </w:r>
            <w:r>
              <w:rPr>
                <w:rFonts w:eastAsia="Calibri"/>
                <w:b/>
                <w:bCs/>
                <w:szCs w:val="24"/>
              </w:rPr>
              <w:t xml:space="preserve"> (</w:t>
            </w:r>
            <w:r w:rsidRPr="00D8601F">
              <w:rPr>
                <w:rFonts w:eastAsia="Calibri"/>
                <w:b/>
                <w:bCs/>
                <w:szCs w:val="24"/>
              </w:rPr>
              <w:t>n=</w:t>
            </w:r>
            <w:r>
              <w:rPr>
                <w:rFonts w:eastAsia="Calibri"/>
                <w:b/>
                <w:bCs/>
                <w:szCs w:val="24"/>
              </w:rPr>
              <w:t>106)</w:t>
            </w: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noWrap/>
            <w:vAlign w:val="center"/>
            <w:hideMark/>
          </w:tcPr>
          <w:p w:rsidR="00303EDE" w:rsidRPr="00D8601F" w:rsidRDefault="00303EDE" w:rsidP="008529AC">
            <w:pPr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 xml:space="preserve">Serious </w:t>
            </w:r>
            <w:r w:rsidRPr="00D8601F">
              <w:rPr>
                <w:rFonts w:eastAsia="Calibri"/>
                <w:b/>
                <w:bCs/>
                <w:szCs w:val="24"/>
              </w:rPr>
              <w:t>Adverse Event</w:t>
            </w:r>
            <w:r>
              <w:rPr>
                <w:rFonts w:eastAsia="Calibri"/>
                <w:b/>
                <w:bCs/>
                <w:szCs w:val="24"/>
              </w:rPr>
              <w:t>,</w:t>
            </w:r>
            <w:r w:rsidRPr="00D8601F">
              <w:rPr>
                <w:rFonts w:eastAsia="Calibri"/>
                <w:b/>
                <w:bCs/>
                <w:szCs w:val="24"/>
              </w:rPr>
              <w:t xml:space="preserve"> n</w:t>
            </w:r>
            <w:r>
              <w:rPr>
                <w:rFonts w:eastAsia="Calibri"/>
                <w:b/>
                <w:bCs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shd w:val="clear" w:color="auto" w:fill="E7E6E6" w:themeFill="background2"/>
            <w:noWrap/>
            <w:vAlign w:val="center"/>
            <w:hideMark/>
          </w:tcPr>
          <w:p w:rsidR="00303EDE" w:rsidRPr="00D8601F" w:rsidRDefault="00303EDE" w:rsidP="008529AC">
            <w:pPr>
              <w:rPr>
                <w:rFonts w:eastAsia="Calibri"/>
                <w:b/>
                <w:szCs w:val="24"/>
              </w:rPr>
            </w:pPr>
            <w:r w:rsidRPr="00D8601F">
              <w:rPr>
                <w:rFonts w:eastAsia="Calibri"/>
                <w:b/>
                <w:szCs w:val="24"/>
              </w:rPr>
              <w:t>Related to PMX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noWrap/>
            <w:vAlign w:val="center"/>
          </w:tcPr>
          <w:p w:rsidR="00303EDE" w:rsidRPr="00D8601F" w:rsidRDefault="00303EDE" w:rsidP="008529AC">
            <w:pPr>
              <w:ind w:firstLine="220"/>
              <w:rPr>
                <w:rFonts w:eastAsia="Calibri"/>
                <w:szCs w:val="24"/>
              </w:rPr>
            </w:pPr>
            <w:r w:rsidRPr="00D8601F">
              <w:rPr>
                <w:rFonts w:eastAsia="Calibri"/>
                <w:szCs w:val="24"/>
              </w:rPr>
              <w:t xml:space="preserve">Hypotension </w:t>
            </w:r>
          </w:p>
        </w:tc>
        <w:tc>
          <w:tcPr>
            <w:tcW w:w="1560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shd w:val="clear" w:color="auto" w:fill="E7E6E6" w:themeFill="background2"/>
            <w:noWrap/>
            <w:vAlign w:val="center"/>
            <w:hideMark/>
          </w:tcPr>
          <w:p w:rsidR="00303EDE" w:rsidRPr="00D8601F" w:rsidRDefault="00303EDE" w:rsidP="008529AC">
            <w:pPr>
              <w:rPr>
                <w:rFonts w:eastAsia="Calibri"/>
                <w:b/>
                <w:szCs w:val="24"/>
              </w:rPr>
            </w:pPr>
            <w:r w:rsidRPr="00D8601F">
              <w:rPr>
                <w:rFonts w:eastAsia="Calibri"/>
                <w:b/>
                <w:szCs w:val="24"/>
              </w:rPr>
              <w:t>Related to Heparin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noWrap/>
            <w:vAlign w:val="center"/>
          </w:tcPr>
          <w:p w:rsidR="00303EDE" w:rsidRPr="00D8601F" w:rsidRDefault="00303EDE" w:rsidP="008529AC">
            <w:pPr>
              <w:ind w:firstLine="22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Anemia </w:t>
            </w:r>
          </w:p>
        </w:tc>
        <w:tc>
          <w:tcPr>
            <w:tcW w:w="1560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noWrap/>
            <w:vAlign w:val="center"/>
          </w:tcPr>
          <w:p w:rsidR="00303EDE" w:rsidRPr="00D8601F" w:rsidRDefault="00303EDE" w:rsidP="008529AC">
            <w:pPr>
              <w:ind w:firstLine="22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Subarachnoid hemorrhage </w:t>
            </w:r>
          </w:p>
        </w:tc>
        <w:tc>
          <w:tcPr>
            <w:tcW w:w="1560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noWrap/>
            <w:vAlign w:val="center"/>
          </w:tcPr>
          <w:p w:rsidR="00303EDE" w:rsidRPr="00D8601F" w:rsidRDefault="00303EDE" w:rsidP="008529AC">
            <w:pPr>
              <w:ind w:firstLine="22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Embolism</w:t>
            </w:r>
          </w:p>
        </w:tc>
        <w:tc>
          <w:tcPr>
            <w:tcW w:w="1560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noWrap/>
            <w:vAlign w:val="center"/>
          </w:tcPr>
          <w:p w:rsidR="00303EDE" w:rsidRPr="00D8601F" w:rsidRDefault="00303EDE" w:rsidP="008529AC">
            <w:pPr>
              <w:ind w:firstLine="220"/>
              <w:rPr>
                <w:rFonts w:eastAsia="Calibri"/>
                <w:szCs w:val="24"/>
              </w:rPr>
            </w:pPr>
            <w:r w:rsidRPr="00D8601F">
              <w:rPr>
                <w:rFonts w:eastAsia="Calibri"/>
                <w:szCs w:val="24"/>
              </w:rPr>
              <w:t>Heparin induced thrombocytopenia</w:t>
            </w:r>
          </w:p>
        </w:tc>
        <w:tc>
          <w:tcPr>
            <w:tcW w:w="1560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shd w:val="clear" w:color="auto" w:fill="E7E6E6" w:themeFill="background2"/>
            <w:noWrap/>
            <w:vAlign w:val="center"/>
            <w:hideMark/>
          </w:tcPr>
          <w:p w:rsidR="00303EDE" w:rsidRPr="00D8601F" w:rsidRDefault="00303EDE" w:rsidP="008529AC">
            <w:pPr>
              <w:rPr>
                <w:rFonts w:eastAsia="Calibri"/>
                <w:b/>
                <w:szCs w:val="24"/>
              </w:rPr>
            </w:pPr>
            <w:r w:rsidRPr="00D8601F">
              <w:rPr>
                <w:rFonts w:eastAsia="Calibri"/>
                <w:b/>
                <w:szCs w:val="24"/>
              </w:rPr>
              <w:t>Related to Catheter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noWrap/>
            <w:vAlign w:val="center"/>
          </w:tcPr>
          <w:p w:rsidR="00303EDE" w:rsidRPr="00D8601F" w:rsidRDefault="00303EDE" w:rsidP="008529AC">
            <w:pPr>
              <w:ind w:firstLine="22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Venous embolism </w:t>
            </w:r>
          </w:p>
        </w:tc>
        <w:tc>
          <w:tcPr>
            <w:tcW w:w="1560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303EDE" w:rsidRPr="00A202D1" w:rsidTr="008529AC">
        <w:trPr>
          <w:trHeight w:val="255"/>
        </w:trPr>
        <w:tc>
          <w:tcPr>
            <w:tcW w:w="3964" w:type="dxa"/>
            <w:noWrap/>
            <w:vAlign w:val="center"/>
          </w:tcPr>
          <w:p w:rsidR="00303EDE" w:rsidRPr="00D8601F" w:rsidRDefault="00303EDE" w:rsidP="008529AC">
            <w:pPr>
              <w:ind w:firstLine="220"/>
              <w:rPr>
                <w:rFonts w:eastAsia="Calibri"/>
                <w:szCs w:val="24"/>
              </w:rPr>
            </w:pPr>
            <w:r w:rsidRPr="00D8601F">
              <w:rPr>
                <w:rFonts w:eastAsia="Calibri"/>
                <w:szCs w:val="24"/>
              </w:rPr>
              <w:t>Deep vein thrombosis</w:t>
            </w:r>
          </w:p>
        </w:tc>
        <w:tc>
          <w:tcPr>
            <w:tcW w:w="1560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303EDE" w:rsidRPr="00D8601F" w:rsidRDefault="00303EDE" w:rsidP="008529AC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</w:tbl>
    <w:p w:rsidR="00303EDE" w:rsidRDefault="00303EDE" w:rsidP="00303EDE">
      <w:pPr>
        <w:pStyle w:val="Caption"/>
      </w:pPr>
    </w:p>
    <w:p w:rsidR="00303EDE" w:rsidRDefault="00303EDE" w:rsidP="00303EDE"/>
    <w:p w:rsidR="00303EDE" w:rsidRPr="00D124DA" w:rsidRDefault="00303EDE" w:rsidP="00303EDE"/>
    <w:p w:rsidR="00303EDE" w:rsidRDefault="00303EDE" w:rsidP="00303EDE">
      <w:pPr>
        <w:outlineLvl w:val="0"/>
      </w:pPr>
      <w:r>
        <w:rPr>
          <w:b/>
        </w:rPr>
        <w:t xml:space="preserve">Supplementary </w:t>
      </w:r>
      <w:r w:rsidRPr="006F4D85">
        <w:rPr>
          <w:b/>
        </w:rPr>
        <w:t xml:space="preserve">Table </w:t>
      </w:r>
      <w:r>
        <w:rPr>
          <w:b/>
        </w:rPr>
        <w:t>4</w:t>
      </w:r>
      <w:r w:rsidRPr="000B28E4">
        <w:rPr>
          <w:b/>
        </w:rPr>
        <w:t xml:space="preserve">. Primary and secondary outcomes for </w:t>
      </w:r>
      <w:r>
        <w:rPr>
          <w:b/>
        </w:rPr>
        <w:t>patients</w:t>
      </w:r>
      <w:r w:rsidRPr="000B28E4">
        <w:rPr>
          <w:b/>
        </w:rPr>
        <w:t xml:space="preserve"> with EAA level 0.60 to 0.89</w:t>
      </w:r>
      <w:r>
        <w:rPr>
          <w:b/>
        </w:rPr>
        <w:t>.</w:t>
      </w:r>
    </w:p>
    <w:tbl>
      <w:tblPr>
        <w:tblStyle w:val="TableGrid"/>
        <w:tblW w:w="0" w:type="auto"/>
        <w:tblLook w:val="04A0"/>
      </w:tblPr>
      <w:tblGrid>
        <w:gridCol w:w="3581"/>
        <w:gridCol w:w="1189"/>
        <w:gridCol w:w="1465"/>
      </w:tblGrid>
      <w:tr w:rsidR="00303EDE" w:rsidRPr="00167FDE" w:rsidTr="008529AC">
        <w:trPr>
          <w:trHeight w:val="290"/>
        </w:trPr>
        <w:tc>
          <w:tcPr>
            <w:tcW w:w="3581" w:type="dxa"/>
            <w:noWrap/>
            <w:hideMark/>
          </w:tcPr>
          <w:p w:rsidR="00303EDE" w:rsidRPr="00167FDE" w:rsidRDefault="00303EDE" w:rsidP="008529AC"/>
        </w:tc>
        <w:tc>
          <w:tcPr>
            <w:tcW w:w="2654" w:type="dxa"/>
            <w:gridSpan w:val="2"/>
            <w:noWrap/>
            <w:hideMark/>
          </w:tcPr>
          <w:p w:rsidR="00303EDE" w:rsidRPr="00167FDE" w:rsidRDefault="00303EDE" w:rsidP="008529AC">
            <w:pPr>
              <w:jc w:val="center"/>
              <w:rPr>
                <w:b/>
                <w:bCs/>
              </w:rPr>
            </w:pPr>
            <w:r w:rsidRPr="00167FDE">
              <w:rPr>
                <w:b/>
                <w:bCs/>
              </w:rPr>
              <w:t>EAA 0.6-0.89 (N=194)</w:t>
            </w:r>
          </w:p>
        </w:tc>
      </w:tr>
      <w:tr w:rsidR="00303EDE" w:rsidRPr="00167FDE" w:rsidTr="008529AC">
        <w:trPr>
          <w:trHeight w:val="30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rPr>
                <w:b/>
              </w:rPr>
            </w:pPr>
            <w:r w:rsidRPr="00167FDE">
              <w:rPr>
                <w:b/>
              </w:rPr>
              <w:t>Mortality (%)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  <w:rPr>
                <w:b/>
                <w:bCs/>
              </w:rPr>
            </w:pPr>
            <w:r w:rsidRPr="00167FDE">
              <w:rPr>
                <w:b/>
                <w:bCs/>
              </w:rPr>
              <w:t>PMX</w:t>
            </w:r>
            <w:r>
              <w:rPr>
                <w:b/>
                <w:bCs/>
              </w:rPr>
              <w:t xml:space="preserve"> n (%)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  <w:rPr>
                <w:b/>
                <w:bCs/>
              </w:rPr>
            </w:pPr>
            <w:r w:rsidRPr="00167FDE">
              <w:rPr>
                <w:b/>
                <w:bCs/>
              </w:rPr>
              <w:t>Sham</w:t>
            </w:r>
            <w:r>
              <w:rPr>
                <w:b/>
                <w:bCs/>
              </w:rPr>
              <w:t xml:space="preserve"> n (%)</w:t>
            </w:r>
          </w:p>
        </w:tc>
      </w:tr>
      <w:tr w:rsidR="00303EDE" w:rsidRPr="00167FDE" w:rsidTr="008529AC">
        <w:trPr>
          <w:trHeight w:val="29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>Day 28</w:t>
            </w:r>
            <w:r>
              <w:t>*</w:t>
            </w:r>
          </w:p>
        </w:tc>
        <w:tc>
          <w:tcPr>
            <w:tcW w:w="1189" w:type="dxa"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26%</w:t>
            </w:r>
          </w:p>
        </w:tc>
        <w:tc>
          <w:tcPr>
            <w:tcW w:w="1465" w:type="dxa"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37%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>Day 90</w:t>
            </w:r>
            <w:r>
              <w:t>*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>
              <w:t>26/88 (</w:t>
            </w:r>
            <w:r w:rsidRPr="00167FDE">
              <w:t>30</w:t>
            </w:r>
            <w:r>
              <w:t>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>
              <w:t>43/106 (</w:t>
            </w:r>
            <w:r w:rsidRPr="00167FDE">
              <w:t>41</w:t>
            </w:r>
            <w:r>
              <w:t>)-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>6 Months</w:t>
            </w:r>
            <w:r>
              <w:t>**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>
              <w:t>30/87 (</w:t>
            </w:r>
            <w:r w:rsidRPr="00167FDE">
              <w:t>34</w:t>
            </w:r>
            <w:r>
              <w:t>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>
              <w:t>44/104 (</w:t>
            </w:r>
            <w:r w:rsidRPr="00167FDE">
              <w:t>42</w:t>
            </w:r>
            <w:r>
              <w:t>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>12 Months</w:t>
            </w:r>
            <w:r>
              <w:t>**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>
              <w:t>34/87 (</w:t>
            </w:r>
            <w:r w:rsidRPr="00167FDE">
              <w:t>39</w:t>
            </w:r>
            <w:r>
              <w:t>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>
              <w:t>45/104 (</w:t>
            </w:r>
            <w:r w:rsidRPr="00167FDE">
              <w:t>43</w:t>
            </w:r>
            <w:r>
              <w:t>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</w:tcPr>
          <w:p w:rsidR="00303EDE" w:rsidRPr="00F81CE1" w:rsidRDefault="00303EDE" w:rsidP="008529AC">
            <w:pPr>
              <w:rPr>
                <w:b/>
              </w:rPr>
            </w:pPr>
            <w:r w:rsidRPr="00F81CE1">
              <w:rPr>
                <w:b/>
              </w:rPr>
              <w:t xml:space="preserve">Change from baseline to day 3 </w:t>
            </w:r>
          </w:p>
        </w:tc>
        <w:tc>
          <w:tcPr>
            <w:tcW w:w="1189" w:type="dxa"/>
            <w:noWrap/>
          </w:tcPr>
          <w:p w:rsidR="00303EDE" w:rsidRPr="00167FDE" w:rsidRDefault="00303EDE" w:rsidP="008529AC"/>
        </w:tc>
        <w:tc>
          <w:tcPr>
            <w:tcW w:w="1465" w:type="dxa"/>
            <w:noWrap/>
          </w:tcPr>
          <w:p w:rsidR="00303EDE" w:rsidRPr="00167FDE" w:rsidRDefault="00303EDE" w:rsidP="008529AC"/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>EAA [mean, (SD)]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-0.04 (0.18)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-0.05 (0.20)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>CVI [mean, (SD)]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-4.2 (3.5)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-3.5 (4.0)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>MAP (mmHg) [mean, (SD)]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8.9 (15.0)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3.8 (13.8)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>
              <w:t xml:space="preserve">Creatinine </w:t>
            </w:r>
            <w:r w:rsidRPr="00167FDE">
              <w:t>(mg/</w:t>
            </w:r>
            <w:proofErr w:type="spellStart"/>
            <w:r w:rsidRPr="00167FDE">
              <w:t>dL</w:t>
            </w:r>
            <w:proofErr w:type="spellEnd"/>
            <w:r w:rsidRPr="00167FDE">
              <w:t>) [mean, (SD)]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-1.17 (1.25)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-0.83 (1.36)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 xml:space="preserve">MODS </w:t>
            </w:r>
            <w:r>
              <w:t>[</w:t>
            </w:r>
            <w:r w:rsidRPr="00167FDE">
              <w:t>mean, (SD)]</w:t>
            </w:r>
          </w:p>
        </w:tc>
        <w:tc>
          <w:tcPr>
            <w:tcW w:w="1189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-3.1 (3.7)</w:t>
            </w:r>
          </w:p>
        </w:tc>
        <w:tc>
          <w:tcPr>
            <w:tcW w:w="1465" w:type="dxa"/>
            <w:noWrap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-2.4 (3.5)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>
              <w:t xml:space="preserve">RRT free days </w:t>
            </w:r>
            <w:r w:rsidRPr="00167FDE">
              <w:t>[</w:t>
            </w:r>
            <w:r>
              <w:t>median</w:t>
            </w:r>
            <w:r w:rsidRPr="00167FDE">
              <w:t>, (</w:t>
            </w:r>
            <w:r>
              <w:t>IQR</w:t>
            </w:r>
            <w:r w:rsidRPr="00167FDE">
              <w:t>)]</w:t>
            </w:r>
          </w:p>
        </w:tc>
        <w:tc>
          <w:tcPr>
            <w:tcW w:w="1189" w:type="dxa"/>
            <w:hideMark/>
          </w:tcPr>
          <w:p w:rsidR="00303EDE" w:rsidRPr="00167FDE" w:rsidRDefault="00303EDE" w:rsidP="008529AC">
            <w:pPr>
              <w:jc w:val="center"/>
            </w:pPr>
            <w:r>
              <w:t>20</w:t>
            </w:r>
            <w:r w:rsidRPr="00167FDE">
              <w:t xml:space="preserve"> (</w:t>
            </w:r>
            <w:r>
              <w:t>1, 29</w:t>
            </w:r>
            <w:r w:rsidR="00B4318E">
              <w:t>)</w:t>
            </w:r>
          </w:p>
        </w:tc>
        <w:tc>
          <w:tcPr>
            <w:tcW w:w="1465" w:type="dxa"/>
            <w:hideMark/>
          </w:tcPr>
          <w:p w:rsidR="00303EDE" w:rsidRPr="00167FDE" w:rsidRDefault="00303EDE" w:rsidP="008529AC">
            <w:pPr>
              <w:jc w:val="center"/>
            </w:pPr>
            <w:r>
              <w:t>11</w:t>
            </w:r>
            <w:r w:rsidRPr="00167FDE">
              <w:t xml:space="preserve"> (1</w:t>
            </w:r>
            <w:r>
              <w:t>, 29</w:t>
            </w:r>
            <w:r w:rsidRPr="00167FDE">
              <w:t>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 xml:space="preserve">MV </w:t>
            </w:r>
            <w:r>
              <w:t xml:space="preserve">free days </w:t>
            </w:r>
            <w:r w:rsidRPr="00167FDE">
              <w:t>[</w:t>
            </w:r>
            <w:r>
              <w:t>median</w:t>
            </w:r>
            <w:r w:rsidRPr="00167FDE">
              <w:t>, (</w:t>
            </w:r>
            <w:r>
              <w:t>IQR</w:t>
            </w:r>
            <w:r w:rsidRPr="00167FDE">
              <w:t>)]</w:t>
            </w:r>
          </w:p>
        </w:tc>
        <w:tc>
          <w:tcPr>
            <w:tcW w:w="1189" w:type="dxa"/>
            <w:hideMark/>
          </w:tcPr>
          <w:p w:rsidR="00303EDE" w:rsidRPr="00167FDE" w:rsidRDefault="00303EDE" w:rsidP="008529AC">
            <w:pPr>
              <w:jc w:val="center"/>
            </w:pPr>
            <w:r>
              <w:t>20</w:t>
            </w:r>
            <w:r w:rsidRPr="00167FDE">
              <w:t xml:space="preserve"> (</w:t>
            </w:r>
            <w:r>
              <w:t>0.5, 23.5</w:t>
            </w:r>
            <w:r w:rsidRPr="00167FDE">
              <w:t>)</w:t>
            </w:r>
          </w:p>
        </w:tc>
        <w:tc>
          <w:tcPr>
            <w:tcW w:w="1465" w:type="dxa"/>
            <w:hideMark/>
          </w:tcPr>
          <w:p w:rsidR="00303EDE" w:rsidRPr="00167FDE" w:rsidRDefault="00303EDE" w:rsidP="008529AC">
            <w:pPr>
              <w:jc w:val="center"/>
            </w:pPr>
            <w:r>
              <w:t>6</w:t>
            </w:r>
            <w:r w:rsidRPr="00167FDE">
              <w:t xml:space="preserve"> (</w:t>
            </w:r>
            <w:r>
              <w:t>0, 20</w:t>
            </w:r>
            <w:r w:rsidRPr="00167FDE">
              <w:t>)</w:t>
            </w:r>
          </w:p>
        </w:tc>
      </w:tr>
      <w:tr w:rsidR="00303EDE" w:rsidRPr="00167FDE" w:rsidTr="008529AC">
        <w:trPr>
          <w:trHeight w:val="310"/>
        </w:trPr>
        <w:tc>
          <w:tcPr>
            <w:tcW w:w="3581" w:type="dxa"/>
            <w:noWrap/>
            <w:hideMark/>
          </w:tcPr>
          <w:p w:rsidR="00303EDE" w:rsidRPr="00167FDE" w:rsidRDefault="00303EDE" w:rsidP="008529AC">
            <w:pPr>
              <w:jc w:val="right"/>
            </w:pPr>
            <w:r w:rsidRPr="00167FDE">
              <w:t>L</w:t>
            </w:r>
            <w:r>
              <w:t xml:space="preserve">OS </w:t>
            </w:r>
            <w:r w:rsidRPr="00167FDE">
              <w:t>hospital [mean, (SD)]</w:t>
            </w:r>
          </w:p>
        </w:tc>
        <w:tc>
          <w:tcPr>
            <w:tcW w:w="1189" w:type="dxa"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22.0 (7.4)</w:t>
            </w:r>
          </w:p>
        </w:tc>
        <w:tc>
          <w:tcPr>
            <w:tcW w:w="1465" w:type="dxa"/>
            <w:hideMark/>
          </w:tcPr>
          <w:p w:rsidR="00303EDE" w:rsidRPr="00167FDE" w:rsidRDefault="00303EDE" w:rsidP="008529AC">
            <w:pPr>
              <w:jc w:val="center"/>
            </w:pPr>
            <w:r w:rsidRPr="00167FDE">
              <w:t>23.7 (6.9)</w:t>
            </w:r>
          </w:p>
        </w:tc>
      </w:tr>
    </w:tbl>
    <w:p w:rsidR="00303EDE" w:rsidRDefault="00303EDE" w:rsidP="00303EDE">
      <w:r>
        <w:t>*</w:t>
      </w:r>
      <w:r w:rsidR="00B4318E">
        <w:t xml:space="preserve">P = 0.047 </w:t>
      </w:r>
    </w:p>
    <w:p w:rsidR="00303EDE" w:rsidRDefault="00303EDE" w:rsidP="00303EDE">
      <w:r>
        <w:t xml:space="preserve">** There were 3 patients lost to follow up at 6 months. </w:t>
      </w:r>
    </w:p>
    <w:p w:rsidR="007928E3" w:rsidRDefault="00303EDE">
      <w:r>
        <w:t xml:space="preserve">SD – standard deviation, EAA – Endotoxin Activity Assay, CVI – cumulative vasopressor index,            MODS – multiple organ dysfunction score, RRT – renal replacement therapy, IQR – interquartile range, MV – mechanical ventilation, LOS –length of stay </w:t>
      </w:r>
    </w:p>
    <w:sectPr w:rsidR="007928E3" w:rsidSect="00792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bra Foster">
    <w15:presenceInfo w15:providerId="AD" w15:userId="S-1-5-21-1343011380-1133106509-918526168-114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303EDE"/>
    <w:rsid w:val="000D3554"/>
    <w:rsid w:val="00303EDE"/>
    <w:rsid w:val="004159A0"/>
    <w:rsid w:val="007928E3"/>
    <w:rsid w:val="007E6A09"/>
    <w:rsid w:val="00B4318E"/>
    <w:rsid w:val="00BB7997"/>
    <w:rsid w:val="00C8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03EDE"/>
    <w:pPr>
      <w:spacing w:after="0" w:line="240" w:lineRule="auto"/>
    </w:pPr>
    <w:rPr>
      <w:lang w:val="en-CA"/>
    </w:rPr>
  </w:style>
  <w:style w:type="table" w:styleId="TableGrid">
    <w:name w:val="Table Grid"/>
    <w:basedOn w:val="TableNormal"/>
    <w:uiPriority w:val="39"/>
    <w:rsid w:val="00303ED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12,Caption 12pt+,Caption 12pt,12+,12pt"/>
    <w:basedOn w:val="Normal"/>
    <w:next w:val="Normal"/>
    <w:qFormat/>
    <w:rsid w:val="00303EDE"/>
    <w:pPr>
      <w:keepNext/>
      <w:tabs>
        <w:tab w:val="left" w:pos="341"/>
      </w:tabs>
      <w:spacing w:before="60" w:after="60" w:line="276" w:lineRule="auto"/>
      <w:jc w:val="center"/>
    </w:pPr>
    <w:rPr>
      <w:rFonts w:ascii="Times New Roman" w:eastAsia="Times New Roman" w:hAnsi="Times New Roman" w:cs="Times New Roman"/>
      <w:b/>
      <w:snapToGrid w:val="0"/>
      <w:sz w:val="24"/>
      <w:lang w:val="en-US"/>
    </w:rPr>
  </w:style>
  <w:style w:type="paragraph" w:customStyle="1" w:styleId="DecimalAligned">
    <w:name w:val="Decimal Aligned"/>
    <w:basedOn w:val="Normal"/>
    <w:uiPriority w:val="40"/>
    <w:qFormat/>
    <w:rsid w:val="00303EDE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character" w:styleId="SubtleEmphasis">
    <w:name w:val="Subtle Emphasis"/>
    <w:basedOn w:val="DefaultParagraphFont"/>
    <w:uiPriority w:val="19"/>
    <w:qFormat/>
    <w:rsid w:val="00303EDE"/>
    <w:rPr>
      <w:i/>
      <w:iCs/>
    </w:rPr>
  </w:style>
  <w:style w:type="table" w:customStyle="1" w:styleId="ListTable7Colorful1">
    <w:name w:val="List Table 7 Colorful1"/>
    <w:basedOn w:val="TableNormal"/>
    <w:uiPriority w:val="52"/>
    <w:rsid w:val="00303EDE"/>
    <w:pPr>
      <w:spacing w:after="0" w:line="240" w:lineRule="auto"/>
    </w:pPr>
    <w:rPr>
      <w:color w:val="000000" w:themeColor="text1"/>
      <w:lang w:val="en-C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Jeeva B.</dc:creator>
  <cp:lastModifiedBy>0010743</cp:lastModifiedBy>
  <cp:revision>2</cp:revision>
  <dcterms:created xsi:type="dcterms:W3CDTF">2018-11-22T10:58:00Z</dcterms:created>
  <dcterms:modified xsi:type="dcterms:W3CDTF">2018-11-22T10:58:00Z</dcterms:modified>
</cp:coreProperties>
</file>