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2F02B" w14:textId="7206A0CB" w:rsidR="00424867" w:rsidRPr="00A91FA7" w:rsidRDefault="00BB3050" w:rsidP="00D75A0C">
      <w:pPr>
        <w:spacing w:line="480" w:lineRule="auto"/>
        <w:contextualSpacing/>
        <w:rPr>
          <w:rFonts w:ascii="Times New Roman" w:hAnsi="Times New Roman" w:cs="Times New Roman"/>
          <w:sz w:val="20"/>
          <w:szCs w:val="20"/>
          <w:lang w:val="en-GB"/>
        </w:rPr>
      </w:pPr>
      <w:bookmarkStart w:id="0" w:name="_GoBack"/>
      <w:bookmarkEnd w:id="0"/>
      <w:r w:rsidRPr="00A91FA7">
        <w:rPr>
          <w:rFonts w:ascii="Times New Roman" w:hAnsi="Times New Roman" w:cs="Times New Roman"/>
          <w:b/>
          <w:sz w:val="20"/>
          <w:szCs w:val="20"/>
          <w:lang w:val="en-GB"/>
        </w:rPr>
        <w:t xml:space="preserve">Supplementary </w:t>
      </w:r>
      <w:r w:rsidR="008A6DA3" w:rsidRPr="00A91FA7">
        <w:rPr>
          <w:rFonts w:ascii="Times New Roman" w:hAnsi="Times New Roman" w:cs="Times New Roman"/>
          <w:b/>
          <w:sz w:val="20"/>
          <w:szCs w:val="20"/>
          <w:lang w:val="en-GB"/>
        </w:rPr>
        <w:t>M</w:t>
      </w:r>
      <w:r w:rsidR="0016784F" w:rsidRPr="00A91FA7">
        <w:rPr>
          <w:rFonts w:ascii="Times New Roman" w:hAnsi="Times New Roman" w:cs="Times New Roman"/>
          <w:b/>
          <w:sz w:val="20"/>
          <w:szCs w:val="20"/>
          <w:lang w:val="en-GB"/>
        </w:rPr>
        <w:t>aterial</w:t>
      </w:r>
    </w:p>
    <w:p w14:paraId="78425A52" w14:textId="77777777" w:rsidR="00C95E42" w:rsidRDefault="006C2958" w:rsidP="00D75A0C">
      <w:pPr>
        <w:spacing w:line="480" w:lineRule="auto"/>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To assess </w:t>
      </w:r>
      <w:r w:rsidR="00927283" w:rsidRPr="00A91FA7">
        <w:rPr>
          <w:rFonts w:ascii="Times New Roman" w:hAnsi="Times New Roman" w:cs="Times New Roman"/>
          <w:sz w:val="20"/>
          <w:szCs w:val="20"/>
          <w:lang w:val="en-GB"/>
        </w:rPr>
        <w:t xml:space="preserve">the extent of </w:t>
      </w:r>
      <w:r w:rsidRPr="00A91FA7">
        <w:rPr>
          <w:rFonts w:ascii="Times New Roman" w:hAnsi="Times New Roman" w:cs="Times New Roman"/>
          <w:sz w:val="20"/>
          <w:szCs w:val="20"/>
          <w:lang w:val="en-GB"/>
        </w:rPr>
        <w:t>segregation of the literature on delirium and encephalopathy, we performed the following systematic search in the PubMed database</w:t>
      </w:r>
      <w:r w:rsidR="00C95E42">
        <w:rPr>
          <w:rFonts w:ascii="Times New Roman" w:hAnsi="Times New Roman" w:cs="Times New Roman"/>
          <w:sz w:val="20"/>
          <w:szCs w:val="20"/>
          <w:lang w:val="en-GB"/>
        </w:rPr>
        <w:t xml:space="preserve"> [1].</w:t>
      </w:r>
      <w:r w:rsidRPr="00A91FA7">
        <w:rPr>
          <w:rFonts w:ascii="Times New Roman" w:hAnsi="Times New Roman" w:cs="Times New Roman"/>
          <w:sz w:val="20"/>
          <w:szCs w:val="20"/>
          <w:lang w:val="en-GB"/>
        </w:rPr>
        <w:t xml:space="preserve"> </w:t>
      </w:r>
      <w:r w:rsidR="002825F4" w:rsidRPr="00A91FA7">
        <w:rPr>
          <w:rFonts w:ascii="Times New Roman" w:hAnsi="Times New Roman" w:cs="Times New Roman"/>
          <w:sz w:val="20"/>
          <w:szCs w:val="20"/>
          <w:lang w:val="en-GB"/>
        </w:rPr>
        <w:t xml:space="preserve">The titles of all publications, including reviews and editorials, between January 1, 1990 and June 1, 2018 were searched for the terms </w:t>
      </w:r>
      <w:r w:rsidR="002825F4" w:rsidRPr="00A91FA7">
        <w:rPr>
          <w:rFonts w:ascii="Times New Roman" w:hAnsi="Times New Roman" w:cs="Times New Roman"/>
          <w:i/>
          <w:sz w:val="20"/>
          <w:szCs w:val="20"/>
          <w:lang w:val="en-GB"/>
        </w:rPr>
        <w:t>delirium, encephalopathy, acute confusional state, acute brain dysfunction, acute brain failure</w:t>
      </w:r>
      <w:r w:rsidR="002825F4" w:rsidRPr="00A91FA7">
        <w:rPr>
          <w:rFonts w:ascii="Times New Roman" w:hAnsi="Times New Roman" w:cs="Times New Roman"/>
          <w:sz w:val="20"/>
          <w:szCs w:val="20"/>
          <w:lang w:val="en-GB"/>
        </w:rPr>
        <w:t xml:space="preserve">, and </w:t>
      </w:r>
      <w:r w:rsidR="002825F4" w:rsidRPr="00A91FA7">
        <w:rPr>
          <w:rFonts w:ascii="Times New Roman" w:hAnsi="Times New Roman" w:cs="Times New Roman"/>
          <w:i/>
          <w:sz w:val="20"/>
          <w:szCs w:val="20"/>
          <w:lang w:val="en-GB"/>
        </w:rPr>
        <w:t>altered mental status</w:t>
      </w:r>
      <w:r w:rsidR="002825F4" w:rsidRPr="00A91FA7">
        <w:rPr>
          <w:rFonts w:ascii="Times New Roman" w:hAnsi="Times New Roman" w:cs="Times New Roman"/>
          <w:sz w:val="20"/>
          <w:szCs w:val="20"/>
          <w:lang w:val="en-GB"/>
        </w:rPr>
        <w:t>. We elected to start the search in 1990 as this was the year when a widely used tool for delirium screening was published</w:t>
      </w:r>
      <w:r w:rsidR="00C95E42">
        <w:rPr>
          <w:rFonts w:ascii="Times New Roman" w:hAnsi="Times New Roman" w:cs="Times New Roman"/>
          <w:sz w:val="20"/>
          <w:szCs w:val="20"/>
          <w:lang w:val="en-GB"/>
        </w:rPr>
        <w:t xml:space="preserve"> [2]</w:t>
      </w:r>
      <w:r w:rsidR="002825F4" w:rsidRPr="00A91FA7">
        <w:rPr>
          <w:rFonts w:ascii="Times New Roman" w:hAnsi="Times New Roman" w:cs="Times New Roman"/>
          <w:sz w:val="20"/>
          <w:szCs w:val="20"/>
          <w:lang w:val="en-GB"/>
        </w:rPr>
        <w:t>. Publications on chronic encephalopathy were excluded. Unique PubMed IDs, assigned to every publication, were automatically collected using Entrez Programming Utilities</w:t>
      </w:r>
      <w:r w:rsidR="00C95E42">
        <w:rPr>
          <w:rFonts w:ascii="Times New Roman" w:hAnsi="Times New Roman" w:cs="Times New Roman"/>
          <w:sz w:val="20"/>
          <w:szCs w:val="20"/>
          <w:lang w:val="en-GB"/>
        </w:rPr>
        <w:t xml:space="preserve"> [3]</w:t>
      </w:r>
      <w:r w:rsidR="002825F4" w:rsidRPr="00A91FA7">
        <w:rPr>
          <w:rFonts w:ascii="Times New Roman" w:hAnsi="Times New Roman" w:cs="Times New Roman"/>
          <w:sz w:val="20"/>
          <w:szCs w:val="20"/>
          <w:lang w:val="en-GB"/>
        </w:rPr>
        <w:t>.</w:t>
      </w:r>
    </w:p>
    <w:p w14:paraId="672BAE00" w14:textId="25D5058B" w:rsidR="00485833" w:rsidRPr="00A91FA7" w:rsidRDefault="002825F4" w:rsidP="00D75A0C">
      <w:pPr>
        <w:spacing w:line="480" w:lineRule="auto"/>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ab/>
      </w:r>
      <w:r w:rsidR="00424867" w:rsidRPr="00A91FA7">
        <w:rPr>
          <w:rFonts w:ascii="Times New Roman" w:hAnsi="Times New Roman" w:cs="Times New Roman"/>
          <w:sz w:val="20"/>
          <w:szCs w:val="20"/>
          <w:lang w:val="en-GB"/>
        </w:rPr>
        <w:t xml:space="preserve">The queries for searches in the PubMed database were as follows: </w:t>
      </w:r>
    </w:p>
    <w:p w14:paraId="77EE0FDD" w14:textId="49B4F8B9" w:rsidR="00485833" w:rsidRPr="00A91FA7" w:rsidRDefault="00424867" w:rsidP="00D75A0C">
      <w:pPr>
        <w:spacing w:line="480" w:lineRule="auto"/>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[delirium[ti] AND ("1990/01/01"[</w:t>
      </w:r>
      <w:proofErr w:type="spellStart"/>
      <w:r w:rsidRPr="00A91FA7">
        <w:rPr>
          <w:rFonts w:ascii="Times New Roman" w:hAnsi="Times New Roman" w:cs="Times New Roman"/>
          <w:sz w:val="20"/>
          <w:szCs w:val="20"/>
          <w:lang w:val="en-GB"/>
        </w:rPr>
        <w:t>PDAT</w:t>
      </w:r>
      <w:proofErr w:type="spellEnd"/>
      <w:r w:rsidRPr="00A91FA7">
        <w:rPr>
          <w:rFonts w:ascii="Times New Roman" w:hAnsi="Times New Roman" w:cs="Times New Roman"/>
          <w:sz w:val="20"/>
          <w:szCs w:val="20"/>
          <w:lang w:val="en-GB"/>
        </w:rPr>
        <w:t>] : "2500/12/31"[PDAT])] for delirium publications, [( encephalopathy[ti] AND ("1990/01/01"[</w:t>
      </w:r>
      <w:proofErr w:type="spellStart"/>
      <w:r w:rsidRPr="00A91FA7">
        <w:rPr>
          <w:rFonts w:ascii="Times New Roman" w:hAnsi="Times New Roman" w:cs="Times New Roman"/>
          <w:sz w:val="20"/>
          <w:szCs w:val="20"/>
          <w:lang w:val="en-GB"/>
        </w:rPr>
        <w:t>PDAT</w:t>
      </w:r>
      <w:proofErr w:type="spellEnd"/>
      <w:r w:rsidRPr="00A91FA7">
        <w:rPr>
          <w:rFonts w:ascii="Times New Roman" w:hAnsi="Times New Roman" w:cs="Times New Roman"/>
          <w:sz w:val="20"/>
          <w:szCs w:val="20"/>
          <w:lang w:val="en-GB"/>
        </w:rPr>
        <w:t>] : "2500/12/31"[PDAT]) ) NOT "chronic traumatic encephalopathy"[</w:t>
      </w:r>
      <w:proofErr w:type="spellStart"/>
      <w:r w:rsidRPr="00A91FA7">
        <w:rPr>
          <w:rFonts w:ascii="Times New Roman" w:hAnsi="Times New Roman" w:cs="Times New Roman"/>
          <w:sz w:val="20"/>
          <w:szCs w:val="20"/>
          <w:lang w:val="en-GB"/>
        </w:rPr>
        <w:t>tiab</w:t>
      </w:r>
      <w:proofErr w:type="spellEnd"/>
      <w:r w:rsidRPr="00A91FA7">
        <w:rPr>
          <w:rFonts w:ascii="Times New Roman" w:hAnsi="Times New Roman" w:cs="Times New Roman"/>
          <w:sz w:val="20"/>
          <w:szCs w:val="20"/>
          <w:lang w:val="en-GB"/>
        </w:rPr>
        <w:t>]] NOT "chronic encephalopathy"[</w:t>
      </w:r>
      <w:proofErr w:type="spellStart"/>
      <w:r w:rsidRPr="00A91FA7">
        <w:rPr>
          <w:rFonts w:ascii="Times New Roman" w:hAnsi="Times New Roman" w:cs="Times New Roman"/>
          <w:sz w:val="20"/>
          <w:szCs w:val="20"/>
          <w:lang w:val="en-GB"/>
        </w:rPr>
        <w:t>tiab</w:t>
      </w:r>
      <w:proofErr w:type="spellEnd"/>
      <w:r w:rsidRPr="00A91FA7">
        <w:rPr>
          <w:rFonts w:ascii="Times New Roman" w:hAnsi="Times New Roman" w:cs="Times New Roman"/>
          <w:sz w:val="20"/>
          <w:szCs w:val="20"/>
          <w:lang w:val="en-GB"/>
        </w:rPr>
        <w:t>]] for articles on encephalopathy,</w:t>
      </w:r>
      <w:r w:rsidR="003D28A0" w:rsidRPr="00A91FA7">
        <w:rPr>
          <w:rFonts w:ascii="Times New Roman" w:hAnsi="Times New Roman" w:cs="Times New Roman"/>
          <w:sz w:val="20"/>
          <w:szCs w:val="20"/>
          <w:lang w:val="en-GB"/>
        </w:rPr>
        <w:t xml:space="preserve"> ["acute confusional state "[ti] AND ("1990/01/01"[PDAT] : "2500/12/31"[PDAT])] for publications on acute confusional state, </w:t>
      </w:r>
      <w:r w:rsidRPr="00A91FA7">
        <w:rPr>
          <w:rFonts w:ascii="Times New Roman" w:hAnsi="Times New Roman" w:cs="Times New Roman"/>
          <w:sz w:val="20"/>
          <w:szCs w:val="20"/>
          <w:lang w:val="en-GB"/>
        </w:rPr>
        <w:t>["acute brain dysfunction"[ti] AND ("1990/01/01"[</w:t>
      </w:r>
      <w:proofErr w:type="spellStart"/>
      <w:r w:rsidRPr="00A91FA7">
        <w:rPr>
          <w:rFonts w:ascii="Times New Roman" w:hAnsi="Times New Roman" w:cs="Times New Roman"/>
          <w:sz w:val="20"/>
          <w:szCs w:val="20"/>
          <w:lang w:val="en-GB"/>
        </w:rPr>
        <w:t>PDAT</w:t>
      </w:r>
      <w:proofErr w:type="spellEnd"/>
      <w:r w:rsidRPr="00A91FA7">
        <w:rPr>
          <w:rFonts w:ascii="Times New Roman" w:hAnsi="Times New Roman" w:cs="Times New Roman"/>
          <w:sz w:val="20"/>
          <w:szCs w:val="20"/>
          <w:lang w:val="en-GB"/>
        </w:rPr>
        <w:t>] : "2500/12/31"[PDAT])] for papers on acute brain dysfunction, and ["acute brain failure"[ti] AND ("1990/01/01"[</w:t>
      </w:r>
      <w:proofErr w:type="spellStart"/>
      <w:r w:rsidRPr="00A91FA7">
        <w:rPr>
          <w:rFonts w:ascii="Times New Roman" w:hAnsi="Times New Roman" w:cs="Times New Roman"/>
          <w:sz w:val="20"/>
          <w:szCs w:val="20"/>
          <w:lang w:val="en-GB"/>
        </w:rPr>
        <w:t>PDAT</w:t>
      </w:r>
      <w:proofErr w:type="spellEnd"/>
      <w:r w:rsidRPr="00A91FA7">
        <w:rPr>
          <w:rFonts w:ascii="Times New Roman" w:hAnsi="Times New Roman" w:cs="Times New Roman"/>
          <w:sz w:val="20"/>
          <w:szCs w:val="20"/>
          <w:lang w:val="en-GB"/>
        </w:rPr>
        <w:t>] : "2500/12/31"[PDAT])] for articles on acute brain failure</w:t>
      </w:r>
      <w:r w:rsidR="003D28A0" w:rsidRPr="00A91FA7">
        <w:rPr>
          <w:rFonts w:ascii="Times New Roman" w:hAnsi="Times New Roman" w:cs="Times New Roman"/>
          <w:sz w:val="20"/>
          <w:szCs w:val="20"/>
          <w:lang w:val="en-GB"/>
        </w:rPr>
        <w:t>, and ["altered mental status "[ti] AND ("1990/01/01"[</w:t>
      </w:r>
      <w:proofErr w:type="spellStart"/>
      <w:r w:rsidR="003D28A0" w:rsidRPr="00A91FA7">
        <w:rPr>
          <w:rFonts w:ascii="Times New Roman" w:hAnsi="Times New Roman" w:cs="Times New Roman"/>
          <w:sz w:val="20"/>
          <w:szCs w:val="20"/>
          <w:lang w:val="en-GB"/>
        </w:rPr>
        <w:t>PDAT</w:t>
      </w:r>
      <w:proofErr w:type="spellEnd"/>
      <w:r w:rsidR="003D28A0" w:rsidRPr="00A91FA7">
        <w:rPr>
          <w:rFonts w:ascii="Times New Roman" w:hAnsi="Times New Roman" w:cs="Times New Roman"/>
          <w:sz w:val="20"/>
          <w:szCs w:val="20"/>
          <w:lang w:val="en-GB"/>
        </w:rPr>
        <w:t>]: "2500/12/31"[</w:t>
      </w:r>
      <w:proofErr w:type="spellStart"/>
      <w:r w:rsidR="003D28A0" w:rsidRPr="00A91FA7">
        <w:rPr>
          <w:rFonts w:ascii="Times New Roman" w:hAnsi="Times New Roman" w:cs="Times New Roman"/>
          <w:sz w:val="20"/>
          <w:szCs w:val="20"/>
          <w:lang w:val="en-GB"/>
        </w:rPr>
        <w:t>PDAT</w:t>
      </w:r>
      <w:proofErr w:type="spellEnd"/>
      <w:r w:rsidR="003D28A0" w:rsidRPr="00A91FA7">
        <w:rPr>
          <w:rFonts w:ascii="Times New Roman" w:hAnsi="Times New Roman" w:cs="Times New Roman"/>
          <w:sz w:val="20"/>
          <w:szCs w:val="20"/>
          <w:lang w:val="en-GB"/>
        </w:rPr>
        <w:t>])] for publications on altered mental status</w:t>
      </w:r>
      <w:r w:rsidRPr="00A91FA7">
        <w:rPr>
          <w:rFonts w:ascii="Times New Roman" w:hAnsi="Times New Roman" w:cs="Times New Roman"/>
          <w:sz w:val="20"/>
          <w:szCs w:val="20"/>
          <w:lang w:val="en-GB"/>
        </w:rPr>
        <w:t>.</w:t>
      </w:r>
    </w:p>
    <w:p w14:paraId="15E9D0C6" w14:textId="34D9AEA9" w:rsidR="002825F4" w:rsidRPr="00A91FA7" w:rsidRDefault="002825F4"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The PubMed search yielded 18,865 unique publications, of which 5,709 were delirium</w:t>
      </w:r>
      <w:r w:rsidR="009A103D" w:rsidRPr="00A91FA7">
        <w:rPr>
          <w:rFonts w:ascii="Times New Roman" w:hAnsi="Times New Roman" w:cs="Times New Roman"/>
          <w:sz w:val="20"/>
          <w:szCs w:val="20"/>
          <w:lang w:val="en-GB"/>
        </w:rPr>
        <w:t>-titled</w:t>
      </w:r>
      <w:r w:rsidRPr="00A91FA7">
        <w:rPr>
          <w:rFonts w:ascii="Times New Roman" w:hAnsi="Times New Roman" w:cs="Times New Roman"/>
          <w:sz w:val="20"/>
          <w:szCs w:val="20"/>
          <w:lang w:val="en-GB"/>
        </w:rPr>
        <w:t xml:space="preserve"> arti</w:t>
      </w:r>
      <w:r w:rsidR="009A103D" w:rsidRPr="00A91FA7">
        <w:rPr>
          <w:rFonts w:ascii="Times New Roman" w:hAnsi="Times New Roman" w:cs="Times New Roman"/>
          <w:sz w:val="20"/>
          <w:szCs w:val="20"/>
          <w:lang w:val="en-GB"/>
        </w:rPr>
        <w:t xml:space="preserve">cles, and 13,156 were encephalopathy-titled </w:t>
      </w:r>
      <w:r w:rsidRPr="00A91FA7">
        <w:rPr>
          <w:rFonts w:ascii="Times New Roman" w:hAnsi="Times New Roman" w:cs="Times New Roman"/>
          <w:sz w:val="20"/>
          <w:szCs w:val="20"/>
          <w:lang w:val="en-GB"/>
        </w:rPr>
        <w:t xml:space="preserve">articles; 13 publications had both terms in the title. A limited number of publications had acute confusional state (n=69), acute brain dysfunction (n=10), acute brain failure (n=6), or altered mental status (n=315) in the title. </w:t>
      </w:r>
    </w:p>
    <w:p w14:paraId="19485452" w14:textId="2250B1E8" w:rsidR="0086355C" w:rsidRPr="00A91FA7" w:rsidRDefault="0086355C"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We manually labelled all journal titles into six clinical domains using the Web of Science classifications as follows: a) psychiatry or psychology, b) geriatrics or gerontology, c) critical care medicine or anaesthesiology, d) clinical neurology or neurosciences, e) internal or general medicine, and f) other disciplines, such as surgery. We then determined the distribution of the delirium- and encephalopathy-titled articles according to the six journal domains (</w:t>
      </w:r>
      <w:r w:rsidR="00A10EAD" w:rsidRPr="00A91FA7">
        <w:rPr>
          <w:rFonts w:ascii="Times New Roman" w:hAnsi="Times New Roman" w:cs="Times New Roman"/>
          <w:sz w:val="20"/>
          <w:szCs w:val="20"/>
          <w:lang w:val="en-GB"/>
        </w:rPr>
        <w:t xml:space="preserve">Supplementary </w:t>
      </w:r>
      <w:r w:rsidRPr="00A91FA7">
        <w:rPr>
          <w:rFonts w:ascii="Times New Roman" w:hAnsi="Times New Roman" w:cs="Times New Roman"/>
          <w:sz w:val="20"/>
          <w:szCs w:val="20"/>
          <w:lang w:val="en-GB"/>
        </w:rPr>
        <w:t>Figure 1).</w:t>
      </w:r>
    </w:p>
    <w:p w14:paraId="7DF49A1F" w14:textId="039B025F" w:rsidR="00BB3050" w:rsidRPr="00A91FA7" w:rsidRDefault="001E7DFE"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PubMed IDs were linked to one another based on cross-citations with other publications in the database, and citation links were converted into citation networks. Citation networks can be quantified using social network methods by identifying the proportion of citations within and between clusters of related publications</w:t>
      </w:r>
      <w:r w:rsidR="00C95E42">
        <w:rPr>
          <w:rFonts w:ascii="Times New Roman" w:hAnsi="Times New Roman" w:cs="Times New Roman"/>
          <w:sz w:val="20"/>
          <w:szCs w:val="20"/>
          <w:lang w:val="en-GB"/>
        </w:rPr>
        <w:t xml:space="preserve"> [4]</w:t>
      </w:r>
      <w:r w:rsidRPr="00A91FA7">
        <w:rPr>
          <w:rFonts w:ascii="Times New Roman" w:hAnsi="Times New Roman" w:cs="Times New Roman"/>
          <w:sz w:val="20"/>
          <w:szCs w:val="20"/>
          <w:lang w:val="en-GB"/>
        </w:rPr>
        <w:t xml:space="preserve">. All network links point backwards in time given that articles can only cite prior publications; longer </w:t>
      </w:r>
      <w:r w:rsidRPr="00A91FA7">
        <w:rPr>
          <w:rFonts w:ascii="Times New Roman" w:hAnsi="Times New Roman" w:cs="Times New Roman"/>
          <w:sz w:val="20"/>
          <w:szCs w:val="20"/>
          <w:lang w:val="en-GB"/>
        </w:rPr>
        <w:lastRenderedPageBreak/>
        <w:t>temporal periods give rise to denser networks. All nodes from the citation network covering the 1990-2018 timespan were represented in two-dimensional space with a force-directed drawing algorithm, where each node corresponds to a publication and the edges are cross-citation</w:t>
      </w:r>
      <w:r w:rsidR="00C95E42">
        <w:rPr>
          <w:rFonts w:ascii="Times New Roman" w:hAnsi="Times New Roman" w:cs="Times New Roman"/>
          <w:sz w:val="20"/>
          <w:szCs w:val="20"/>
          <w:lang w:val="en-GB"/>
        </w:rPr>
        <w:t xml:space="preserve"> [5]</w:t>
      </w:r>
      <w:r w:rsidRPr="00A91FA7">
        <w:rPr>
          <w:rFonts w:ascii="Times New Roman" w:hAnsi="Times New Roman" w:cs="Times New Roman"/>
          <w:sz w:val="20"/>
          <w:szCs w:val="20"/>
          <w:lang w:val="en-GB"/>
        </w:rPr>
        <w:t xml:space="preserve">. To limit bias due to citation identification based solely on the title, we repeated our analysis using the full text of all article abstracts. </w:t>
      </w:r>
      <w:r w:rsidR="00BB3050" w:rsidRPr="00A91FA7">
        <w:rPr>
          <w:rFonts w:ascii="Times New Roman" w:hAnsi="Times New Roman" w:cs="Times New Roman"/>
          <w:sz w:val="20"/>
          <w:szCs w:val="20"/>
          <w:lang w:val="en-GB"/>
        </w:rPr>
        <w:t>We used a force-directed algorithm as this does not require specific prior network knowledge. The positioning was established with a combination of attractive forces on adjacent nodes, and a general repulsive force on all nodes. The nodes were moved iteratively within the two-dimensional space to minimize the total energy. Consequently, network nodes with many connecting links cluster together, whereas nodes with no or few links move apart. Publications not conne</w:t>
      </w:r>
      <w:r w:rsidR="00AE5256" w:rsidRPr="00A91FA7">
        <w:rPr>
          <w:rFonts w:ascii="Times New Roman" w:hAnsi="Times New Roman" w:cs="Times New Roman"/>
          <w:sz w:val="20"/>
          <w:szCs w:val="20"/>
          <w:lang w:val="en-GB"/>
        </w:rPr>
        <w:t>cted to other publications (that is</w:t>
      </w:r>
      <w:r w:rsidR="00BB3050" w:rsidRPr="00A91FA7">
        <w:rPr>
          <w:rFonts w:ascii="Times New Roman" w:hAnsi="Times New Roman" w:cs="Times New Roman"/>
          <w:sz w:val="20"/>
          <w:szCs w:val="20"/>
          <w:lang w:val="en-GB"/>
        </w:rPr>
        <w:t>, not a single matching citation) were not visualized and excluded from the analyses.</w:t>
      </w:r>
    </w:p>
    <w:p w14:paraId="65330958" w14:textId="77777777" w:rsidR="00C85CF5" w:rsidRPr="00A91FA7" w:rsidRDefault="00C85CF5"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The citation network of papers published between 1990 and 2018 on delirium and encephalopathy is shown in Figure 2 (left). On visual inspection, the network was highly segregated, with a single cluster of delirium articles and several clusters of encephalopathy articles.</w:t>
      </w:r>
    </w:p>
    <w:p w14:paraId="5CD664A0" w14:textId="2C7A182E" w:rsidR="00C85CF5" w:rsidRPr="00A91FA7" w:rsidRDefault="00C85CF5"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To confirm the validity of this approach, a reference citation network was constructed for another disorder having terminological uncertainty, seizures and epilepsy, with restriction to the common subtype temporal lobe epilepsy. A reference citation network over the same time period of 10,175 papers with the term temporal lobe seizures in the title and 3,480 with epilepsy in the title is shown in Figure 2 (right). This network had a significantly higher proportion of between-group citations compared to the delirium-encephalopathy literature (13.04% versus 1.18%, P&lt;0.0001).</w:t>
      </w:r>
    </w:p>
    <w:p w14:paraId="62F3C0B3" w14:textId="77777777" w:rsidR="00A13437" w:rsidRPr="00A91FA7" w:rsidRDefault="003B45C6" w:rsidP="00D75A0C">
      <w:pPr>
        <w:widowControl w:val="0"/>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T</w:t>
      </w:r>
      <w:r w:rsidR="00497BFF" w:rsidRPr="00A91FA7">
        <w:rPr>
          <w:rFonts w:ascii="Times New Roman" w:hAnsi="Times New Roman" w:cs="Times New Roman"/>
          <w:sz w:val="20"/>
          <w:szCs w:val="20"/>
          <w:lang w:val="en-GB"/>
        </w:rPr>
        <w:t>o assess cross-citation of the delirium and encephalopathy literature, we</w:t>
      </w:r>
      <w:r w:rsidR="00BE6551" w:rsidRPr="00A91FA7">
        <w:rPr>
          <w:rFonts w:ascii="Times New Roman" w:hAnsi="Times New Roman" w:cs="Times New Roman"/>
          <w:sz w:val="20"/>
          <w:szCs w:val="20"/>
          <w:lang w:val="en-GB"/>
        </w:rPr>
        <w:t xml:space="preserve"> </w:t>
      </w:r>
      <w:r w:rsidR="00497BFF" w:rsidRPr="00A91FA7">
        <w:rPr>
          <w:rFonts w:ascii="Times New Roman" w:hAnsi="Times New Roman" w:cs="Times New Roman"/>
          <w:sz w:val="20"/>
          <w:szCs w:val="20"/>
          <w:lang w:val="en-GB"/>
        </w:rPr>
        <w:t>randomly sampled original, English-language, research articles evaluating ≥20 patients with delirium or encep</w:t>
      </w:r>
      <w:r w:rsidR="00BE6551" w:rsidRPr="00A91FA7">
        <w:rPr>
          <w:rFonts w:ascii="Times New Roman" w:hAnsi="Times New Roman" w:cs="Times New Roman"/>
          <w:sz w:val="20"/>
          <w:szCs w:val="20"/>
          <w:lang w:val="en-GB"/>
        </w:rPr>
        <w:t>halopathy in the title</w:t>
      </w:r>
      <w:r w:rsidR="00497BFF" w:rsidRPr="00A91FA7">
        <w:rPr>
          <w:rFonts w:ascii="Times New Roman" w:hAnsi="Times New Roman" w:cs="Times New Roman"/>
          <w:sz w:val="20"/>
          <w:szCs w:val="20"/>
          <w:lang w:val="en-GB"/>
        </w:rPr>
        <w:t>. Two hundred articles (100 delirium-titled and 100 encephalopathy-titled) were randomly selected from 5-year epochs starting in 1990 by dividing the total number of articles in each epoch by 40. For example, if 120 articles existed in an epoch, the text of every third article was reviewed.</w:t>
      </w:r>
    </w:p>
    <w:p w14:paraId="0E865383" w14:textId="134FE823" w:rsidR="00A13437" w:rsidRPr="00A91FA7" w:rsidRDefault="00AE0DED" w:rsidP="00D75A0C">
      <w:pPr>
        <w:widowControl w:val="0"/>
        <w:spacing w:line="480" w:lineRule="auto"/>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ab/>
      </w:r>
      <w:r w:rsidR="00A13437" w:rsidRPr="00A91FA7">
        <w:rPr>
          <w:rFonts w:ascii="Times New Roman" w:hAnsi="Times New Roman" w:cs="Times New Roman"/>
          <w:sz w:val="20"/>
          <w:szCs w:val="20"/>
          <w:lang w:val="en-GB"/>
        </w:rPr>
        <w:t xml:space="preserve">To generate </w:t>
      </w:r>
      <w:r w:rsidR="004C721A" w:rsidRPr="00A91FA7">
        <w:rPr>
          <w:rFonts w:ascii="Times New Roman" w:hAnsi="Times New Roman" w:cs="Times New Roman"/>
          <w:sz w:val="20"/>
          <w:szCs w:val="20"/>
          <w:lang w:val="en-GB"/>
        </w:rPr>
        <w:t xml:space="preserve">recommendations </w:t>
      </w:r>
      <w:r w:rsidR="00A13437" w:rsidRPr="00A91FA7">
        <w:rPr>
          <w:rFonts w:ascii="Times New Roman" w:hAnsi="Times New Roman" w:cs="Times New Roman"/>
          <w:sz w:val="20"/>
          <w:szCs w:val="20"/>
          <w:lang w:val="en-GB"/>
        </w:rPr>
        <w:t xml:space="preserve">on </w:t>
      </w:r>
      <w:r w:rsidR="004C721A" w:rsidRPr="00A91FA7">
        <w:rPr>
          <w:rFonts w:ascii="Times New Roman" w:hAnsi="Times New Roman" w:cs="Times New Roman"/>
          <w:sz w:val="20"/>
          <w:szCs w:val="20"/>
          <w:lang w:val="en-GB"/>
        </w:rPr>
        <w:t>the uniform use of the terms acute encephalopathy, coma, and delirium</w:t>
      </w:r>
      <w:r w:rsidR="00A13437" w:rsidRPr="00A91FA7">
        <w:rPr>
          <w:rFonts w:ascii="Times New Roman" w:hAnsi="Times New Roman" w:cs="Times New Roman"/>
          <w:sz w:val="20"/>
          <w:szCs w:val="20"/>
          <w:lang w:val="en-GB"/>
        </w:rPr>
        <w:t xml:space="preserve">, </w:t>
      </w:r>
      <w:r w:rsidR="004C721A" w:rsidRPr="00A91FA7">
        <w:rPr>
          <w:rFonts w:ascii="Times New Roman" w:hAnsi="Times New Roman" w:cs="Times New Roman"/>
          <w:sz w:val="20"/>
          <w:szCs w:val="20"/>
          <w:lang w:val="en-GB"/>
        </w:rPr>
        <w:t xml:space="preserve">and related terms, </w:t>
      </w:r>
      <w:r w:rsidR="00A13437" w:rsidRPr="00A91FA7">
        <w:rPr>
          <w:rFonts w:ascii="Times New Roman" w:hAnsi="Times New Roman" w:cs="Times New Roman"/>
          <w:sz w:val="20"/>
          <w:szCs w:val="20"/>
          <w:lang w:val="en-GB"/>
        </w:rPr>
        <w:t xml:space="preserve">an international, interdisciplinary panel of leading experts was assigned. Participants were selected based on their field of expertise, relevant publications, and leadership in relevant professional societies. These included the following authors: AJCS, RCA, JWD, TPB, JC, EWE, PWK, NL, AM, KJN, TS, AMJM, RDS. The Delphi process and all panel deliberations were coordinated by a steering committee (AJCS, RCA, AMJM, </w:t>
      </w:r>
      <w:proofErr w:type="gramStart"/>
      <w:r w:rsidR="00A13437" w:rsidRPr="00A91FA7">
        <w:rPr>
          <w:rFonts w:ascii="Times New Roman" w:hAnsi="Times New Roman" w:cs="Times New Roman"/>
          <w:sz w:val="20"/>
          <w:szCs w:val="20"/>
          <w:lang w:val="en-GB"/>
        </w:rPr>
        <w:t>RDS</w:t>
      </w:r>
      <w:proofErr w:type="gramEnd"/>
      <w:r w:rsidR="00A13437" w:rsidRPr="00A91FA7">
        <w:rPr>
          <w:rFonts w:ascii="Times New Roman" w:hAnsi="Times New Roman" w:cs="Times New Roman"/>
          <w:sz w:val="20"/>
          <w:szCs w:val="20"/>
          <w:lang w:val="en-GB"/>
        </w:rPr>
        <w:t>).</w:t>
      </w:r>
    </w:p>
    <w:p w14:paraId="523E89DA" w14:textId="3D84B94A" w:rsidR="00A13437" w:rsidRPr="00A91FA7" w:rsidRDefault="00A13437"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lastRenderedPageBreak/>
        <w:t>Consensus was established using the Delphi approach</w:t>
      </w:r>
      <w:r w:rsidR="00C95E42">
        <w:rPr>
          <w:rFonts w:ascii="Times New Roman" w:hAnsi="Times New Roman" w:cs="Times New Roman"/>
          <w:sz w:val="20"/>
          <w:szCs w:val="20"/>
          <w:lang w:val="en-GB"/>
        </w:rPr>
        <w:t xml:space="preserve"> [6</w:t>
      </w:r>
      <w:proofErr w:type="gramStart"/>
      <w:r w:rsidR="00C95E42">
        <w:rPr>
          <w:rFonts w:ascii="Times New Roman" w:hAnsi="Times New Roman" w:cs="Times New Roman"/>
          <w:sz w:val="20"/>
          <w:szCs w:val="20"/>
          <w:lang w:val="en-GB"/>
        </w:rPr>
        <w:t>,7</w:t>
      </w:r>
      <w:proofErr w:type="gramEnd"/>
      <w:r w:rsidR="00C95E42">
        <w:rPr>
          <w:rFonts w:ascii="Times New Roman" w:hAnsi="Times New Roman" w:cs="Times New Roman"/>
          <w:sz w:val="20"/>
          <w:szCs w:val="20"/>
          <w:lang w:val="en-GB"/>
        </w:rPr>
        <w:t>]</w:t>
      </w:r>
      <w:r w:rsidRPr="00A91FA7">
        <w:rPr>
          <w:rFonts w:ascii="Times New Roman" w:hAnsi="Times New Roman" w:cs="Times New Roman"/>
          <w:sz w:val="20"/>
          <w:szCs w:val="20"/>
          <w:lang w:val="en-GB"/>
        </w:rPr>
        <w:t xml:space="preserve"> and included the following features: a) recruitment of a panel of experts; b) iterative rounds of voting on key statements using web-based surveys; c) anonymity of the voting procedure; and d) provision of a summary of voting results after each round to enable participants to compare their responses to others before voting in the subsequent round. Recommendations were forged through discussion via e-mail and teleconferences. Based on preliminary discussions involving the entire panel, the steering committee drafted statements that were rated by all panel members on a five-point Likert scale (ranging from strongly disagree to strongly agree) using a web-based tool. Consensus was defined a priori as an 80% agreement between responding panel members with regard to a given statement. After each Delphi round, panellists received voting results as anonymized, summary group scores. Based on responses and comments from the entire panel during conference calls and follow up e-mails, statements were modified or eliminated prior to the next Delphi round. </w:t>
      </w:r>
    </w:p>
    <w:p w14:paraId="39DCE0CE" w14:textId="5F68B44E" w:rsidR="007A630E" w:rsidRPr="00A91FA7" w:rsidRDefault="00A13437" w:rsidP="00D75A0C">
      <w:pPr>
        <w:spacing w:line="480" w:lineRule="auto"/>
        <w:ind w:firstLine="708"/>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Consensus on the nomenclature of delirium, acute encephalopathy, and related terms was developed in </w:t>
      </w:r>
      <w:r w:rsidR="008A7181">
        <w:rPr>
          <w:rFonts w:ascii="Times New Roman" w:hAnsi="Times New Roman" w:cs="Times New Roman"/>
          <w:sz w:val="20"/>
          <w:szCs w:val="20"/>
          <w:lang w:val="en-GB"/>
        </w:rPr>
        <w:t xml:space="preserve">seven </w:t>
      </w:r>
      <w:r w:rsidRPr="00A91FA7">
        <w:rPr>
          <w:rFonts w:ascii="Times New Roman" w:hAnsi="Times New Roman" w:cs="Times New Roman"/>
          <w:sz w:val="20"/>
          <w:szCs w:val="20"/>
          <w:lang w:val="en-GB"/>
        </w:rPr>
        <w:t>Delphi rounds (each with a 100% response</w:t>
      </w:r>
      <w:r w:rsidR="008A7181">
        <w:rPr>
          <w:rFonts w:ascii="Times New Roman" w:hAnsi="Times New Roman" w:cs="Times New Roman"/>
          <w:sz w:val="20"/>
          <w:szCs w:val="20"/>
          <w:lang w:val="en-GB"/>
        </w:rPr>
        <w:t xml:space="preserve">, except for the </w:t>
      </w:r>
      <w:r w:rsidRPr="00A91FA7">
        <w:rPr>
          <w:rFonts w:ascii="Times New Roman" w:hAnsi="Times New Roman" w:cs="Times New Roman"/>
          <w:sz w:val="20"/>
          <w:szCs w:val="20"/>
          <w:lang w:val="en-GB"/>
        </w:rPr>
        <w:t>sixth round with a 92% response</w:t>
      </w:r>
      <w:r w:rsidR="008A7181">
        <w:rPr>
          <w:rFonts w:ascii="Times New Roman" w:hAnsi="Times New Roman" w:cs="Times New Roman"/>
          <w:sz w:val="20"/>
          <w:szCs w:val="20"/>
          <w:lang w:val="en-GB"/>
        </w:rPr>
        <w:t>)</w:t>
      </w:r>
      <w:r w:rsidRPr="00A91FA7">
        <w:rPr>
          <w:rFonts w:ascii="Times New Roman" w:hAnsi="Times New Roman" w:cs="Times New Roman"/>
          <w:sz w:val="20"/>
          <w:szCs w:val="20"/>
          <w:lang w:val="en-GB"/>
        </w:rPr>
        <w:t xml:space="preserve">. The consensus threshold of &gt;80% agreement was reached for </w:t>
      </w:r>
      <w:r w:rsidR="008A7181">
        <w:rPr>
          <w:rFonts w:ascii="Times New Roman" w:hAnsi="Times New Roman" w:cs="Times New Roman"/>
          <w:sz w:val="20"/>
          <w:szCs w:val="20"/>
          <w:lang w:val="en-GB"/>
        </w:rPr>
        <w:t xml:space="preserve">the </w:t>
      </w:r>
      <w:r w:rsidRPr="00A91FA7">
        <w:rPr>
          <w:rFonts w:ascii="Times New Roman" w:hAnsi="Times New Roman" w:cs="Times New Roman"/>
          <w:sz w:val="20"/>
          <w:szCs w:val="20"/>
          <w:lang w:val="en-GB"/>
        </w:rPr>
        <w:t xml:space="preserve">statements indicated in bold below, indicating a strong agreement among responding panel members. </w:t>
      </w:r>
    </w:p>
    <w:p w14:paraId="7D22A5CF" w14:textId="77777777" w:rsidR="007A630E" w:rsidRPr="00A91FA7" w:rsidRDefault="007A630E" w:rsidP="00D75A0C">
      <w:pPr>
        <w:spacing w:line="480" w:lineRule="auto"/>
        <w:contextualSpacing/>
        <w:rPr>
          <w:rFonts w:ascii="Times New Roman" w:hAnsi="Times New Roman" w:cs="Times New Roman"/>
          <w:sz w:val="20"/>
          <w:szCs w:val="20"/>
          <w:lang w:val="en-GB"/>
        </w:rPr>
      </w:pPr>
    </w:p>
    <w:p w14:paraId="1893EEEE" w14:textId="287923C6" w:rsidR="007A630E" w:rsidRPr="00A91FA7" w:rsidRDefault="007A630E" w:rsidP="00D75A0C">
      <w:pPr>
        <w:spacing w:line="480" w:lineRule="auto"/>
        <w:contextualSpacing/>
        <w:rPr>
          <w:rFonts w:ascii="Times New Roman" w:hAnsi="Times New Roman" w:cs="Times New Roman"/>
          <w:i/>
          <w:sz w:val="20"/>
          <w:szCs w:val="20"/>
          <w:lang w:val="en-GB"/>
        </w:rPr>
      </w:pPr>
      <w:r w:rsidRPr="00A91FA7">
        <w:rPr>
          <w:rFonts w:ascii="Times New Roman" w:hAnsi="Times New Roman" w:cs="Times New Roman"/>
          <w:i/>
          <w:sz w:val="20"/>
          <w:szCs w:val="20"/>
          <w:lang w:val="en-GB"/>
        </w:rPr>
        <w:t xml:space="preserve">Delphi round 1 </w:t>
      </w:r>
      <w:r w:rsidR="00DD4D8F" w:rsidRPr="00A91FA7">
        <w:rPr>
          <w:rFonts w:ascii="Times New Roman" w:hAnsi="Times New Roman" w:cs="Times New Roman"/>
          <w:i/>
          <w:sz w:val="20"/>
          <w:szCs w:val="20"/>
          <w:lang w:val="en-GB"/>
        </w:rPr>
        <w:t>(November 2016)</w:t>
      </w:r>
    </w:p>
    <w:p w14:paraId="39565CE1" w14:textId="3EF7B6CA" w:rsidR="007A630E" w:rsidRPr="00A91FA7" w:rsidRDefault="00DD4D8F"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Diagnostic criteria for acute encephalopathy are needed so that clinicians and researchers can agree on the meaning of this term and use it in a consistent fashion.</w:t>
      </w:r>
    </w:p>
    <w:p w14:paraId="799D48CF" w14:textId="402C36C7" w:rsidR="00DD4D8F" w:rsidRPr="00A91FA7" w:rsidRDefault="00DD4D8F"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 diagnostic criteria for delirium as articulated in the DSM-5 accurately describe this syndrome.</w:t>
      </w:r>
    </w:p>
    <w:p w14:paraId="4A5E1B47" w14:textId="7B3E507F" w:rsidR="00DD4D8F" w:rsidRPr="00A91FA7" w:rsidRDefault="00DD4D8F"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 terms delirium and acute encephalopathy have the same meaning and are interchangeable.</w:t>
      </w:r>
    </w:p>
    <w:p w14:paraId="591FBE08" w14:textId="20A32108" w:rsidR="00DD4D8F" w:rsidRPr="00A91FA7" w:rsidRDefault="00DD4D8F"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confusional state means the same as the term delirium.</w:t>
      </w:r>
    </w:p>
    <w:p w14:paraId="31AB0AA3" w14:textId="2D37045A" w:rsidR="00DD4D8F" w:rsidRPr="00A91FA7" w:rsidRDefault="00DD4D8F"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b/>
          <w:sz w:val="20"/>
          <w:szCs w:val="20"/>
          <w:lang w:val="en-GB"/>
        </w:rPr>
        <w:t>Acute encephalopathy refers to a spectrum of brain disorders whose expression may include delirium and coma</w:t>
      </w:r>
      <w:r w:rsidR="009223A5" w:rsidRPr="00A91FA7">
        <w:rPr>
          <w:rFonts w:ascii="Times New Roman" w:hAnsi="Times New Roman" w:cs="Times New Roman"/>
          <w:b/>
          <w:sz w:val="20"/>
          <w:szCs w:val="20"/>
          <w:lang w:val="en-GB"/>
        </w:rPr>
        <w:t>.</w:t>
      </w:r>
    </w:p>
    <w:p w14:paraId="380D9B15" w14:textId="32AEBF5F" w:rsidR="00DD4D8F"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 spectrum of acute encephalopathy encompasses additional clinical features such as stupor, obtundation, and lethargy.</w:t>
      </w:r>
    </w:p>
    <w:p w14:paraId="02C0C4F3" w14:textId="74F06EB5" w:rsidR="00DD4D8F"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There may be overlap between the clinical features of delirium and stupor, obtundation, or lethargy.</w:t>
      </w:r>
    </w:p>
    <w:p w14:paraId="7E96512D" w14:textId="46D415BB" w:rsidR="00DD4D8F" w:rsidRPr="00A91FA7" w:rsidRDefault="009223A5" w:rsidP="00D75A0C">
      <w:pPr>
        <w:pStyle w:val="ListParagraph"/>
        <w:widowControl w:val="0"/>
        <w:numPr>
          <w:ilvl w:val="0"/>
          <w:numId w:val="9"/>
        </w:numPr>
        <w:spacing w:line="480" w:lineRule="auto"/>
        <w:ind w:left="357" w:hanging="357"/>
        <w:rPr>
          <w:rFonts w:ascii="Times New Roman" w:hAnsi="Times New Roman" w:cs="Times New Roman"/>
          <w:sz w:val="20"/>
          <w:szCs w:val="20"/>
          <w:lang w:val="en-GB"/>
        </w:rPr>
      </w:pPr>
      <w:r w:rsidRPr="00A91FA7">
        <w:rPr>
          <w:rFonts w:ascii="Times New Roman" w:hAnsi="Times New Roman" w:cs="Times New Roman"/>
          <w:sz w:val="20"/>
          <w:szCs w:val="20"/>
          <w:lang w:val="en-GB"/>
        </w:rPr>
        <w:t>A patient with stupor cannot have delirium, because the level of arousal is too low. In other words, making a diagnosis of delirium requires a minimum level of arousal which is above the level of stupor.</w:t>
      </w:r>
    </w:p>
    <w:p w14:paraId="2E291CD1" w14:textId="51528A10" w:rsidR="00DD4D8F" w:rsidRPr="00A91FA7" w:rsidRDefault="009223A5" w:rsidP="00D75A0C">
      <w:pPr>
        <w:pStyle w:val="ListParagraph"/>
        <w:widowControl w:val="0"/>
        <w:numPr>
          <w:ilvl w:val="0"/>
          <w:numId w:val="9"/>
        </w:numPr>
        <w:spacing w:line="480" w:lineRule="auto"/>
        <w:ind w:left="357" w:hanging="357"/>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While they may have the same aetiology, delirium and coma are separate and mutually exclusive clinical </w:t>
      </w:r>
      <w:r w:rsidRPr="00A91FA7">
        <w:rPr>
          <w:rFonts w:ascii="Times New Roman" w:hAnsi="Times New Roman" w:cs="Times New Roman"/>
          <w:sz w:val="20"/>
          <w:szCs w:val="20"/>
          <w:lang w:val="en-GB"/>
        </w:rPr>
        <w:lastRenderedPageBreak/>
        <w:t>phenotypes. In other words a patient with delirium cannot be comatose, and a patient with coma cannot be delirious.</w:t>
      </w:r>
    </w:p>
    <w:p w14:paraId="018B4E69" w14:textId="205E9530" w:rsidR="00DD4D8F"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An acute encephalopathy should be defined in relation to one or several causal factors. Stated otherwise, acute encephalopathy is best used in association with a known or </w:t>
      </w:r>
      <w:r w:rsidR="00AE5256" w:rsidRPr="00A91FA7">
        <w:rPr>
          <w:rFonts w:ascii="Times New Roman" w:hAnsi="Times New Roman" w:cs="Times New Roman"/>
          <w:sz w:val="20"/>
          <w:szCs w:val="20"/>
          <w:lang w:val="en-GB"/>
        </w:rPr>
        <w:t>presumed etiologic process, for example</w:t>
      </w:r>
      <w:r w:rsidRPr="00A91FA7">
        <w:rPr>
          <w:rFonts w:ascii="Times New Roman" w:hAnsi="Times New Roman" w:cs="Times New Roman"/>
          <w:sz w:val="20"/>
          <w:szCs w:val="20"/>
          <w:lang w:val="en-GB"/>
        </w:rPr>
        <w:t xml:space="preserve"> septic encephalopathy, hypoxic-ischemic encephalopathy, posterior reversible encephalopathy syndrome.</w:t>
      </w:r>
    </w:p>
    <w:p w14:paraId="17493D0D" w14:textId="748320C6" w:rsidR="00DD4D8F"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encephalopathy may be used even when the causal factor is not known.</w:t>
      </w:r>
    </w:p>
    <w:p w14:paraId="48A4A78C" w14:textId="658D489C" w:rsidR="00DD4D8F"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While the DSM criteria state that there must be evidence of a causal mechanism, the term delirium may be used in the absence of a known aetiology.</w:t>
      </w:r>
    </w:p>
    <w:p w14:paraId="4FC251A1" w14:textId="78276C19" w:rsidR="009223A5"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encephalopathy is so broad that it may not be meaningful in the clinical or research setting.</w:t>
      </w:r>
    </w:p>
    <w:p w14:paraId="6FB7CF6C" w14:textId="1B6AFCB6" w:rsidR="00DD4D8F"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Acute encephalopathy encompasses alterations in mental status induced by pharmacologic agents.</w:t>
      </w:r>
    </w:p>
    <w:p w14:paraId="13815F92" w14:textId="726D8EE2" w:rsidR="009223A5"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Delirium associated with use of prolonged sedation can be of short duration and has a better prognosis than delirium caused by other conditions, but is still appropriately labelled as delirium.</w:t>
      </w:r>
    </w:p>
    <w:p w14:paraId="248E3709" w14:textId="084B090E" w:rsidR="009223A5" w:rsidRPr="00A91FA7" w:rsidRDefault="009223A5" w:rsidP="00D75A0C">
      <w:pPr>
        <w:pStyle w:val="ListParagraph"/>
        <w:numPr>
          <w:ilvl w:val="0"/>
          <w:numId w:val="9"/>
        </w:numPr>
        <w:spacing w:line="480" w:lineRule="auto"/>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Delirium can be diagnosed in acute neurological patients with ischemic stroke, subarachnoid </w:t>
      </w:r>
      <w:r w:rsidR="0096575F" w:rsidRPr="00A91FA7">
        <w:rPr>
          <w:rFonts w:ascii="Times New Roman" w:hAnsi="Times New Roman" w:cs="Times New Roman"/>
          <w:sz w:val="20"/>
          <w:szCs w:val="20"/>
          <w:lang w:val="en-GB"/>
        </w:rPr>
        <w:t>haemorrhage</w:t>
      </w:r>
      <w:r w:rsidRPr="00A91FA7">
        <w:rPr>
          <w:rFonts w:ascii="Times New Roman" w:hAnsi="Times New Roman" w:cs="Times New Roman"/>
          <w:sz w:val="20"/>
          <w:szCs w:val="20"/>
          <w:lang w:val="en-GB"/>
        </w:rPr>
        <w:t xml:space="preserve"> or traumatic brain injury, but further changes in attention, awareness and cognition should be evaluated taking into account the new basal status after brain injury.</w:t>
      </w:r>
    </w:p>
    <w:p w14:paraId="653C156A" w14:textId="77777777" w:rsidR="009223A5" w:rsidRPr="00A91FA7" w:rsidRDefault="009223A5" w:rsidP="00D75A0C">
      <w:pPr>
        <w:spacing w:line="480" w:lineRule="auto"/>
        <w:contextualSpacing/>
        <w:rPr>
          <w:rFonts w:ascii="Times New Roman" w:hAnsi="Times New Roman" w:cs="Times New Roman"/>
          <w:sz w:val="20"/>
          <w:szCs w:val="20"/>
          <w:lang w:val="en-GB"/>
        </w:rPr>
      </w:pPr>
    </w:p>
    <w:p w14:paraId="4221052F" w14:textId="17451607" w:rsidR="007A630E" w:rsidRPr="00A91FA7" w:rsidRDefault="007A630E" w:rsidP="00D75A0C">
      <w:pPr>
        <w:spacing w:line="480" w:lineRule="auto"/>
        <w:contextualSpacing/>
        <w:rPr>
          <w:rFonts w:ascii="Times New Roman" w:hAnsi="Times New Roman" w:cs="Times New Roman"/>
          <w:i/>
          <w:sz w:val="20"/>
          <w:szCs w:val="20"/>
          <w:lang w:val="en-GB"/>
        </w:rPr>
      </w:pPr>
      <w:r w:rsidRPr="00A91FA7">
        <w:rPr>
          <w:rFonts w:ascii="Times New Roman" w:hAnsi="Times New Roman" w:cs="Times New Roman"/>
          <w:i/>
          <w:sz w:val="20"/>
          <w:szCs w:val="20"/>
          <w:lang w:val="en-GB"/>
        </w:rPr>
        <w:t xml:space="preserve">Delphi round 2 </w:t>
      </w:r>
      <w:r w:rsidR="00210ED2" w:rsidRPr="00A91FA7">
        <w:rPr>
          <w:rFonts w:ascii="Times New Roman" w:hAnsi="Times New Roman" w:cs="Times New Roman"/>
          <w:i/>
          <w:sz w:val="20"/>
          <w:szCs w:val="20"/>
          <w:lang w:val="en-GB"/>
        </w:rPr>
        <w:t>(</w:t>
      </w:r>
      <w:r w:rsidR="00146AD6" w:rsidRPr="00A91FA7">
        <w:rPr>
          <w:rFonts w:ascii="Times New Roman" w:hAnsi="Times New Roman" w:cs="Times New Roman"/>
          <w:i/>
          <w:sz w:val="20"/>
          <w:szCs w:val="20"/>
          <w:lang w:val="en-GB"/>
        </w:rPr>
        <w:t xml:space="preserve">August </w:t>
      </w:r>
      <w:r w:rsidR="00210ED2" w:rsidRPr="00A91FA7">
        <w:rPr>
          <w:rFonts w:ascii="Times New Roman" w:hAnsi="Times New Roman" w:cs="Times New Roman"/>
          <w:i/>
          <w:sz w:val="20"/>
          <w:szCs w:val="20"/>
          <w:lang w:val="en-GB"/>
        </w:rPr>
        <w:t>2017)</w:t>
      </w:r>
    </w:p>
    <w:p w14:paraId="413602E6" w14:textId="17F6F3D0" w:rsidR="007A630E" w:rsidRPr="00A91FA7" w:rsidRDefault="00146AD6" w:rsidP="00D75A0C">
      <w:pPr>
        <w:pStyle w:val="ListParagraph"/>
        <w:numPr>
          <w:ilvl w:val="0"/>
          <w:numId w:val="11"/>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delirium refers to a clinical state due to a combination of symptoms as defined by DSM criteria.</w:t>
      </w:r>
    </w:p>
    <w:p w14:paraId="6FBEC364" w14:textId="77F43086" w:rsidR="00146AD6" w:rsidRPr="00A91FA7" w:rsidRDefault="00146AD6" w:rsidP="00D75A0C">
      <w:pPr>
        <w:pStyle w:val="ListParagraph"/>
        <w:numPr>
          <w:ilvl w:val="0"/>
          <w:numId w:val="11"/>
        </w:numPr>
        <w:spacing w:line="480" w:lineRule="auto"/>
        <w:ind w:left="360"/>
        <w:rPr>
          <w:rFonts w:ascii="Times New Roman" w:hAnsi="Times New Roman" w:cs="Times New Roman"/>
          <w:b/>
          <w:sz w:val="20"/>
          <w:szCs w:val="20"/>
          <w:lang w:val="en-GB"/>
        </w:rPr>
      </w:pPr>
      <w:r w:rsidRPr="00A91FA7">
        <w:rPr>
          <w:rFonts w:ascii="Times New Roman" w:hAnsi="Times New Roman" w:cs="Times New Roman"/>
          <w:b/>
          <w:sz w:val="20"/>
          <w:szCs w:val="20"/>
          <w:lang w:val="en-GB"/>
        </w:rPr>
        <w:t>The term encephalopathy refers to a pathobiological process of functional and/or structural brain abnormalities.</w:t>
      </w:r>
    </w:p>
    <w:p w14:paraId="045ACBE4" w14:textId="6DF68D32" w:rsidR="00146AD6" w:rsidRPr="00A91FA7" w:rsidRDefault="00146AD6" w:rsidP="00D75A0C">
      <w:pPr>
        <w:pStyle w:val="ListParagraph"/>
        <w:numPr>
          <w:ilvl w:val="0"/>
          <w:numId w:val="11"/>
        </w:numPr>
        <w:spacing w:line="480" w:lineRule="auto"/>
        <w:ind w:left="360"/>
        <w:rPr>
          <w:rFonts w:ascii="Times New Roman" w:hAnsi="Times New Roman" w:cs="Times New Roman"/>
          <w:b/>
          <w:sz w:val="20"/>
          <w:szCs w:val="20"/>
          <w:lang w:val="en-GB"/>
        </w:rPr>
      </w:pPr>
      <w:r w:rsidRPr="00A91FA7">
        <w:rPr>
          <w:rFonts w:ascii="Times New Roman" w:hAnsi="Times New Roman" w:cs="Times New Roman"/>
          <w:b/>
          <w:sz w:val="20"/>
          <w:szCs w:val="20"/>
          <w:lang w:val="en-GB"/>
        </w:rPr>
        <w:t>Acute encephalopathy can present as delirium, or in case of a severely decreased level of consciousness, as coma.</w:t>
      </w:r>
    </w:p>
    <w:p w14:paraId="2A4CA759" w14:textId="2693B592" w:rsidR="00146AD6" w:rsidRPr="00A91FA7" w:rsidRDefault="00146AD6" w:rsidP="00D75A0C">
      <w:pPr>
        <w:pStyle w:val="ListParagraph"/>
        <w:numPr>
          <w:ilvl w:val="0"/>
          <w:numId w:val="11"/>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Chronic encephalopathy presents mainly as chronic cognitive dysfunction.</w:t>
      </w:r>
    </w:p>
    <w:p w14:paraId="3EE6F9EE" w14:textId="0BA96601" w:rsidR="00146AD6" w:rsidRPr="00A91FA7" w:rsidRDefault="00146AD6" w:rsidP="00D75A0C">
      <w:pPr>
        <w:pStyle w:val="ListParagraph"/>
        <w:numPr>
          <w:ilvl w:val="0"/>
          <w:numId w:val="11"/>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encephalopathy is imprecise without further specification and should therefore not be used in isolation.</w:t>
      </w:r>
    </w:p>
    <w:p w14:paraId="5F900FDE" w14:textId="2ADB4827" w:rsidR="00146AD6" w:rsidRPr="00A91FA7" w:rsidRDefault="00146AD6" w:rsidP="00D75A0C">
      <w:pPr>
        <w:pStyle w:val="ListParagraph"/>
        <w:numPr>
          <w:ilvl w:val="0"/>
          <w:numId w:val="11"/>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encephalopathy should only be used in conjunction with a known or presumed si</w:t>
      </w:r>
      <w:r w:rsidR="002A5E64" w:rsidRPr="00A91FA7">
        <w:rPr>
          <w:rFonts w:ascii="Times New Roman" w:hAnsi="Times New Roman" w:cs="Times New Roman"/>
          <w:sz w:val="20"/>
          <w:szCs w:val="20"/>
          <w:lang w:val="en-GB"/>
        </w:rPr>
        <w:t xml:space="preserve">ngle </w:t>
      </w:r>
      <w:proofErr w:type="spellStart"/>
      <w:r w:rsidR="002A5E64" w:rsidRPr="00A91FA7">
        <w:rPr>
          <w:rFonts w:ascii="Times New Roman" w:hAnsi="Times New Roman" w:cs="Times New Roman"/>
          <w:sz w:val="20"/>
          <w:szCs w:val="20"/>
          <w:lang w:val="en-GB"/>
        </w:rPr>
        <w:t>etiopathogenic</w:t>
      </w:r>
      <w:proofErr w:type="spellEnd"/>
      <w:r w:rsidR="002A5E64" w:rsidRPr="00A91FA7">
        <w:rPr>
          <w:rFonts w:ascii="Times New Roman" w:hAnsi="Times New Roman" w:cs="Times New Roman"/>
          <w:sz w:val="20"/>
          <w:szCs w:val="20"/>
          <w:lang w:val="en-GB"/>
        </w:rPr>
        <w:t xml:space="preserve"> factor (for example</w:t>
      </w:r>
      <w:r w:rsidRPr="00A91FA7">
        <w:rPr>
          <w:rFonts w:ascii="Times New Roman" w:hAnsi="Times New Roman" w:cs="Times New Roman"/>
          <w:sz w:val="20"/>
          <w:szCs w:val="20"/>
          <w:lang w:val="en-GB"/>
        </w:rPr>
        <w:t xml:space="preserve"> epileptic encephalopathy or Hashimoto encephalopathy).</w:t>
      </w:r>
    </w:p>
    <w:p w14:paraId="34BD9EAD" w14:textId="551E3D98" w:rsidR="00146AD6" w:rsidRPr="00A91FA7" w:rsidRDefault="00146AD6" w:rsidP="00D75A0C">
      <w:pPr>
        <w:pStyle w:val="ListParagraph"/>
        <w:numPr>
          <w:ilvl w:val="0"/>
          <w:numId w:val="11"/>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In case of multiple po</w:t>
      </w:r>
      <w:r w:rsidR="002A5E64" w:rsidRPr="00A91FA7">
        <w:rPr>
          <w:rFonts w:ascii="Times New Roman" w:hAnsi="Times New Roman" w:cs="Times New Roman"/>
          <w:sz w:val="20"/>
          <w:szCs w:val="20"/>
          <w:lang w:val="en-GB"/>
        </w:rPr>
        <w:t xml:space="preserve">tential causative factors (for example </w:t>
      </w:r>
      <w:r w:rsidRPr="00A91FA7">
        <w:rPr>
          <w:rFonts w:ascii="Times New Roman" w:hAnsi="Times New Roman" w:cs="Times New Roman"/>
          <w:sz w:val="20"/>
          <w:szCs w:val="20"/>
          <w:lang w:val="en-GB"/>
        </w:rPr>
        <w:t>sepsis with multiple organ system failure and drug side-effects), or if the cause is unknown, the use of the term encephalopathy is discouraged. The descriptive non-interpretive terms delirium or coma.</w:t>
      </w:r>
    </w:p>
    <w:p w14:paraId="6A394233" w14:textId="3019A8B0" w:rsidR="007A630E" w:rsidRPr="00A91FA7" w:rsidRDefault="007A630E" w:rsidP="00D75A0C">
      <w:pPr>
        <w:spacing w:line="480" w:lineRule="auto"/>
        <w:contextualSpacing/>
        <w:rPr>
          <w:rFonts w:ascii="Times New Roman" w:hAnsi="Times New Roman" w:cs="Times New Roman"/>
          <w:i/>
          <w:sz w:val="20"/>
          <w:szCs w:val="20"/>
          <w:lang w:val="en-GB"/>
        </w:rPr>
      </w:pPr>
      <w:r w:rsidRPr="00A91FA7">
        <w:rPr>
          <w:rFonts w:ascii="Times New Roman" w:hAnsi="Times New Roman" w:cs="Times New Roman"/>
          <w:i/>
          <w:sz w:val="20"/>
          <w:szCs w:val="20"/>
          <w:lang w:val="en-GB"/>
        </w:rPr>
        <w:lastRenderedPageBreak/>
        <w:t xml:space="preserve">Delphi round 3 </w:t>
      </w:r>
      <w:r w:rsidR="00A72EEA" w:rsidRPr="00A91FA7">
        <w:rPr>
          <w:rFonts w:ascii="Times New Roman" w:hAnsi="Times New Roman" w:cs="Times New Roman"/>
          <w:i/>
          <w:sz w:val="20"/>
          <w:szCs w:val="20"/>
          <w:lang w:val="en-GB"/>
        </w:rPr>
        <w:t>(November 2017)</w:t>
      </w:r>
    </w:p>
    <w:p w14:paraId="37A9471E" w14:textId="0C1D629F"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The term delirium refers to a clinical state characterized by a combination of features defined by diagnostic sys</w:t>
      </w:r>
      <w:r w:rsidR="008D04A5" w:rsidRPr="00A91FA7">
        <w:rPr>
          <w:rFonts w:ascii="Times New Roman" w:hAnsi="Times New Roman" w:cs="Times New Roman"/>
          <w:b/>
          <w:sz w:val="20"/>
          <w:szCs w:val="20"/>
          <w:lang w:val="en-GB"/>
        </w:rPr>
        <w:t>tems such as the DSM-5</w:t>
      </w:r>
      <w:r w:rsidRPr="00A91FA7">
        <w:rPr>
          <w:rFonts w:ascii="Times New Roman" w:hAnsi="Times New Roman" w:cs="Times New Roman"/>
          <w:b/>
          <w:sz w:val="20"/>
          <w:szCs w:val="20"/>
          <w:lang w:val="en-GB"/>
        </w:rPr>
        <w:t>.</w:t>
      </w:r>
      <w:r w:rsidRPr="00A91FA7">
        <w:rPr>
          <w:rFonts w:ascii="Times New Roman" w:hAnsi="Times New Roman" w:cs="Times New Roman"/>
          <w:sz w:val="20"/>
          <w:szCs w:val="20"/>
          <w:lang w:val="en-GB"/>
        </w:rPr>
        <w:t xml:space="preserve"> </w:t>
      </w:r>
    </w:p>
    <w:p w14:paraId="2687019D" w14:textId="48E12CA8"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The term acute confusional state is synonymous with delirium. </w:t>
      </w:r>
    </w:p>
    <w:p w14:paraId="0725DA47" w14:textId="50273F6C"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The term altered mental status is synonymous with delirium. </w:t>
      </w:r>
    </w:p>
    <w:p w14:paraId="1D067AAC" w14:textId="00004D81"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is synonymous with delirium.</w:t>
      </w:r>
    </w:p>
    <w:p w14:paraId="4A7C7DAC" w14:textId="280BA718"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failure is synonymous with delirium.</w:t>
      </w:r>
    </w:p>
    <w:p w14:paraId="59D4933D" w14:textId="10940339"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delirium should be preferred over acute confusional state,</w:t>
      </w:r>
    </w:p>
    <w:p w14:paraId="4B21708A" w14:textId="7CF5EA08" w:rsidR="00A72EEA" w:rsidRPr="00A91FA7" w:rsidRDefault="00A72EEA" w:rsidP="00D75A0C">
      <w:pPr>
        <w:pStyle w:val="ListParagraph"/>
        <w:spacing w:line="480" w:lineRule="auto"/>
        <w:ind w:left="360"/>
        <w:rPr>
          <w:rFonts w:ascii="Times New Roman" w:hAnsi="Times New Roman" w:cs="Times New Roman"/>
          <w:sz w:val="20"/>
          <w:szCs w:val="20"/>
          <w:lang w:val="en-GB"/>
        </w:rPr>
      </w:pPr>
      <w:proofErr w:type="gramStart"/>
      <w:r w:rsidRPr="00A91FA7">
        <w:rPr>
          <w:rFonts w:ascii="Times New Roman" w:hAnsi="Times New Roman" w:cs="Times New Roman"/>
          <w:sz w:val="20"/>
          <w:szCs w:val="20"/>
          <w:lang w:val="en-GB"/>
        </w:rPr>
        <w:t>altered</w:t>
      </w:r>
      <w:proofErr w:type="gramEnd"/>
      <w:r w:rsidRPr="00A91FA7">
        <w:rPr>
          <w:rFonts w:ascii="Times New Roman" w:hAnsi="Times New Roman" w:cs="Times New Roman"/>
          <w:sz w:val="20"/>
          <w:szCs w:val="20"/>
          <w:lang w:val="en-GB"/>
        </w:rPr>
        <w:t xml:space="preserve"> mental status, acute brain dysfunction and acute brain failure to facilitate scientific and clinical communication.</w:t>
      </w:r>
    </w:p>
    <w:p w14:paraId="2BF98D0A" w14:textId="6FDFC8A7"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The term coma refers to a clinical state of severely depressed consciousness defined by diagnostic systems such as the GCS, FOUR score, or CRS-R.</w:t>
      </w:r>
    </w:p>
    <w:p w14:paraId="02FC5287" w14:textId="0F7CEA41"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 xml:space="preserve">The term acute encephalopathy refers to a rapidly developing (over less than 4 weeks, but usually hours to a few days) pathobiological process in the brain, which is associated with a predisposition, one or several triggering mechanisms, and functional and/or structural changes in the brain. </w:t>
      </w:r>
    </w:p>
    <w:p w14:paraId="27A17D09" w14:textId="46337869"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Acute encephalopathy can lead to a clinical presentation of delirium, or in case of a severely decreased level of consciousness, as coma.</w:t>
      </w:r>
    </w:p>
    <w:p w14:paraId="2397FE97" w14:textId="4880F3A8"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is synonymous with acute encephalopathy.</w:t>
      </w:r>
    </w:p>
    <w:p w14:paraId="619C7108" w14:textId="23E203B5" w:rsidR="00A72EEA"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failure is synonymous with acute encephalopathy.</w:t>
      </w:r>
    </w:p>
    <w:p w14:paraId="5019FF41" w14:textId="70E115F0" w:rsidR="007A630E" w:rsidRPr="00A91FA7" w:rsidRDefault="00A72EEA" w:rsidP="00D75A0C">
      <w:pPr>
        <w:pStyle w:val="ListParagraph"/>
        <w:numPr>
          <w:ilvl w:val="0"/>
          <w:numId w:val="13"/>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encephalopathy should be preferred over acute brain dysfunction or acute brain failure to facilitate scientific and clinical communication.</w:t>
      </w:r>
    </w:p>
    <w:p w14:paraId="63694572" w14:textId="77777777" w:rsidR="00A72EEA" w:rsidRPr="00A91FA7" w:rsidRDefault="00A72EEA" w:rsidP="00D75A0C">
      <w:pPr>
        <w:spacing w:line="480" w:lineRule="auto"/>
        <w:contextualSpacing/>
        <w:rPr>
          <w:rFonts w:ascii="Times New Roman" w:hAnsi="Times New Roman" w:cs="Times New Roman"/>
          <w:sz w:val="20"/>
          <w:szCs w:val="20"/>
          <w:lang w:val="en-GB"/>
        </w:rPr>
      </w:pPr>
    </w:p>
    <w:p w14:paraId="68E3A951" w14:textId="0F6EFE2C" w:rsidR="007A630E" w:rsidRPr="00A91FA7" w:rsidRDefault="007A630E" w:rsidP="00D75A0C">
      <w:pPr>
        <w:spacing w:line="480" w:lineRule="auto"/>
        <w:contextualSpacing/>
        <w:rPr>
          <w:rFonts w:ascii="Times New Roman" w:hAnsi="Times New Roman" w:cs="Times New Roman"/>
          <w:i/>
          <w:sz w:val="20"/>
          <w:szCs w:val="20"/>
          <w:lang w:val="en-GB"/>
        </w:rPr>
      </w:pPr>
      <w:r w:rsidRPr="00A91FA7">
        <w:rPr>
          <w:rFonts w:ascii="Times New Roman" w:hAnsi="Times New Roman" w:cs="Times New Roman"/>
          <w:i/>
          <w:sz w:val="20"/>
          <w:szCs w:val="20"/>
          <w:lang w:val="en-GB"/>
        </w:rPr>
        <w:t xml:space="preserve">Delphi round 4 </w:t>
      </w:r>
      <w:r w:rsidR="00A72EEA" w:rsidRPr="00A91FA7">
        <w:rPr>
          <w:rFonts w:ascii="Times New Roman" w:hAnsi="Times New Roman" w:cs="Times New Roman"/>
          <w:i/>
          <w:sz w:val="20"/>
          <w:szCs w:val="20"/>
          <w:lang w:val="en-GB"/>
        </w:rPr>
        <w:t>(April 2018)</w:t>
      </w:r>
    </w:p>
    <w:p w14:paraId="10624851" w14:textId="38FD9401" w:rsidR="007A630E"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confusional state is not synonymous with delirium and should not be used.</w:t>
      </w:r>
    </w:p>
    <w:p w14:paraId="1239E1CB" w14:textId="7777C706"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The term altered mental status is not synonymous with delirium and should not be used.</w:t>
      </w:r>
    </w:p>
    <w:p w14:paraId="17F268C7" w14:textId="2E9FBBE1"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is not synonymous with delirium and should not be used.</w:t>
      </w:r>
    </w:p>
    <w:p w14:paraId="69BAA56B" w14:textId="4E6B3D00"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The term acute brain failure is not synonymous with delirium and should not be used.</w:t>
      </w:r>
    </w:p>
    <w:p w14:paraId="0066CC4A" w14:textId="70DA51D6"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The term coma refers to a clinical state of severely depressed responsiveness defined by diagnostic systems such as the GCS, FOUR score, or CRS-R.</w:t>
      </w:r>
    </w:p>
    <w:p w14:paraId="5F65507D" w14:textId="601BADE5"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lastRenderedPageBreak/>
        <w:t>The term acute encephalopathy refers to a rapidly developing (over less than 4 weeks, but usually hours to a few days) pathobiological process in the brain.</w:t>
      </w:r>
    </w:p>
    <w:p w14:paraId="54F010F7" w14:textId="04DC793A"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is not synonymous with acute encephalopathy and should not be used.</w:t>
      </w:r>
    </w:p>
    <w:p w14:paraId="18C7AC39" w14:textId="7F6B794B" w:rsidR="00A72EEA" w:rsidRPr="00A91FA7" w:rsidRDefault="00A72EEA" w:rsidP="00D75A0C">
      <w:pPr>
        <w:pStyle w:val="ListParagraph"/>
        <w:numPr>
          <w:ilvl w:val="0"/>
          <w:numId w:val="15"/>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failure is not synonymous with acute encephalopathy and should not be used.</w:t>
      </w:r>
    </w:p>
    <w:p w14:paraId="3F26CE0A" w14:textId="77777777" w:rsidR="00A72EEA" w:rsidRPr="00A91FA7" w:rsidRDefault="00A72EEA" w:rsidP="00D75A0C">
      <w:pPr>
        <w:spacing w:line="480" w:lineRule="auto"/>
        <w:contextualSpacing/>
        <w:rPr>
          <w:rFonts w:ascii="Times New Roman" w:hAnsi="Times New Roman" w:cs="Times New Roman"/>
          <w:sz w:val="20"/>
          <w:szCs w:val="20"/>
          <w:lang w:val="en-GB"/>
        </w:rPr>
      </w:pPr>
    </w:p>
    <w:p w14:paraId="2FF288B8" w14:textId="088342F8" w:rsidR="007A630E" w:rsidRPr="00A91FA7" w:rsidRDefault="007A630E" w:rsidP="00D75A0C">
      <w:pPr>
        <w:spacing w:line="480" w:lineRule="auto"/>
        <w:contextualSpacing/>
        <w:rPr>
          <w:rFonts w:ascii="Times New Roman" w:hAnsi="Times New Roman" w:cs="Times New Roman"/>
          <w:i/>
          <w:sz w:val="20"/>
          <w:szCs w:val="20"/>
          <w:lang w:val="en-GB"/>
        </w:rPr>
      </w:pPr>
      <w:r w:rsidRPr="00A91FA7">
        <w:rPr>
          <w:rFonts w:ascii="Times New Roman" w:hAnsi="Times New Roman" w:cs="Times New Roman"/>
          <w:i/>
          <w:sz w:val="20"/>
          <w:szCs w:val="20"/>
          <w:lang w:val="en-GB"/>
        </w:rPr>
        <w:t xml:space="preserve">Delphi round 5 </w:t>
      </w:r>
      <w:r w:rsidR="00A72EEA" w:rsidRPr="00A91FA7">
        <w:rPr>
          <w:rFonts w:ascii="Times New Roman" w:hAnsi="Times New Roman" w:cs="Times New Roman"/>
          <w:i/>
          <w:sz w:val="20"/>
          <w:szCs w:val="20"/>
          <w:lang w:val="en-GB"/>
        </w:rPr>
        <w:t>(May 2018)</w:t>
      </w:r>
    </w:p>
    <w:p w14:paraId="6F951957" w14:textId="642F70F1"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confusional state is not synonymous with delirium.</w:t>
      </w:r>
    </w:p>
    <w:p w14:paraId="7726C6E4" w14:textId="372D0628"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confusional state should not be used.</w:t>
      </w:r>
    </w:p>
    <w:p w14:paraId="15F88332" w14:textId="462A5850"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b/>
          <w:sz w:val="20"/>
          <w:szCs w:val="20"/>
          <w:lang w:val="en-GB"/>
        </w:rPr>
        <w:t>The term acute brain dysfunction is not synonymous with delirium.</w:t>
      </w:r>
    </w:p>
    <w:p w14:paraId="79CDDF0A" w14:textId="20E7D11D"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should not be used.</w:t>
      </w:r>
    </w:p>
    <w:p w14:paraId="13BAE6A5" w14:textId="6CB3C09F"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is not synonymous with acute encephalopathy.</w:t>
      </w:r>
    </w:p>
    <w:p w14:paraId="69F28694" w14:textId="43682643"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dysfunction should not be used.</w:t>
      </w:r>
    </w:p>
    <w:p w14:paraId="6424B0ED" w14:textId="3A38F5C9" w:rsidR="007A630E" w:rsidRPr="00A91FA7" w:rsidRDefault="007A630E" w:rsidP="00D75A0C">
      <w:pPr>
        <w:pStyle w:val="ListParagraph"/>
        <w:numPr>
          <w:ilvl w:val="0"/>
          <w:numId w:val="17"/>
        </w:numPr>
        <w:spacing w:line="480" w:lineRule="auto"/>
        <w:ind w:left="360"/>
        <w:rPr>
          <w:rFonts w:ascii="Times New Roman" w:hAnsi="Times New Roman" w:cs="Times New Roman"/>
          <w:sz w:val="20"/>
          <w:szCs w:val="20"/>
          <w:lang w:val="en-GB"/>
        </w:rPr>
      </w:pPr>
      <w:r w:rsidRPr="00A91FA7">
        <w:rPr>
          <w:rFonts w:ascii="Times New Roman" w:hAnsi="Times New Roman" w:cs="Times New Roman"/>
          <w:sz w:val="20"/>
          <w:szCs w:val="20"/>
          <w:lang w:val="en-GB"/>
        </w:rPr>
        <w:t>The term acute brain failure is not synonymous with acute encephalopathy.</w:t>
      </w:r>
    </w:p>
    <w:p w14:paraId="6DBB8251" w14:textId="5480E323" w:rsidR="007A630E" w:rsidRPr="00A91FA7" w:rsidRDefault="007A630E" w:rsidP="00D75A0C">
      <w:pPr>
        <w:pStyle w:val="ListParagraph"/>
        <w:numPr>
          <w:ilvl w:val="0"/>
          <w:numId w:val="17"/>
        </w:numPr>
        <w:spacing w:line="480" w:lineRule="auto"/>
        <w:ind w:left="360"/>
        <w:rPr>
          <w:rFonts w:ascii="Times New Roman" w:hAnsi="Times New Roman" w:cs="Times New Roman"/>
          <w:b/>
          <w:sz w:val="20"/>
          <w:szCs w:val="20"/>
          <w:lang w:val="en-GB"/>
        </w:rPr>
      </w:pPr>
      <w:r w:rsidRPr="00A91FA7">
        <w:rPr>
          <w:rFonts w:ascii="Times New Roman" w:hAnsi="Times New Roman" w:cs="Times New Roman"/>
          <w:b/>
          <w:sz w:val="20"/>
          <w:szCs w:val="20"/>
          <w:lang w:val="en-GB"/>
        </w:rPr>
        <w:t>The term acute brain failure should not be used.</w:t>
      </w:r>
    </w:p>
    <w:p w14:paraId="78242B26" w14:textId="77777777" w:rsidR="00325655" w:rsidRPr="00A91FA7" w:rsidRDefault="00325655" w:rsidP="00D75A0C">
      <w:pPr>
        <w:spacing w:line="480" w:lineRule="auto"/>
        <w:contextualSpacing/>
        <w:rPr>
          <w:rFonts w:ascii="Times New Roman" w:hAnsi="Times New Roman" w:cs="Times New Roman"/>
          <w:sz w:val="20"/>
          <w:szCs w:val="20"/>
          <w:lang w:val="en-GB"/>
        </w:rPr>
      </w:pPr>
    </w:p>
    <w:p w14:paraId="610D1247" w14:textId="52C29F88" w:rsidR="007A630E" w:rsidRPr="00A91FA7" w:rsidRDefault="007A630E" w:rsidP="00D75A0C">
      <w:pPr>
        <w:widowControl w:val="0"/>
        <w:spacing w:line="480" w:lineRule="auto"/>
        <w:contextualSpacing/>
        <w:rPr>
          <w:rFonts w:ascii="Times New Roman" w:hAnsi="Times New Roman" w:cs="Times New Roman"/>
          <w:i/>
          <w:sz w:val="20"/>
          <w:szCs w:val="20"/>
          <w:lang w:val="en-GB"/>
        </w:rPr>
      </w:pPr>
      <w:r w:rsidRPr="00A91FA7">
        <w:rPr>
          <w:rFonts w:ascii="Times New Roman" w:hAnsi="Times New Roman" w:cs="Times New Roman"/>
          <w:i/>
          <w:sz w:val="20"/>
          <w:szCs w:val="20"/>
          <w:lang w:val="en-GB"/>
        </w:rPr>
        <w:t>Delphi round 6</w:t>
      </w:r>
      <w:r w:rsidR="00A72EEA" w:rsidRPr="00A91FA7">
        <w:rPr>
          <w:rFonts w:ascii="Times New Roman" w:hAnsi="Times New Roman" w:cs="Times New Roman"/>
          <w:i/>
          <w:sz w:val="20"/>
          <w:szCs w:val="20"/>
          <w:lang w:val="en-GB"/>
        </w:rPr>
        <w:t xml:space="preserve"> (June 2018)</w:t>
      </w:r>
    </w:p>
    <w:p w14:paraId="45E3C99E" w14:textId="4F30CF96" w:rsidR="007A630E" w:rsidRPr="00A91FA7" w:rsidRDefault="007A630E" w:rsidP="00D75A0C">
      <w:pPr>
        <w:pStyle w:val="ListParagraph"/>
        <w:widowControl w:val="0"/>
        <w:numPr>
          <w:ilvl w:val="0"/>
          <w:numId w:val="19"/>
        </w:numPr>
        <w:spacing w:line="480" w:lineRule="auto"/>
        <w:ind w:left="360"/>
        <w:rPr>
          <w:rFonts w:ascii="Times New Roman" w:hAnsi="Times New Roman" w:cs="Times New Roman"/>
          <w:b/>
          <w:sz w:val="20"/>
          <w:szCs w:val="20"/>
          <w:lang w:val="en-GB"/>
        </w:rPr>
      </w:pPr>
      <w:proofErr w:type="gramStart"/>
      <w:r w:rsidRPr="00A91FA7">
        <w:rPr>
          <w:rFonts w:ascii="Times New Roman" w:hAnsi="Times New Roman" w:cs="Times New Roman"/>
          <w:b/>
          <w:sz w:val="20"/>
          <w:szCs w:val="20"/>
          <w:lang w:val="en-GB"/>
        </w:rPr>
        <w:t>should</w:t>
      </w:r>
      <w:proofErr w:type="gramEnd"/>
      <w:r w:rsidRPr="00A91FA7">
        <w:rPr>
          <w:rFonts w:ascii="Times New Roman" w:hAnsi="Times New Roman" w:cs="Times New Roman"/>
          <w:b/>
          <w:sz w:val="20"/>
          <w:szCs w:val="20"/>
          <w:lang w:val="en-GB"/>
        </w:rPr>
        <w:t xml:space="preserve"> the term acute brain dysfunction be used in addition to the terms delirium and acute encephalopathy?</w:t>
      </w:r>
    </w:p>
    <w:p w14:paraId="4EBA9467" w14:textId="06D4A230" w:rsidR="007A630E" w:rsidRPr="00A91FA7" w:rsidRDefault="007A630E" w:rsidP="00D75A0C">
      <w:pPr>
        <w:pStyle w:val="ListParagraph"/>
        <w:widowControl w:val="0"/>
        <w:numPr>
          <w:ilvl w:val="0"/>
          <w:numId w:val="19"/>
        </w:numPr>
        <w:spacing w:line="480" w:lineRule="auto"/>
        <w:ind w:left="360"/>
        <w:rPr>
          <w:rFonts w:ascii="Times New Roman" w:hAnsi="Times New Roman" w:cs="Times New Roman"/>
          <w:sz w:val="20"/>
          <w:szCs w:val="20"/>
          <w:lang w:val="en-GB"/>
        </w:rPr>
      </w:pPr>
      <w:proofErr w:type="gramStart"/>
      <w:r w:rsidRPr="00A91FA7">
        <w:rPr>
          <w:rFonts w:ascii="Times New Roman" w:hAnsi="Times New Roman" w:cs="Times New Roman"/>
          <w:sz w:val="20"/>
          <w:szCs w:val="20"/>
          <w:lang w:val="en-GB"/>
        </w:rPr>
        <w:t>if</w:t>
      </w:r>
      <w:proofErr w:type="gramEnd"/>
      <w:r w:rsidRPr="00A91FA7">
        <w:rPr>
          <w:rFonts w:ascii="Times New Roman" w:hAnsi="Times New Roman" w:cs="Times New Roman"/>
          <w:sz w:val="20"/>
          <w:szCs w:val="20"/>
          <w:lang w:val="en-GB"/>
        </w:rPr>
        <w:t xml:space="preserve"> yes: what is in your view the definition of acute brain dysfunction?</w:t>
      </w:r>
    </w:p>
    <w:p w14:paraId="66DC23BC" w14:textId="60A26E5C" w:rsidR="007A630E" w:rsidRPr="00A91FA7" w:rsidRDefault="007A630E" w:rsidP="00D75A0C">
      <w:pPr>
        <w:pStyle w:val="ListParagraph"/>
        <w:numPr>
          <w:ilvl w:val="0"/>
          <w:numId w:val="19"/>
        </w:numPr>
        <w:spacing w:line="480" w:lineRule="auto"/>
        <w:ind w:left="360"/>
        <w:rPr>
          <w:rFonts w:ascii="Times New Roman" w:hAnsi="Times New Roman" w:cs="Times New Roman"/>
          <w:b/>
          <w:sz w:val="20"/>
          <w:szCs w:val="20"/>
          <w:lang w:val="en-GB"/>
        </w:rPr>
      </w:pPr>
      <w:proofErr w:type="gramStart"/>
      <w:r w:rsidRPr="00A91FA7">
        <w:rPr>
          <w:rFonts w:ascii="Times New Roman" w:hAnsi="Times New Roman" w:cs="Times New Roman"/>
          <w:b/>
          <w:sz w:val="20"/>
          <w:szCs w:val="20"/>
          <w:lang w:val="en-GB"/>
        </w:rPr>
        <w:t>should</w:t>
      </w:r>
      <w:proofErr w:type="gramEnd"/>
      <w:r w:rsidRPr="00A91FA7">
        <w:rPr>
          <w:rFonts w:ascii="Times New Roman" w:hAnsi="Times New Roman" w:cs="Times New Roman"/>
          <w:b/>
          <w:sz w:val="20"/>
          <w:szCs w:val="20"/>
          <w:lang w:val="en-GB"/>
        </w:rPr>
        <w:t xml:space="preserve"> the term acute confusional state be used in addition to the terms delirium and acute encephalopathy?</w:t>
      </w:r>
    </w:p>
    <w:p w14:paraId="19D75D3E" w14:textId="5B4EFF75" w:rsidR="00D75A0C" w:rsidRPr="00D75A0C" w:rsidRDefault="007A630E" w:rsidP="00D75A0C">
      <w:pPr>
        <w:pStyle w:val="ListParagraph"/>
        <w:numPr>
          <w:ilvl w:val="0"/>
          <w:numId w:val="19"/>
        </w:numPr>
        <w:spacing w:line="480" w:lineRule="auto"/>
        <w:ind w:left="360"/>
        <w:rPr>
          <w:rFonts w:ascii="Times New Roman" w:hAnsi="Times New Roman" w:cs="Times New Roman"/>
          <w:sz w:val="20"/>
          <w:szCs w:val="20"/>
          <w:lang w:val="en-GB"/>
        </w:rPr>
      </w:pPr>
      <w:proofErr w:type="gramStart"/>
      <w:r w:rsidRPr="00A91FA7">
        <w:rPr>
          <w:rFonts w:ascii="Times New Roman" w:hAnsi="Times New Roman" w:cs="Times New Roman"/>
          <w:sz w:val="20"/>
          <w:szCs w:val="20"/>
          <w:lang w:val="en-GB"/>
        </w:rPr>
        <w:t>if</w:t>
      </w:r>
      <w:proofErr w:type="gramEnd"/>
      <w:r w:rsidRPr="00A91FA7">
        <w:rPr>
          <w:rFonts w:ascii="Times New Roman" w:hAnsi="Times New Roman" w:cs="Times New Roman"/>
          <w:sz w:val="20"/>
          <w:szCs w:val="20"/>
          <w:lang w:val="en-GB"/>
        </w:rPr>
        <w:t xml:space="preserve"> yes: what is in your view the definition of acute confusional state? </w:t>
      </w:r>
      <w:r w:rsidR="00D75A0C" w:rsidRPr="00D75A0C">
        <w:rPr>
          <w:rFonts w:ascii="Times New Roman" w:hAnsi="Times New Roman" w:cs="Times New Roman"/>
          <w:i/>
          <w:sz w:val="20"/>
          <w:szCs w:val="20"/>
          <w:lang w:val="en-US"/>
        </w:rPr>
        <w:t xml:space="preserve"> </w:t>
      </w:r>
    </w:p>
    <w:p w14:paraId="530C9338" w14:textId="37FB6ABF" w:rsidR="00D5532E" w:rsidRDefault="00D5532E" w:rsidP="00D75A0C">
      <w:pPr>
        <w:spacing w:line="480" w:lineRule="auto"/>
        <w:contextualSpacing/>
        <w:rPr>
          <w:rFonts w:ascii="Times New Roman" w:hAnsi="Times New Roman" w:cs="Times New Roman"/>
          <w:sz w:val="20"/>
          <w:szCs w:val="20"/>
          <w:lang w:val="en-GB"/>
        </w:rPr>
      </w:pPr>
    </w:p>
    <w:p w14:paraId="433AFC20" w14:textId="26931E66" w:rsidR="00D5532E" w:rsidRDefault="00D5532E" w:rsidP="00D75A0C">
      <w:pPr>
        <w:spacing w:line="480" w:lineRule="auto"/>
        <w:contextualSpacing/>
        <w:rPr>
          <w:rFonts w:ascii="Times New Roman" w:hAnsi="Times New Roman" w:cs="Times New Roman"/>
          <w:i/>
          <w:iCs/>
          <w:sz w:val="20"/>
          <w:szCs w:val="20"/>
          <w:lang w:val="en-GB"/>
        </w:rPr>
      </w:pPr>
      <w:r w:rsidRPr="00D5532E">
        <w:rPr>
          <w:rFonts w:ascii="Times New Roman" w:hAnsi="Times New Roman" w:cs="Times New Roman"/>
          <w:i/>
          <w:iCs/>
          <w:sz w:val="20"/>
          <w:szCs w:val="20"/>
          <w:lang w:val="en-GB"/>
        </w:rPr>
        <w:t xml:space="preserve">Delphi round </w:t>
      </w:r>
      <w:r>
        <w:rPr>
          <w:rFonts w:ascii="Times New Roman" w:hAnsi="Times New Roman" w:cs="Times New Roman"/>
          <w:i/>
          <w:iCs/>
          <w:sz w:val="20"/>
          <w:szCs w:val="20"/>
          <w:lang w:val="en-GB"/>
        </w:rPr>
        <w:t>7</w:t>
      </w:r>
      <w:r w:rsidRPr="00D5532E">
        <w:rPr>
          <w:rFonts w:ascii="Times New Roman" w:hAnsi="Times New Roman" w:cs="Times New Roman"/>
          <w:i/>
          <w:iCs/>
          <w:sz w:val="20"/>
          <w:szCs w:val="20"/>
          <w:lang w:val="en-GB"/>
        </w:rPr>
        <w:t xml:space="preserve"> (</w:t>
      </w:r>
      <w:r w:rsidR="00CE5BE1">
        <w:rPr>
          <w:rFonts w:ascii="Times New Roman" w:hAnsi="Times New Roman" w:cs="Times New Roman"/>
          <w:i/>
          <w:iCs/>
          <w:sz w:val="20"/>
          <w:szCs w:val="20"/>
          <w:lang w:val="en-GB"/>
        </w:rPr>
        <w:t xml:space="preserve">December </w:t>
      </w:r>
      <w:r w:rsidRPr="00D5532E">
        <w:rPr>
          <w:rFonts w:ascii="Times New Roman" w:hAnsi="Times New Roman" w:cs="Times New Roman"/>
          <w:i/>
          <w:iCs/>
          <w:sz w:val="20"/>
          <w:szCs w:val="20"/>
          <w:lang w:val="en-GB"/>
        </w:rPr>
        <w:t>201</w:t>
      </w:r>
      <w:r>
        <w:rPr>
          <w:rFonts w:ascii="Times New Roman" w:hAnsi="Times New Roman" w:cs="Times New Roman"/>
          <w:i/>
          <w:iCs/>
          <w:sz w:val="20"/>
          <w:szCs w:val="20"/>
          <w:lang w:val="en-GB"/>
        </w:rPr>
        <w:t>9</w:t>
      </w:r>
      <w:r w:rsidRPr="00D5532E">
        <w:rPr>
          <w:rFonts w:ascii="Times New Roman" w:hAnsi="Times New Roman" w:cs="Times New Roman"/>
          <w:i/>
          <w:iCs/>
          <w:sz w:val="20"/>
          <w:szCs w:val="20"/>
          <w:lang w:val="en-GB"/>
        </w:rPr>
        <w:t>)</w:t>
      </w:r>
    </w:p>
    <w:p w14:paraId="1F70329A" w14:textId="4F941AD0" w:rsidR="00D5532E" w:rsidRPr="00CE5BE1" w:rsidRDefault="00D75A0C" w:rsidP="00D75A0C">
      <w:pPr>
        <w:spacing w:line="480" w:lineRule="auto"/>
        <w:ind w:left="426" w:hanging="426"/>
        <w:contextualSpacing/>
        <w:rPr>
          <w:rFonts w:ascii="Times New Roman" w:hAnsi="Times New Roman" w:cs="Times New Roman"/>
          <w:sz w:val="20"/>
          <w:szCs w:val="20"/>
          <w:lang w:val="en-GB"/>
        </w:rPr>
      </w:pPr>
      <w:r w:rsidRPr="00CE5BE1">
        <w:rPr>
          <w:rFonts w:ascii="Times New Roman" w:hAnsi="Times New Roman" w:cs="Times New Roman"/>
          <w:sz w:val="20"/>
          <w:szCs w:val="20"/>
          <w:lang w:val="en-GB"/>
        </w:rPr>
        <w:t>1.</w:t>
      </w:r>
      <w:r w:rsidRPr="00CE5BE1">
        <w:rPr>
          <w:rFonts w:ascii="Times New Roman" w:hAnsi="Times New Roman" w:cs="Times New Roman"/>
          <w:sz w:val="20"/>
          <w:szCs w:val="20"/>
          <w:lang w:val="en-GB"/>
        </w:rPr>
        <w:tab/>
      </w:r>
      <w:r w:rsidRPr="00CE5BE1">
        <w:rPr>
          <w:rFonts w:ascii="Times New Roman" w:hAnsi="Times New Roman" w:cs="Times New Roman"/>
          <w:b/>
          <w:bCs/>
          <w:sz w:val="20"/>
          <w:szCs w:val="20"/>
          <w:lang w:val="en-GB"/>
        </w:rPr>
        <w:t>Acute encephalopathy can lead to a clinical presentation of subsyndromal delirium, delirium, or in case of a severely decreased level of consciousness, coma.</w:t>
      </w:r>
    </w:p>
    <w:p w14:paraId="0B114ACF" w14:textId="794BCA3B" w:rsidR="0086355C" w:rsidRPr="00CE5BE1" w:rsidRDefault="00D75A0C" w:rsidP="00D75A0C">
      <w:pPr>
        <w:spacing w:line="480" w:lineRule="auto"/>
        <w:ind w:left="426" w:hanging="426"/>
        <w:contextualSpacing/>
        <w:rPr>
          <w:rFonts w:ascii="Times New Roman" w:hAnsi="Times New Roman" w:cs="Times New Roman"/>
          <w:sz w:val="20"/>
          <w:szCs w:val="20"/>
          <w:lang w:val="en-GB"/>
        </w:rPr>
      </w:pPr>
      <w:r w:rsidRPr="00CE5BE1">
        <w:rPr>
          <w:rFonts w:ascii="Times New Roman" w:hAnsi="Times New Roman" w:cs="Times New Roman"/>
          <w:sz w:val="20"/>
          <w:szCs w:val="20"/>
          <w:lang w:val="en-GB"/>
        </w:rPr>
        <w:t>2.</w:t>
      </w:r>
      <w:r w:rsidRPr="00CE5BE1">
        <w:rPr>
          <w:rFonts w:ascii="Times New Roman" w:hAnsi="Times New Roman" w:cs="Times New Roman"/>
          <w:sz w:val="20"/>
          <w:szCs w:val="20"/>
          <w:lang w:val="en-GB"/>
        </w:rPr>
        <w:tab/>
      </w:r>
      <w:r w:rsidRPr="00CE5BE1">
        <w:rPr>
          <w:rFonts w:ascii="Times New Roman" w:hAnsi="Times New Roman" w:cs="Times New Roman"/>
          <w:b/>
          <w:bCs/>
          <w:sz w:val="20"/>
          <w:szCs w:val="20"/>
          <w:lang w:val="en-GB"/>
        </w:rPr>
        <w:t>The clinical presentation of acute encephalopathy (i.e. subsyndromal delirium, delirium, or coma) represents a change from baseline cognitive status.</w:t>
      </w:r>
      <w:r w:rsidRPr="00CE5BE1">
        <w:rPr>
          <w:rFonts w:ascii="Times New Roman" w:hAnsi="Times New Roman" w:cs="Times New Roman"/>
          <w:sz w:val="20"/>
          <w:szCs w:val="20"/>
          <w:lang w:val="en-GB"/>
        </w:rPr>
        <w:t xml:space="preserve"> </w:t>
      </w:r>
    </w:p>
    <w:p w14:paraId="01097E80" w14:textId="038ADC91" w:rsidR="0021209C" w:rsidRDefault="00AE0DED" w:rsidP="00D75A0C">
      <w:pPr>
        <w:spacing w:line="480" w:lineRule="auto"/>
        <w:contextualSpacing/>
        <w:rPr>
          <w:rFonts w:ascii="Times New Roman" w:hAnsi="Times New Roman" w:cs="Times New Roman"/>
          <w:sz w:val="20"/>
          <w:szCs w:val="20"/>
          <w:lang w:val="en-GB"/>
        </w:rPr>
      </w:pPr>
      <w:r w:rsidRPr="00A91FA7">
        <w:rPr>
          <w:rFonts w:ascii="Times New Roman" w:hAnsi="Times New Roman" w:cs="Times New Roman"/>
          <w:sz w:val="20"/>
          <w:szCs w:val="20"/>
          <w:lang w:val="en-GB"/>
        </w:rPr>
        <w:lastRenderedPageBreak/>
        <w:t xml:space="preserve">This work has several strengths. The evaluation of the literature on delirium and encephalopathy was comprehensive and based on state-of-the-art network analysis. The Delphi approach used to reach consensus was carried out rigorously in accordance with current recommendations, and it effectively leveraged collective input from a highly interdisciplinary international panel of experts in the field. On the other hand, several limitations need to be acknowledged. First, the literature search was conducted exclusively using the PubMed database to facilitate a network analysis on citations of the delirium and encephalopathy literature and it is possible that we may have missed relevant citations not captured by PubMed. The robustness of our observations, however, makes it unlikely that extending the search to other databases would have changed our findings. Second, the main search was restricted to titles alone. A number of articles dealing with delirium, acute encephalopathy or related terms, but lacking any of these terms in the title, may therefore have been excluded. Third, for technical reasons, we had to exclude publications with both delirium and encephalopathy in the title, and this could have biased our results. It should be noted, however, that the number of excluded articles (13/18,865; 0.07%) was very small relative to the total number of delirium- or encephalopathy-titled articles, and the impact of this exclusion is therefore negligible. Fourth, </w:t>
      </w:r>
      <w:r w:rsidRPr="00431B46">
        <w:rPr>
          <w:rFonts w:ascii="Times New Roman" w:hAnsi="Times New Roman" w:cs="Times New Roman"/>
          <w:strike/>
          <w:sz w:val="20"/>
          <w:szCs w:val="20"/>
          <w:lang w:val="en-GB"/>
        </w:rPr>
        <w:t>we focused on acute encephalopathy. Almost all articles on ‘acute encephalopathy’ use the term ‘encephalopathy’ in isolation, therefore it is possible that segregation of the literature could be driven, in part, by the inclusion of articles on chronic encephalopathy. Fifth,</w:t>
      </w:r>
      <w:r w:rsidRPr="00A91FA7">
        <w:rPr>
          <w:rFonts w:ascii="Times New Roman" w:hAnsi="Times New Roman" w:cs="Times New Roman"/>
          <w:sz w:val="20"/>
          <w:szCs w:val="20"/>
          <w:lang w:val="en-GB"/>
        </w:rPr>
        <w:t xml:space="preserve"> although we worked to establish a truly interdisciplinary panel with representation from key specialties, some disciplines, such as nursing and psychology, were not included. </w:t>
      </w:r>
      <w:bookmarkStart w:id="1" w:name="_Hlk25830783"/>
      <w:bookmarkStart w:id="2" w:name="_Hlk25830751"/>
      <w:r w:rsidR="0021209C" w:rsidRPr="0021209C">
        <w:rPr>
          <w:rFonts w:ascii="Times New Roman" w:hAnsi="Times New Roman" w:cs="Times New Roman"/>
          <w:sz w:val="20"/>
          <w:szCs w:val="20"/>
          <w:u w:val="single"/>
          <w:lang w:val="en-GB"/>
        </w:rPr>
        <w:t>Alternative compositions of the expert panel, such as inclusion of members from low and middle income countries, might have yielded different results</w:t>
      </w:r>
      <w:r w:rsidR="0021209C" w:rsidRPr="0021209C">
        <w:rPr>
          <w:rFonts w:ascii="Times New Roman" w:hAnsi="Times New Roman" w:cs="Times New Roman"/>
          <w:sz w:val="20"/>
          <w:szCs w:val="20"/>
          <w:lang w:val="en-GB"/>
        </w:rPr>
        <w:t>.</w:t>
      </w:r>
    </w:p>
    <w:p w14:paraId="05B272FB" w14:textId="00D048E7" w:rsidR="0021209C" w:rsidRDefault="0021209C" w:rsidP="00D75A0C">
      <w:pPr>
        <w:spacing w:line="480" w:lineRule="auto"/>
        <w:contextualSpacing/>
        <w:rPr>
          <w:rFonts w:ascii="Times New Roman" w:hAnsi="Times New Roman" w:cs="Times New Roman"/>
          <w:sz w:val="20"/>
          <w:szCs w:val="20"/>
          <w:lang w:val="en-GB"/>
        </w:rPr>
      </w:pPr>
    </w:p>
    <w:bookmarkEnd w:id="1"/>
    <w:bookmarkEnd w:id="2"/>
    <w:p w14:paraId="7E5C970C" w14:textId="75BAEAA2" w:rsidR="00AE0DED" w:rsidRPr="00A91FA7" w:rsidRDefault="00AE0DED" w:rsidP="00D75A0C">
      <w:pPr>
        <w:spacing w:line="480" w:lineRule="auto"/>
        <w:contextualSpacing/>
        <w:rPr>
          <w:rFonts w:ascii="Times New Roman" w:hAnsi="Times New Roman" w:cs="Times New Roman"/>
          <w:sz w:val="20"/>
          <w:szCs w:val="20"/>
          <w:lang w:val="en-GB"/>
        </w:rPr>
      </w:pPr>
    </w:p>
    <w:p w14:paraId="6009ACAB" w14:textId="77777777" w:rsidR="00AE0DED" w:rsidRPr="00A91FA7" w:rsidRDefault="00AE0DED" w:rsidP="00D75A0C">
      <w:pPr>
        <w:spacing w:line="480" w:lineRule="auto"/>
        <w:contextualSpacing/>
        <w:rPr>
          <w:rFonts w:ascii="Times New Roman" w:hAnsi="Times New Roman" w:cs="Times New Roman"/>
          <w:sz w:val="20"/>
          <w:szCs w:val="20"/>
          <w:lang w:val="en-GB"/>
        </w:rPr>
      </w:pPr>
    </w:p>
    <w:p w14:paraId="6E31F8BB" w14:textId="7790A044" w:rsidR="006469B2" w:rsidRDefault="006469B2" w:rsidP="00D75A0C">
      <w:pPr>
        <w:spacing w:line="480" w:lineRule="auto"/>
        <w:contextualSpacing/>
        <w:rPr>
          <w:rFonts w:ascii="Times New Roman" w:hAnsi="Times New Roman" w:cs="Times New Roman"/>
          <w:sz w:val="20"/>
          <w:szCs w:val="20"/>
          <w:lang w:val="en-GB"/>
        </w:rPr>
      </w:pPr>
      <w:r>
        <w:rPr>
          <w:rFonts w:ascii="Times New Roman" w:hAnsi="Times New Roman" w:cs="Times New Roman"/>
          <w:sz w:val="20"/>
          <w:szCs w:val="20"/>
          <w:lang w:val="en-GB"/>
        </w:rPr>
        <w:br w:type="page"/>
      </w:r>
    </w:p>
    <w:p w14:paraId="70526E71" w14:textId="77777777" w:rsidR="006469B2" w:rsidRPr="002A54F5" w:rsidRDefault="006469B2" w:rsidP="00D75A0C">
      <w:pPr>
        <w:spacing w:line="480" w:lineRule="auto"/>
        <w:contextualSpacing/>
        <w:rPr>
          <w:rFonts w:ascii="Times New Roman" w:hAnsi="Times New Roman" w:cs="Times New Roman"/>
          <w:b/>
          <w:sz w:val="20"/>
          <w:szCs w:val="20"/>
          <w:lang w:val="en-GB"/>
        </w:rPr>
      </w:pPr>
      <w:r w:rsidRPr="00A91FA7">
        <w:rPr>
          <w:rFonts w:ascii="Times New Roman" w:hAnsi="Times New Roman" w:cs="Times New Roman"/>
          <w:b/>
          <w:sz w:val="20"/>
          <w:szCs w:val="20"/>
          <w:lang w:val="en-GB"/>
        </w:rPr>
        <w:lastRenderedPageBreak/>
        <w:t>Supplementary references</w:t>
      </w:r>
    </w:p>
    <w:p w14:paraId="2563D465"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2A54F5">
        <w:rPr>
          <w:rFonts w:ascii="Times New Roman" w:hAnsi="Times New Roman" w:cs="Times New Roman"/>
          <w:sz w:val="20"/>
          <w:szCs w:val="20"/>
          <w:lang w:val="en-GB"/>
        </w:rPr>
        <w:t>1.</w:t>
      </w:r>
      <w:r w:rsidRPr="002A54F5">
        <w:rPr>
          <w:rFonts w:ascii="Times New Roman" w:hAnsi="Times New Roman" w:cs="Times New Roman"/>
          <w:sz w:val="20"/>
          <w:szCs w:val="20"/>
          <w:lang w:val="en-GB"/>
        </w:rPr>
        <w:tab/>
        <w:t>NCBI Resource Coordinators</w:t>
      </w:r>
      <w:r>
        <w:rPr>
          <w:rFonts w:ascii="Times New Roman" w:hAnsi="Times New Roman" w:cs="Times New Roman"/>
          <w:sz w:val="20"/>
          <w:szCs w:val="20"/>
          <w:lang w:val="en-GB"/>
        </w:rPr>
        <w:t xml:space="preserve"> (2016)</w:t>
      </w:r>
      <w:r w:rsidRPr="002A54F5">
        <w:rPr>
          <w:rFonts w:ascii="Times New Roman" w:hAnsi="Times New Roman" w:cs="Times New Roman"/>
          <w:sz w:val="20"/>
          <w:szCs w:val="20"/>
          <w:lang w:val="en-GB"/>
        </w:rPr>
        <w:t xml:space="preserve"> Database resources of the National </w:t>
      </w:r>
      <w:proofErr w:type="spellStart"/>
      <w:r w:rsidRPr="002A54F5">
        <w:rPr>
          <w:rFonts w:ascii="Times New Roman" w:hAnsi="Times New Roman" w:cs="Times New Roman"/>
          <w:sz w:val="20"/>
          <w:szCs w:val="20"/>
          <w:lang w:val="en-GB"/>
        </w:rPr>
        <w:t>Center</w:t>
      </w:r>
      <w:proofErr w:type="spellEnd"/>
      <w:r w:rsidRPr="002A54F5">
        <w:rPr>
          <w:rFonts w:ascii="Times New Roman" w:hAnsi="Times New Roman" w:cs="Times New Roman"/>
          <w:sz w:val="20"/>
          <w:szCs w:val="20"/>
          <w:lang w:val="en-GB"/>
        </w:rPr>
        <w:t xml:space="preserve"> for Biotechnology Information. Nucleic Acids Res 44:D7-</w:t>
      </w:r>
      <w:r>
        <w:rPr>
          <w:rFonts w:ascii="Times New Roman" w:hAnsi="Times New Roman" w:cs="Times New Roman"/>
          <w:sz w:val="20"/>
          <w:szCs w:val="20"/>
          <w:lang w:val="en-GB"/>
        </w:rPr>
        <w:t>D</w:t>
      </w:r>
      <w:r w:rsidRPr="002A54F5">
        <w:rPr>
          <w:rFonts w:ascii="Times New Roman" w:hAnsi="Times New Roman" w:cs="Times New Roman"/>
          <w:sz w:val="20"/>
          <w:szCs w:val="20"/>
          <w:lang w:val="en-GB"/>
        </w:rPr>
        <w:t>19</w:t>
      </w:r>
    </w:p>
    <w:p w14:paraId="01D7FD8A"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2A54F5">
        <w:rPr>
          <w:rFonts w:ascii="Times New Roman" w:hAnsi="Times New Roman" w:cs="Times New Roman"/>
          <w:sz w:val="20"/>
          <w:szCs w:val="20"/>
          <w:lang w:val="en-GB"/>
        </w:rPr>
        <w:t>2.</w:t>
      </w:r>
      <w:r w:rsidRPr="002A54F5">
        <w:rPr>
          <w:rFonts w:ascii="Times New Roman" w:hAnsi="Times New Roman" w:cs="Times New Roman"/>
          <w:sz w:val="20"/>
          <w:szCs w:val="20"/>
          <w:lang w:val="en-GB"/>
        </w:rPr>
        <w:tab/>
        <w:t>Inouye SK, van Dyck CH, Alessi CA, et al</w:t>
      </w:r>
      <w:r>
        <w:rPr>
          <w:rFonts w:ascii="Times New Roman" w:hAnsi="Times New Roman" w:cs="Times New Roman"/>
          <w:sz w:val="20"/>
          <w:szCs w:val="20"/>
          <w:lang w:val="en-GB"/>
        </w:rPr>
        <w:t xml:space="preserve"> (1990)</w:t>
      </w:r>
      <w:r w:rsidRPr="002A54F5">
        <w:rPr>
          <w:rFonts w:ascii="Times New Roman" w:hAnsi="Times New Roman" w:cs="Times New Roman"/>
          <w:sz w:val="20"/>
          <w:szCs w:val="20"/>
          <w:lang w:val="en-GB"/>
        </w:rPr>
        <w:t xml:space="preserve"> Clarifying confusion: the confusion assessment method. A new method for detection of delirium. Ann Intern Med 113:941-</w:t>
      </w:r>
      <w:r>
        <w:rPr>
          <w:rFonts w:ascii="Times New Roman" w:hAnsi="Times New Roman" w:cs="Times New Roman"/>
          <w:sz w:val="20"/>
          <w:szCs w:val="20"/>
          <w:lang w:val="en-GB"/>
        </w:rPr>
        <w:t>94</w:t>
      </w:r>
      <w:r w:rsidRPr="002A54F5">
        <w:rPr>
          <w:rFonts w:ascii="Times New Roman" w:hAnsi="Times New Roman" w:cs="Times New Roman"/>
          <w:sz w:val="20"/>
          <w:szCs w:val="20"/>
          <w:lang w:val="en-GB"/>
        </w:rPr>
        <w:t>8.</w:t>
      </w:r>
    </w:p>
    <w:p w14:paraId="56263840"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F008E1">
        <w:rPr>
          <w:rFonts w:ascii="Times New Roman" w:hAnsi="Times New Roman" w:cs="Times New Roman"/>
          <w:sz w:val="20"/>
          <w:szCs w:val="20"/>
          <w:lang w:val="en-US"/>
        </w:rPr>
        <w:t>3.</w:t>
      </w:r>
      <w:r w:rsidRPr="00F008E1">
        <w:rPr>
          <w:rFonts w:ascii="Times New Roman" w:hAnsi="Times New Roman" w:cs="Times New Roman"/>
          <w:sz w:val="20"/>
          <w:szCs w:val="20"/>
          <w:lang w:val="en-US"/>
        </w:rPr>
        <w:tab/>
        <w:t xml:space="preserve">Sayers EW, Barrett T, Benson DA, et al (2011) </w:t>
      </w:r>
      <w:r w:rsidRPr="002A54F5">
        <w:rPr>
          <w:rFonts w:ascii="Times New Roman" w:hAnsi="Times New Roman" w:cs="Times New Roman"/>
          <w:sz w:val="20"/>
          <w:szCs w:val="20"/>
          <w:lang w:val="en-GB"/>
        </w:rPr>
        <w:t xml:space="preserve">Database resources of the National </w:t>
      </w:r>
      <w:proofErr w:type="spellStart"/>
      <w:r w:rsidRPr="002A54F5">
        <w:rPr>
          <w:rFonts w:ascii="Times New Roman" w:hAnsi="Times New Roman" w:cs="Times New Roman"/>
          <w:sz w:val="20"/>
          <w:szCs w:val="20"/>
          <w:lang w:val="en-GB"/>
        </w:rPr>
        <w:t>Center</w:t>
      </w:r>
      <w:proofErr w:type="spellEnd"/>
      <w:r w:rsidRPr="002A54F5">
        <w:rPr>
          <w:rFonts w:ascii="Times New Roman" w:hAnsi="Times New Roman" w:cs="Times New Roman"/>
          <w:sz w:val="20"/>
          <w:szCs w:val="20"/>
          <w:lang w:val="en-GB"/>
        </w:rPr>
        <w:t xml:space="preserve"> for Biotechnology Information. Nucleic Acids Res 39:D38-</w:t>
      </w:r>
      <w:r>
        <w:rPr>
          <w:rFonts w:ascii="Times New Roman" w:hAnsi="Times New Roman" w:cs="Times New Roman"/>
          <w:sz w:val="20"/>
          <w:szCs w:val="20"/>
          <w:lang w:val="en-GB"/>
        </w:rPr>
        <w:t>D</w:t>
      </w:r>
      <w:r w:rsidRPr="002A54F5">
        <w:rPr>
          <w:rFonts w:ascii="Times New Roman" w:hAnsi="Times New Roman" w:cs="Times New Roman"/>
          <w:sz w:val="20"/>
          <w:szCs w:val="20"/>
          <w:lang w:val="en-GB"/>
        </w:rPr>
        <w:t>51</w:t>
      </w:r>
    </w:p>
    <w:p w14:paraId="1348D409"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2A54F5">
        <w:rPr>
          <w:rFonts w:ascii="Times New Roman" w:hAnsi="Times New Roman" w:cs="Times New Roman"/>
          <w:sz w:val="20"/>
          <w:szCs w:val="20"/>
          <w:lang w:val="en-GB"/>
        </w:rPr>
        <w:t>4.</w:t>
      </w:r>
      <w:r w:rsidRPr="002A54F5">
        <w:rPr>
          <w:rFonts w:ascii="Times New Roman" w:hAnsi="Times New Roman" w:cs="Times New Roman"/>
          <w:sz w:val="20"/>
          <w:szCs w:val="20"/>
          <w:lang w:val="en-GB"/>
        </w:rPr>
        <w:tab/>
      </w:r>
      <w:proofErr w:type="spellStart"/>
      <w:r w:rsidRPr="002A54F5">
        <w:rPr>
          <w:rFonts w:ascii="Times New Roman" w:hAnsi="Times New Roman" w:cs="Times New Roman"/>
          <w:sz w:val="20"/>
          <w:szCs w:val="20"/>
          <w:lang w:val="en-GB"/>
        </w:rPr>
        <w:t>Fruchterman</w:t>
      </w:r>
      <w:proofErr w:type="spellEnd"/>
      <w:r w:rsidRPr="002A54F5">
        <w:rPr>
          <w:rFonts w:ascii="Times New Roman" w:hAnsi="Times New Roman" w:cs="Times New Roman"/>
          <w:sz w:val="20"/>
          <w:szCs w:val="20"/>
          <w:lang w:val="en-GB"/>
        </w:rPr>
        <w:t xml:space="preserve"> TM, </w:t>
      </w:r>
      <w:proofErr w:type="spellStart"/>
      <w:r w:rsidRPr="002A54F5">
        <w:rPr>
          <w:rFonts w:ascii="Times New Roman" w:hAnsi="Times New Roman" w:cs="Times New Roman"/>
          <w:sz w:val="20"/>
          <w:szCs w:val="20"/>
          <w:lang w:val="en-GB"/>
        </w:rPr>
        <w:t>Reingold</w:t>
      </w:r>
      <w:proofErr w:type="spellEnd"/>
      <w:r w:rsidRPr="002A54F5">
        <w:rPr>
          <w:rFonts w:ascii="Times New Roman" w:hAnsi="Times New Roman" w:cs="Times New Roman"/>
          <w:sz w:val="20"/>
          <w:szCs w:val="20"/>
          <w:lang w:val="en-GB"/>
        </w:rPr>
        <w:t xml:space="preserve"> EM</w:t>
      </w:r>
      <w:r>
        <w:rPr>
          <w:rFonts w:ascii="Times New Roman" w:hAnsi="Times New Roman" w:cs="Times New Roman"/>
          <w:sz w:val="20"/>
          <w:szCs w:val="20"/>
          <w:lang w:val="en-GB"/>
        </w:rPr>
        <w:t xml:space="preserve"> (1991)</w:t>
      </w:r>
      <w:r w:rsidRPr="002A54F5">
        <w:rPr>
          <w:rFonts w:ascii="Times New Roman" w:hAnsi="Times New Roman" w:cs="Times New Roman"/>
          <w:sz w:val="20"/>
          <w:szCs w:val="20"/>
          <w:lang w:val="en-GB"/>
        </w:rPr>
        <w:t xml:space="preserve"> Graph drawing by force‐directed placement. Software </w:t>
      </w:r>
      <w:proofErr w:type="spellStart"/>
      <w:r w:rsidRPr="002A54F5">
        <w:rPr>
          <w:rFonts w:ascii="Times New Roman" w:hAnsi="Times New Roman" w:cs="Times New Roman"/>
          <w:sz w:val="20"/>
          <w:szCs w:val="20"/>
          <w:lang w:val="en-GB"/>
        </w:rPr>
        <w:t>Pract</w:t>
      </w:r>
      <w:proofErr w:type="spellEnd"/>
      <w:r w:rsidRPr="002A54F5">
        <w:rPr>
          <w:rFonts w:ascii="Times New Roman" w:hAnsi="Times New Roman" w:cs="Times New Roman"/>
          <w:sz w:val="20"/>
          <w:szCs w:val="20"/>
          <w:lang w:val="en-GB"/>
        </w:rPr>
        <w:t xml:space="preserve"> </w:t>
      </w:r>
      <w:proofErr w:type="spellStart"/>
      <w:r w:rsidRPr="002A54F5">
        <w:rPr>
          <w:rFonts w:ascii="Times New Roman" w:hAnsi="Times New Roman" w:cs="Times New Roman"/>
          <w:sz w:val="20"/>
          <w:szCs w:val="20"/>
          <w:lang w:val="en-GB"/>
        </w:rPr>
        <w:t>Exp</w:t>
      </w:r>
      <w:proofErr w:type="spellEnd"/>
      <w:r w:rsidRPr="002A54F5">
        <w:rPr>
          <w:rFonts w:ascii="Times New Roman" w:hAnsi="Times New Roman" w:cs="Times New Roman"/>
          <w:sz w:val="20"/>
          <w:szCs w:val="20"/>
          <w:lang w:val="en-GB"/>
        </w:rPr>
        <w:t xml:space="preserve"> 21:1129-</w:t>
      </w:r>
      <w:r>
        <w:rPr>
          <w:rFonts w:ascii="Times New Roman" w:hAnsi="Times New Roman" w:cs="Times New Roman"/>
          <w:sz w:val="20"/>
          <w:szCs w:val="20"/>
          <w:lang w:val="en-GB"/>
        </w:rPr>
        <w:t>11</w:t>
      </w:r>
      <w:r w:rsidRPr="002A54F5">
        <w:rPr>
          <w:rFonts w:ascii="Times New Roman" w:hAnsi="Times New Roman" w:cs="Times New Roman"/>
          <w:sz w:val="20"/>
          <w:szCs w:val="20"/>
          <w:lang w:val="en-GB"/>
        </w:rPr>
        <w:t xml:space="preserve">64 </w:t>
      </w:r>
    </w:p>
    <w:p w14:paraId="6BFB0D25"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2A54F5">
        <w:rPr>
          <w:rFonts w:ascii="Times New Roman" w:hAnsi="Times New Roman" w:cs="Times New Roman"/>
          <w:sz w:val="20"/>
          <w:szCs w:val="20"/>
          <w:lang w:val="en-GB"/>
        </w:rPr>
        <w:t>5.</w:t>
      </w:r>
      <w:r w:rsidRPr="002A54F5">
        <w:rPr>
          <w:rFonts w:ascii="Times New Roman" w:hAnsi="Times New Roman" w:cs="Times New Roman"/>
          <w:sz w:val="20"/>
          <w:szCs w:val="20"/>
          <w:lang w:val="en-GB"/>
        </w:rPr>
        <w:tab/>
      </w:r>
      <w:proofErr w:type="spellStart"/>
      <w:r w:rsidRPr="002A54F5">
        <w:rPr>
          <w:rFonts w:ascii="Times New Roman" w:hAnsi="Times New Roman" w:cs="Times New Roman"/>
          <w:sz w:val="20"/>
          <w:szCs w:val="20"/>
          <w:lang w:val="en-GB"/>
        </w:rPr>
        <w:t>Otte</w:t>
      </w:r>
      <w:proofErr w:type="spellEnd"/>
      <w:r w:rsidRPr="002A54F5">
        <w:rPr>
          <w:rFonts w:ascii="Times New Roman" w:hAnsi="Times New Roman" w:cs="Times New Roman"/>
          <w:sz w:val="20"/>
          <w:szCs w:val="20"/>
          <w:lang w:val="en-GB"/>
        </w:rPr>
        <w:t xml:space="preserve"> </w:t>
      </w:r>
      <w:proofErr w:type="spellStart"/>
      <w:r w:rsidRPr="002A54F5">
        <w:rPr>
          <w:rFonts w:ascii="Times New Roman" w:hAnsi="Times New Roman" w:cs="Times New Roman"/>
          <w:sz w:val="20"/>
          <w:szCs w:val="20"/>
          <w:lang w:val="en-GB"/>
        </w:rPr>
        <w:t>WM</w:t>
      </w:r>
      <w:proofErr w:type="spellEnd"/>
      <w:r>
        <w:rPr>
          <w:rFonts w:ascii="Times New Roman" w:hAnsi="Times New Roman" w:cs="Times New Roman"/>
          <w:sz w:val="20"/>
          <w:szCs w:val="20"/>
          <w:lang w:val="en-GB"/>
        </w:rPr>
        <w:t xml:space="preserve"> (2018) </w:t>
      </w:r>
      <w:r w:rsidRPr="002A54F5">
        <w:rPr>
          <w:rFonts w:ascii="Times New Roman" w:hAnsi="Times New Roman" w:cs="Times New Roman"/>
          <w:sz w:val="20"/>
          <w:szCs w:val="20"/>
          <w:lang w:val="en-GB"/>
        </w:rPr>
        <w:t xml:space="preserve">Delirium and Acute Encephalopathy Citation Networks. Open Science Framework. June 2. </w:t>
      </w:r>
      <w:proofErr w:type="gramStart"/>
      <w:r w:rsidRPr="002A54F5">
        <w:rPr>
          <w:rFonts w:ascii="Times New Roman" w:hAnsi="Times New Roman" w:cs="Times New Roman"/>
          <w:sz w:val="20"/>
          <w:szCs w:val="20"/>
          <w:lang w:val="en-GB"/>
        </w:rPr>
        <w:t>osf.io/c6gvw</w:t>
      </w:r>
      <w:proofErr w:type="gramEnd"/>
      <w:r w:rsidRPr="002A54F5">
        <w:rPr>
          <w:rFonts w:ascii="Times New Roman" w:hAnsi="Times New Roman" w:cs="Times New Roman"/>
          <w:sz w:val="20"/>
          <w:szCs w:val="20"/>
          <w:lang w:val="en-GB"/>
        </w:rPr>
        <w:t>.</w:t>
      </w:r>
    </w:p>
    <w:p w14:paraId="19344745"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2A54F5">
        <w:rPr>
          <w:rFonts w:ascii="Times New Roman" w:hAnsi="Times New Roman" w:cs="Times New Roman"/>
          <w:sz w:val="20"/>
          <w:szCs w:val="20"/>
          <w:lang w:val="en-GB"/>
        </w:rPr>
        <w:t>6.</w:t>
      </w:r>
      <w:r w:rsidRPr="002A54F5">
        <w:rPr>
          <w:rFonts w:ascii="Times New Roman" w:hAnsi="Times New Roman" w:cs="Times New Roman"/>
          <w:sz w:val="20"/>
          <w:szCs w:val="20"/>
          <w:lang w:val="en-GB"/>
        </w:rPr>
        <w:tab/>
        <w:t>Rowe and Wright</w:t>
      </w:r>
      <w:r>
        <w:rPr>
          <w:rFonts w:ascii="Times New Roman" w:hAnsi="Times New Roman" w:cs="Times New Roman"/>
          <w:sz w:val="20"/>
          <w:szCs w:val="20"/>
          <w:lang w:val="en-GB"/>
        </w:rPr>
        <w:t xml:space="preserve"> (2001)</w:t>
      </w:r>
      <w:r w:rsidRPr="002A54F5">
        <w:rPr>
          <w:rFonts w:ascii="Times New Roman" w:hAnsi="Times New Roman" w:cs="Times New Roman"/>
          <w:sz w:val="20"/>
          <w:szCs w:val="20"/>
          <w:lang w:val="en-GB"/>
        </w:rPr>
        <w:t xml:space="preserve"> Expert Opinions in Forecasting. Role of the Delphi Technique. In: Armstrong (Ed.): Principles of Forecasting. A Handbook of Researchers and Practitioners, Boston: Kluwer Academic Publishers</w:t>
      </w:r>
    </w:p>
    <w:p w14:paraId="059EDB3E" w14:textId="77777777" w:rsidR="006469B2" w:rsidRPr="002A54F5" w:rsidRDefault="006469B2" w:rsidP="00D75A0C">
      <w:pPr>
        <w:spacing w:before="120" w:after="0" w:line="480" w:lineRule="auto"/>
        <w:ind w:left="708" w:hanging="708"/>
        <w:contextualSpacing/>
        <w:rPr>
          <w:rFonts w:ascii="Times New Roman" w:hAnsi="Times New Roman" w:cs="Times New Roman"/>
          <w:sz w:val="20"/>
          <w:szCs w:val="20"/>
          <w:lang w:val="en-GB"/>
        </w:rPr>
      </w:pPr>
      <w:r w:rsidRPr="002A54F5">
        <w:rPr>
          <w:rFonts w:ascii="Times New Roman" w:hAnsi="Times New Roman" w:cs="Times New Roman"/>
          <w:sz w:val="20"/>
          <w:szCs w:val="20"/>
          <w:lang w:val="en-GB"/>
        </w:rPr>
        <w:t>7.</w:t>
      </w:r>
      <w:r w:rsidRPr="002A54F5">
        <w:rPr>
          <w:rFonts w:ascii="Times New Roman" w:hAnsi="Times New Roman" w:cs="Times New Roman"/>
          <w:sz w:val="20"/>
          <w:szCs w:val="20"/>
          <w:lang w:val="en-GB"/>
        </w:rPr>
        <w:tab/>
        <w:t>Jones J, Hunter D</w:t>
      </w:r>
      <w:r>
        <w:rPr>
          <w:rFonts w:ascii="Times New Roman" w:hAnsi="Times New Roman" w:cs="Times New Roman"/>
          <w:sz w:val="20"/>
          <w:szCs w:val="20"/>
          <w:lang w:val="en-GB"/>
        </w:rPr>
        <w:t xml:space="preserve"> (1995)</w:t>
      </w:r>
      <w:r w:rsidRPr="002A54F5">
        <w:rPr>
          <w:rFonts w:ascii="Times New Roman" w:hAnsi="Times New Roman" w:cs="Times New Roman"/>
          <w:sz w:val="20"/>
          <w:szCs w:val="20"/>
          <w:lang w:val="en-GB"/>
        </w:rPr>
        <w:t xml:space="preserve"> Consensus methods for medical and health services research. BMJ 311:376-</w:t>
      </w:r>
      <w:r>
        <w:rPr>
          <w:rFonts w:ascii="Times New Roman" w:hAnsi="Times New Roman" w:cs="Times New Roman"/>
          <w:sz w:val="20"/>
          <w:szCs w:val="20"/>
          <w:lang w:val="en-GB"/>
        </w:rPr>
        <w:t>3</w:t>
      </w:r>
      <w:r w:rsidRPr="002A54F5">
        <w:rPr>
          <w:rFonts w:ascii="Times New Roman" w:hAnsi="Times New Roman" w:cs="Times New Roman"/>
          <w:sz w:val="20"/>
          <w:szCs w:val="20"/>
          <w:lang w:val="en-GB"/>
        </w:rPr>
        <w:t>80</w:t>
      </w:r>
    </w:p>
    <w:p w14:paraId="3A4D7D57" w14:textId="77777777" w:rsidR="006469B2" w:rsidRPr="00A91FA7" w:rsidRDefault="006469B2" w:rsidP="00D75A0C">
      <w:pPr>
        <w:spacing w:before="120" w:after="0" w:line="480" w:lineRule="auto"/>
        <w:contextualSpacing/>
        <w:rPr>
          <w:rFonts w:ascii="Times New Roman" w:hAnsi="Times New Roman" w:cs="Times New Roman"/>
          <w:sz w:val="20"/>
          <w:szCs w:val="20"/>
          <w:lang w:val="en-GB"/>
        </w:rPr>
      </w:pPr>
    </w:p>
    <w:p w14:paraId="02613E54" w14:textId="158B823A" w:rsidR="006469B2" w:rsidRDefault="006469B2" w:rsidP="00D75A0C">
      <w:pPr>
        <w:spacing w:line="480" w:lineRule="auto"/>
        <w:contextualSpacing/>
        <w:rPr>
          <w:rFonts w:ascii="Times New Roman" w:hAnsi="Times New Roman" w:cs="Times New Roman"/>
          <w:sz w:val="20"/>
          <w:szCs w:val="20"/>
          <w:lang w:val="en-GB"/>
        </w:rPr>
      </w:pPr>
      <w:r>
        <w:rPr>
          <w:rFonts w:ascii="Times New Roman" w:hAnsi="Times New Roman" w:cs="Times New Roman"/>
          <w:sz w:val="20"/>
          <w:szCs w:val="20"/>
          <w:lang w:val="en-GB"/>
        </w:rPr>
        <w:br w:type="page"/>
      </w:r>
    </w:p>
    <w:p w14:paraId="474C5BC9" w14:textId="0244BB6E" w:rsidR="0086355C" w:rsidRPr="0092760C" w:rsidRDefault="0086355C" w:rsidP="00D75A0C">
      <w:pPr>
        <w:pStyle w:val="ListParagraph"/>
        <w:spacing w:line="480" w:lineRule="auto"/>
        <w:ind w:left="0"/>
        <w:rPr>
          <w:rFonts w:ascii="Helvetica" w:hAnsi="Helvetica" w:cs="Helvetica"/>
          <w:b/>
          <w:sz w:val="20"/>
          <w:szCs w:val="20"/>
          <w:lang w:val="en-GB"/>
        </w:rPr>
      </w:pPr>
      <w:r w:rsidRPr="0092760C">
        <w:rPr>
          <w:rFonts w:ascii="Helvetica" w:hAnsi="Helvetica" w:cs="Helvetica"/>
          <w:b/>
          <w:sz w:val="20"/>
          <w:szCs w:val="20"/>
          <w:lang w:val="en-GB"/>
        </w:rPr>
        <w:lastRenderedPageBreak/>
        <w:t>Supplementary Fig 1 The distribution of delirium (red) and encephalopathy (blue) articles according to journal focus areas</w:t>
      </w:r>
    </w:p>
    <w:p w14:paraId="5769F87F" w14:textId="28F0D5AE" w:rsidR="0086355C" w:rsidRPr="00431B46" w:rsidRDefault="0086355C" w:rsidP="00D75A0C">
      <w:pPr>
        <w:pStyle w:val="ListParagraph"/>
        <w:spacing w:line="480" w:lineRule="auto"/>
        <w:ind w:left="360"/>
        <w:rPr>
          <w:rFonts w:ascii="Helvetica" w:hAnsi="Helvetica" w:cs="Helvetica"/>
          <w:b/>
          <w:noProof/>
          <w:sz w:val="20"/>
          <w:szCs w:val="20"/>
          <w:lang w:val="en-US" w:eastAsia="nl-NL"/>
        </w:rPr>
      </w:pPr>
    </w:p>
    <w:p w14:paraId="3A423E51" w14:textId="02901F47" w:rsidR="006469B2" w:rsidRPr="00431B46" w:rsidRDefault="006469B2" w:rsidP="00D75A0C">
      <w:pPr>
        <w:pStyle w:val="ListParagraph"/>
        <w:spacing w:line="480" w:lineRule="auto"/>
        <w:ind w:left="360"/>
        <w:rPr>
          <w:rFonts w:ascii="Helvetica" w:hAnsi="Helvetica" w:cs="Helvetica"/>
          <w:b/>
          <w:noProof/>
          <w:sz w:val="20"/>
          <w:szCs w:val="20"/>
          <w:lang w:val="en-US" w:eastAsia="nl-NL"/>
        </w:rPr>
      </w:pPr>
    </w:p>
    <w:p w14:paraId="6EC4C942" w14:textId="23D6CB5F" w:rsidR="003B45C6" w:rsidRPr="0092760C" w:rsidRDefault="003B45C6" w:rsidP="00D75A0C">
      <w:pPr>
        <w:spacing w:line="480" w:lineRule="auto"/>
        <w:contextualSpacing/>
        <w:rPr>
          <w:rFonts w:ascii="Helvetica" w:hAnsi="Helvetica" w:cs="Helvetica"/>
          <w:b/>
          <w:sz w:val="20"/>
          <w:szCs w:val="20"/>
          <w:lang w:val="en-GB"/>
        </w:rPr>
      </w:pPr>
      <w:r w:rsidRPr="0092760C">
        <w:rPr>
          <w:rFonts w:ascii="Helvetica" w:hAnsi="Helvetica" w:cs="Helvetica"/>
          <w:b/>
          <w:sz w:val="20"/>
          <w:szCs w:val="20"/>
          <w:lang w:val="en-GB"/>
        </w:rPr>
        <w:t>Supplementary Fig 2 Citation network of delirium and encephalopathy and reference network of epilepsy and seizures</w:t>
      </w:r>
    </w:p>
    <w:p w14:paraId="0F9C4177" w14:textId="77777777" w:rsidR="003B45C6" w:rsidRPr="0092760C" w:rsidRDefault="003B45C6" w:rsidP="00D75A0C">
      <w:pPr>
        <w:spacing w:line="480" w:lineRule="auto"/>
        <w:contextualSpacing/>
        <w:rPr>
          <w:rFonts w:ascii="Helvetica" w:hAnsi="Helvetica" w:cs="Helvetica"/>
          <w:sz w:val="20"/>
          <w:szCs w:val="20"/>
          <w:lang w:val="en-GB"/>
        </w:rPr>
      </w:pPr>
      <w:r w:rsidRPr="0092760C">
        <w:rPr>
          <w:rFonts w:ascii="Helvetica" w:hAnsi="Helvetica" w:cs="Helvetica"/>
          <w:sz w:val="20"/>
          <w:szCs w:val="20"/>
          <w:lang w:val="en-GB"/>
        </w:rPr>
        <w:t>Left: citation network of published literature on delirium (red) and encephalopathy (blue). Each dot (node) represents an individual paper. Lines (edges) represent the citations between papers. The size of nodes is scaled according to their number of citations. Node positioning is based on an iterative force-directed layout algorithm which causes highly connected sets of nodes to cluster together. Right: reference network, with similar scaling and layout parameters, of papers on epilepsy (green) and seizures (yellow). This figure shows that the literature on delirium and encephalopathy is highly segregated.</w:t>
      </w:r>
    </w:p>
    <w:p w14:paraId="78882720" w14:textId="77777777" w:rsidR="003B45C6" w:rsidRPr="00A91FA7" w:rsidRDefault="003B45C6" w:rsidP="00D75A0C">
      <w:pPr>
        <w:spacing w:line="480" w:lineRule="auto"/>
        <w:contextualSpacing/>
        <w:rPr>
          <w:rFonts w:ascii="Times New Roman" w:hAnsi="Times New Roman" w:cs="Times New Roman"/>
          <w:sz w:val="20"/>
          <w:szCs w:val="20"/>
          <w:lang w:val="en-GB"/>
        </w:rPr>
      </w:pPr>
    </w:p>
    <w:p w14:paraId="46989122" w14:textId="7EFE29A5" w:rsidR="0086355C" w:rsidRPr="00A91FA7" w:rsidRDefault="0086355C" w:rsidP="00D75A0C">
      <w:pPr>
        <w:spacing w:line="480" w:lineRule="auto"/>
        <w:contextualSpacing/>
        <w:rPr>
          <w:rFonts w:ascii="Times New Roman" w:hAnsi="Times New Roman" w:cs="Times New Roman"/>
          <w:sz w:val="20"/>
          <w:szCs w:val="20"/>
          <w:lang w:val="en-GB"/>
        </w:rPr>
      </w:pPr>
    </w:p>
    <w:sectPr w:rsidR="0086355C" w:rsidRPr="00A91FA7" w:rsidSect="008E3613">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66CF6" w14:textId="77777777" w:rsidR="009B5173" w:rsidRDefault="009B5173" w:rsidP="006E288A">
      <w:pPr>
        <w:spacing w:after="0" w:line="240" w:lineRule="auto"/>
      </w:pPr>
      <w:r>
        <w:separator/>
      </w:r>
    </w:p>
  </w:endnote>
  <w:endnote w:type="continuationSeparator" w:id="0">
    <w:p w14:paraId="35C9336D" w14:textId="77777777" w:rsidR="009B5173" w:rsidRDefault="009B5173" w:rsidP="006E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00B0500000000000000"/>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402343"/>
      <w:docPartObj>
        <w:docPartGallery w:val="Page Numbers (Bottom of Page)"/>
        <w:docPartUnique/>
      </w:docPartObj>
    </w:sdtPr>
    <w:sdtEndPr/>
    <w:sdtContent>
      <w:p w14:paraId="6C94F47C" w14:textId="1386915F" w:rsidR="009B5173" w:rsidRDefault="009B5173" w:rsidP="006E288A">
        <w:pPr>
          <w:pStyle w:val="Footer"/>
          <w:jc w:val="right"/>
        </w:pPr>
        <w:r w:rsidRPr="006E288A">
          <w:fldChar w:fldCharType="begin"/>
        </w:r>
        <w:r w:rsidRPr="006E288A">
          <w:instrText>PAGE   \* MERGEFORMAT</w:instrText>
        </w:r>
        <w:r w:rsidRPr="006E288A">
          <w:fldChar w:fldCharType="separate"/>
        </w:r>
        <w:r w:rsidR="000C6BB6">
          <w:rPr>
            <w:noProof/>
          </w:rPr>
          <w:t>9</w:t>
        </w:r>
        <w:r w:rsidRPr="006E288A">
          <w:fldChar w:fldCharType="end"/>
        </w:r>
      </w:p>
    </w:sdtContent>
  </w:sdt>
  <w:p w14:paraId="3B650A4A" w14:textId="77777777" w:rsidR="009B5173" w:rsidRDefault="009B51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2B654" w14:textId="77777777" w:rsidR="009B5173" w:rsidRDefault="009B5173" w:rsidP="006E288A">
      <w:pPr>
        <w:spacing w:after="0" w:line="240" w:lineRule="auto"/>
      </w:pPr>
      <w:r>
        <w:separator/>
      </w:r>
    </w:p>
  </w:footnote>
  <w:footnote w:type="continuationSeparator" w:id="0">
    <w:p w14:paraId="5413FF59" w14:textId="77777777" w:rsidR="009B5173" w:rsidRDefault="009B5173" w:rsidP="006E2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B18E8"/>
    <w:multiLevelType w:val="hybridMultilevel"/>
    <w:tmpl w:val="73703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EB5BDD"/>
    <w:multiLevelType w:val="hybridMultilevel"/>
    <w:tmpl w:val="E4CCF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0393D"/>
    <w:multiLevelType w:val="hybridMultilevel"/>
    <w:tmpl w:val="3FD8C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1086A"/>
    <w:multiLevelType w:val="hybridMultilevel"/>
    <w:tmpl w:val="FB989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B56DF"/>
    <w:multiLevelType w:val="hybridMultilevel"/>
    <w:tmpl w:val="0890D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635514"/>
    <w:multiLevelType w:val="hybridMultilevel"/>
    <w:tmpl w:val="36409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A1A57"/>
    <w:multiLevelType w:val="hybridMultilevel"/>
    <w:tmpl w:val="4A120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C62010"/>
    <w:multiLevelType w:val="hybridMultilevel"/>
    <w:tmpl w:val="5D1095AA"/>
    <w:lvl w:ilvl="0" w:tplc="019C3CAE">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2D12C5A"/>
    <w:multiLevelType w:val="hybridMultilevel"/>
    <w:tmpl w:val="5470A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0916AE"/>
    <w:multiLevelType w:val="hybridMultilevel"/>
    <w:tmpl w:val="692C2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C4A86"/>
    <w:multiLevelType w:val="hybridMultilevel"/>
    <w:tmpl w:val="79FAF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41653B"/>
    <w:multiLevelType w:val="hybridMultilevel"/>
    <w:tmpl w:val="337A3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B351B2"/>
    <w:multiLevelType w:val="hybridMultilevel"/>
    <w:tmpl w:val="D4DEF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3F401A"/>
    <w:multiLevelType w:val="hybridMultilevel"/>
    <w:tmpl w:val="65FE2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261858"/>
    <w:multiLevelType w:val="hybridMultilevel"/>
    <w:tmpl w:val="F1FAB834"/>
    <w:lvl w:ilvl="0" w:tplc="525041E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D97144"/>
    <w:multiLevelType w:val="hybridMultilevel"/>
    <w:tmpl w:val="09A8E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EC52BE"/>
    <w:multiLevelType w:val="hybridMultilevel"/>
    <w:tmpl w:val="F76A446C"/>
    <w:lvl w:ilvl="0" w:tplc="5ADABCF0">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5CFD3244"/>
    <w:multiLevelType w:val="hybridMultilevel"/>
    <w:tmpl w:val="210E98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6BB6239"/>
    <w:multiLevelType w:val="hybridMultilevel"/>
    <w:tmpl w:val="ABD213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DB86FC7"/>
    <w:multiLevelType w:val="hybridMultilevel"/>
    <w:tmpl w:val="9AF05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9840434"/>
    <w:multiLevelType w:val="hybridMultilevel"/>
    <w:tmpl w:val="11B49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4"/>
  </w:num>
  <w:num w:numId="4">
    <w:abstractNumId w:val="13"/>
  </w:num>
  <w:num w:numId="5">
    <w:abstractNumId w:val="6"/>
  </w:num>
  <w:num w:numId="6">
    <w:abstractNumId w:val="1"/>
  </w:num>
  <w:num w:numId="7">
    <w:abstractNumId w:val="14"/>
  </w:num>
  <w:num w:numId="8">
    <w:abstractNumId w:val="2"/>
  </w:num>
  <w:num w:numId="9">
    <w:abstractNumId w:val="19"/>
  </w:num>
  <w:num w:numId="10">
    <w:abstractNumId w:val="10"/>
  </w:num>
  <w:num w:numId="11">
    <w:abstractNumId w:val="20"/>
  </w:num>
  <w:num w:numId="12">
    <w:abstractNumId w:val="5"/>
  </w:num>
  <w:num w:numId="13">
    <w:abstractNumId w:val="12"/>
  </w:num>
  <w:num w:numId="14">
    <w:abstractNumId w:val="0"/>
  </w:num>
  <w:num w:numId="15">
    <w:abstractNumId w:val="11"/>
  </w:num>
  <w:num w:numId="16">
    <w:abstractNumId w:val="9"/>
  </w:num>
  <w:num w:numId="17">
    <w:abstractNumId w:val="3"/>
  </w:num>
  <w:num w:numId="18">
    <w:abstractNumId w:val="15"/>
  </w:num>
  <w:num w:numId="19">
    <w:abstractNumId w:val="16"/>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ED"/>
    <w:rsid w:val="00000682"/>
    <w:rsid w:val="00001274"/>
    <w:rsid w:val="00001910"/>
    <w:rsid w:val="000027CA"/>
    <w:rsid w:val="000034BE"/>
    <w:rsid w:val="0000440F"/>
    <w:rsid w:val="00004636"/>
    <w:rsid w:val="00004E14"/>
    <w:rsid w:val="0000640C"/>
    <w:rsid w:val="0000691D"/>
    <w:rsid w:val="00010B38"/>
    <w:rsid w:val="00010F76"/>
    <w:rsid w:val="00011366"/>
    <w:rsid w:val="0001157A"/>
    <w:rsid w:val="00011E8A"/>
    <w:rsid w:val="00012B88"/>
    <w:rsid w:val="00012EAF"/>
    <w:rsid w:val="0001478A"/>
    <w:rsid w:val="00020751"/>
    <w:rsid w:val="00020955"/>
    <w:rsid w:val="00020D2D"/>
    <w:rsid w:val="000212E4"/>
    <w:rsid w:val="00021521"/>
    <w:rsid w:val="00021D89"/>
    <w:rsid w:val="000236AE"/>
    <w:rsid w:val="0002444C"/>
    <w:rsid w:val="000252A1"/>
    <w:rsid w:val="00026400"/>
    <w:rsid w:val="000274F3"/>
    <w:rsid w:val="000305C5"/>
    <w:rsid w:val="00031B8D"/>
    <w:rsid w:val="0003245B"/>
    <w:rsid w:val="00032720"/>
    <w:rsid w:val="0003273D"/>
    <w:rsid w:val="00032C63"/>
    <w:rsid w:val="00033177"/>
    <w:rsid w:val="000336B3"/>
    <w:rsid w:val="00033F46"/>
    <w:rsid w:val="00034B3B"/>
    <w:rsid w:val="00034DDE"/>
    <w:rsid w:val="0003728A"/>
    <w:rsid w:val="00041C42"/>
    <w:rsid w:val="00041EA9"/>
    <w:rsid w:val="000427A8"/>
    <w:rsid w:val="00043B7C"/>
    <w:rsid w:val="00043E96"/>
    <w:rsid w:val="00045024"/>
    <w:rsid w:val="00045611"/>
    <w:rsid w:val="00045F49"/>
    <w:rsid w:val="000465B8"/>
    <w:rsid w:val="00047DB0"/>
    <w:rsid w:val="0005168B"/>
    <w:rsid w:val="00052DA7"/>
    <w:rsid w:val="00052FBE"/>
    <w:rsid w:val="0005406B"/>
    <w:rsid w:val="00054467"/>
    <w:rsid w:val="00055DB0"/>
    <w:rsid w:val="00056A32"/>
    <w:rsid w:val="00056EF8"/>
    <w:rsid w:val="0005733E"/>
    <w:rsid w:val="00060DC7"/>
    <w:rsid w:val="00062012"/>
    <w:rsid w:val="00062C81"/>
    <w:rsid w:val="0006303E"/>
    <w:rsid w:val="0006304B"/>
    <w:rsid w:val="00064C39"/>
    <w:rsid w:val="00064CB8"/>
    <w:rsid w:val="00065A67"/>
    <w:rsid w:val="00066DBC"/>
    <w:rsid w:val="00067BEE"/>
    <w:rsid w:val="00067FD4"/>
    <w:rsid w:val="000708BE"/>
    <w:rsid w:val="00070B8C"/>
    <w:rsid w:val="0007162C"/>
    <w:rsid w:val="00072C08"/>
    <w:rsid w:val="0007326D"/>
    <w:rsid w:val="0007422B"/>
    <w:rsid w:val="00074E49"/>
    <w:rsid w:val="00075003"/>
    <w:rsid w:val="00075B30"/>
    <w:rsid w:val="000760E1"/>
    <w:rsid w:val="000805AD"/>
    <w:rsid w:val="00081397"/>
    <w:rsid w:val="00082898"/>
    <w:rsid w:val="000829A6"/>
    <w:rsid w:val="00082A78"/>
    <w:rsid w:val="000830AB"/>
    <w:rsid w:val="000836C0"/>
    <w:rsid w:val="000846F8"/>
    <w:rsid w:val="00084717"/>
    <w:rsid w:val="00084E04"/>
    <w:rsid w:val="0008518D"/>
    <w:rsid w:val="00086003"/>
    <w:rsid w:val="000868F8"/>
    <w:rsid w:val="00090083"/>
    <w:rsid w:val="000902A6"/>
    <w:rsid w:val="000917BD"/>
    <w:rsid w:val="00091A31"/>
    <w:rsid w:val="00091C90"/>
    <w:rsid w:val="000925EA"/>
    <w:rsid w:val="000931BE"/>
    <w:rsid w:val="0009328F"/>
    <w:rsid w:val="000932C8"/>
    <w:rsid w:val="0009367A"/>
    <w:rsid w:val="00094AAD"/>
    <w:rsid w:val="00095527"/>
    <w:rsid w:val="000955C3"/>
    <w:rsid w:val="00095C76"/>
    <w:rsid w:val="00096E95"/>
    <w:rsid w:val="000976A7"/>
    <w:rsid w:val="00097A2D"/>
    <w:rsid w:val="000A064A"/>
    <w:rsid w:val="000A1079"/>
    <w:rsid w:val="000A142F"/>
    <w:rsid w:val="000A1D65"/>
    <w:rsid w:val="000A633B"/>
    <w:rsid w:val="000B01A9"/>
    <w:rsid w:val="000B0558"/>
    <w:rsid w:val="000B0674"/>
    <w:rsid w:val="000B0F75"/>
    <w:rsid w:val="000B20FA"/>
    <w:rsid w:val="000B2BC1"/>
    <w:rsid w:val="000B34D6"/>
    <w:rsid w:val="000B364D"/>
    <w:rsid w:val="000B4E1F"/>
    <w:rsid w:val="000B518D"/>
    <w:rsid w:val="000B533B"/>
    <w:rsid w:val="000B5DDF"/>
    <w:rsid w:val="000B5E66"/>
    <w:rsid w:val="000B6354"/>
    <w:rsid w:val="000B7C52"/>
    <w:rsid w:val="000B7FF5"/>
    <w:rsid w:val="000C03EE"/>
    <w:rsid w:val="000C1FF3"/>
    <w:rsid w:val="000C26D7"/>
    <w:rsid w:val="000C38C4"/>
    <w:rsid w:val="000C4098"/>
    <w:rsid w:val="000C4BF8"/>
    <w:rsid w:val="000C57BC"/>
    <w:rsid w:val="000C6BB6"/>
    <w:rsid w:val="000C6BD3"/>
    <w:rsid w:val="000D0069"/>
    <w:rsid w:val="000D065B"/>
    <w:rsid w:val="000D0A95"/>
    <w:rsid w:val="000D12EC"/>
    <w:rsid w:val="000D1C59"/>
    <w:rsid w:val="000D23DC"/>
    <w:rsid w:val="000D29FF"/>
    <w:rsid w:val="000D3893"/>
    <w:rsid w:val="000D5200"/>
    <w:rsid w:val="000D5B80"/>
    <w:rsid w:val="000D6419"/>
    <w:rsid w:val="000D739B"/>
    <w:rsid w:val="000E0704"/>
    <w:rsid w:val="000E0A9D"/>
    <w:rsid w:val="000E0B4A"/>
    <w:rsid w:val="000E1727"/>
    <w:rsid w:val="000E1CCB"/>
    <w:rsid w:val="000E36B1"/>
    <w:rsid w:val="000E41D5"/>
    <w:rsid w:val="000E4C10"/>
    <w:rsid w:val="000E5046"/>
    <w:rsid w:val="000E55E9"/>
    <w:rsid w:val="000E6276"/>
    <w:rsid w:val="000E6AEB"/>
    <w:rsid w:val="000F06EB"/>
    <w:rsid w:val="000F0A05"/>
    <w:rsid w:val="000F0AA8"/>
    <w:rsid w:val="000F1A1B"/>
    <w:rsid w:val="000F1D49"/>
    <w:rsid w:val="000F203C"/>
    <w:rsid w:val="000F282A"/>
    <w:rsid w:val="000F2FBE"/>
    <w:rsid w:val="000F417A"/>
    <w:rsid w:val="000F46DA"/>
    <w:rsid w:val="000F4847"/>
    <w:rsid w:val="000F59F7"/>
    <w:rsid w:val="001000F2"/>
    <w:rsid w:val="00101E9A"/>
    <w:rsid w:val="00102B3B"/>
    <w:rsid w:val="001042A4"/>
    <w:rsid w:val="00105117"/>
    <w:rsid w:val="00105197"/>
    <w:rsid w:val="0010616B"/>
    <w:rsid w:val="00106ACB"/>
    <w:rsid w:val="00106B9C"/>
    <w:rsid w:val="00107B44"/>
    <w:rsid w:val="001103BE"/>
    <w:rsid w:val="00110806"/>
    <w:rsid w:val="001115F7"/>
    <w:rsid w:val="0011289D"/>
    <w:rsid w:val="00113088"/>
    <w:rsid w:val="001132D9"/>
    <w:rsid w:val="00114258"/>
    <w:rsid w:val="001146D9"/>
    <w:rsid w:val="001157FC"/>
    <w:rsid w:val="00115A7E"/>
    <w:rsid w:val="00115B6A"/>
    <w:rsid w:val="00116562"/>
    <w:rsid w:val="0011656E"/>
    <w:rsid w:val="00116683"/>
    <w:rsid w:val="001173F4"/>
    <w:rsid w:val="00117977"/>
    <w:rsid w:val="00117E07"/>
    <w:rsid w:val="00121F4C"/>
    <w:rsid w:val="00122032"/>
    <w:rsid w:val="00122039"/>
    <w:rsid w:val="00125EF3"/>
    <w:rsid w:val="001261A4"/>
    <w:rsid w:val="00126B73"/>
    <w:rsid w:val="00127812"/>
    <w:rsid w:val="001305E6"/>
    <w:rsid w:val="0013077E"/>
    <w:rsid w:val="00130F8B"/>
    <w:rsid w:val="00131264"/>
    <w:rsid w:val="001325A7"/>
    <w:rsid w:val="00132DAA"/>
    <w:rsid w:val="001330B1"/>
    <w:rsid w:val="001331EC"/>
    <w:rsid w:val="001335CF"/>
    <w:rsid w:val="00134697"/>
    <w:rsid w:val="001357A3"/>
    <w:rsid w:val="00135F8D"/>
    <w:rsid w:val="00136C50"/>
    <w:rsid w:val="00140EF2"/>
    <w:rsid w:val="00143890"/>
    <w:rsid w:val="00143B24"/>
    <w:rsid w:val="001446EC"/>
    <w:rsid w:val="00144ABE"/>
    <w:rsid w:val="00144B58"/>
    <w:rsid w:val="00144C26"/>
    <w:rsid w:val="001457E5"/>
    <w:rsid w:val="001467AB"/>
    <w:rsid w:val="00146AD6"/>
    <w:rsid w:val="00146B8B"/>
    <w:rsid w:val="00150259"/>
    <w:rsid w:val="00150B06"/>
    <w:rsid w:val="00151C99"/>
    <w:rsid w:val="0015299C"/>
    <w:rsid w:val="00153FB7"/>
    <w:rsid w:val="001543CB"/>
    <w:rsid w:val="0015488E"/>
    <w:rsid w:val="00154C89"/>
    <w:rsid w:val="00154D14"/>
    <w:rsid w:val="00155075"/>
    <w:rsid w:val="00155410"/>
    <w:rsid w:val="001559F3"/>
    <w:rsid w:val="00156799"/>
    <w:rsid w:val="001617BD"/>
    <w:rsid w:val="0016211A"/>
    <w:rsid w:val="00163D9C"/>
    <w:rsid w:val="00164371"/>
    <w:rsid w:val="00164C4A"/>
    <w:rsid w:val="00165157"/>
    <w:rsid w:val="0016537E"/>
    <w:rsid w:val="00166E24"/>
    <w:rsid w:val="00167037"/>
    <w:rsid w:val="00167350"/>
    <w:rsid w:val="0016784F"/>
    <w:rsid w:val="00167C43"/>
    <w:rsid w:val="00167E73"/>
    <w:rsid w:val="001713C3"/>
    <w:rsid w:val="00171744"/>
    <w:rsid w:val="00171CED"/>
    <w:rsid w:val="001736D5"/>
    <w:rsid w:val="00173AE9"/>
    <w:rsid w:val="00173B01"/>
    <w:rsid w:val="0017438F"/>
    <w:rsid w:val="001768A8"/>
    <w:rsid w:val="00177019"/>
    <w:rsid w:val="00177902"/>
    <w:rsid w:val="00177A1D"/>
    <w:rsid w:val="00181E59"/>
    <w:rsid w:val="001824E3"/>
    <w:rsid w:val="001830DE"/>
    <w:rsid w:val="00183702"/>
    <w:rsid w:val="00185D1B"/>
    <w:rsid w:val="0018682A"/>
    <w:rsid w:val="00186D98"/>
    <w:rsid w:val="001908BA"/>
    <w:rsid w:val="001910E5"/>
    <w:rsid w:val="00191CB9"/>
    <w:rsid w:val="00192287"/>
    <w:rsid w:val="0019255B"/>
    <w:rsid w:val="001925EB"/>
    <w:rsid w:val="00192B3E"/>
    <w:rsid w:val="001937CC"/>
    <w:rsid w:val="00193C85"/>
    <w:rsid w:val="00193F39"/>
    <w:rsid w:val="00194FBF"/>
    <w:rsid w:val="00196525"/>
    <w:rsid w:val="0019653F"/>
    <w:rsid w:val="00196C65"/>
    <w:rsid w:val="00196EEA"/>
    <w:rsid w:val="00197426"/>
    <w:rsid w:val="00197434"/>
    <w:rsid w:val="001A0CA8"/>
    <w:rsid w:val="001A10CB"/>
    <w:rsid w:val="001A190D"/>
    <w:rsid w:val="001A264E"/>
    <w:rsid w:val="001A31BC"/>
    <w:rsid w:val="001A36CE"/>
    <w:rsid w:val="001A3BDF"/>
    <w:rsid w:val="001A3FF6"/>
    <w:rsid w:val="001A4A63"/>
    <w:rsid w:val="001A62B3"/>
    <w:rsid w:val="001A7051"/>
    <w:rsid w:val="001A7C32"/>
    <w:rsid w:val="001B018B"/>
    <w:rsid w:val="001B16CB"/>
    <w:rsid w:val="001B1D0D"/>
    <w:rsid w:val="001B1FED"/>
    <w:rsid w:val="001B21B4"/>
    <w:rsid w:val="001B2201"/>
    <w:rsid w:val="001B239C"/>
    <w:rsid w:val="001B2B55"/>
    <w:rsid w:val="001B32DE"/>
    <w:rsid w:val="001B463A"/>
    <w:rsid w:val="001B7131"/>
    <w:rsid w:val="001B7A6F"/>
    <w:rsid w:val="001C119F"/>
    <w:rsid w:val="001C18EF"/>
    <w:rsid w:val="001C1C1D"/>
    <w:rsid w:val="001C28F3"/>
    <w:rsid w:val="001C323F"/>
    <w:rsid w:val="001C3A3E"/>
    <w:rsid w:val="001C3A61"/>
    <w:rsid w:val="001C4333"/>
    <w:rsid w:val="001C50EE"/>
    <w:rsid w:val="001C5972"/>
    <w:rsid w:val="001C5A6E"/>
    <w:rsid w:val="001C5C81"/>
    <w:rsid w:val="001C6737"/>
    <w:rsid w:val="001C74D6"/>
    <w:rsid w:val="001C7540"/>
    <w:rsid w:val="001D0DB5"/>
    <w:rsid w:val="001D162D"/>
    <w:rsid w:val="001D187F"/>
    <w:rsid w:val="001D195C"/>
    <w:rsid w:val="001D1A69"/>
    <w:rsid w:val="001D1F2A"/>
    <w:rsid w:val="001D21AA"/>
    <w:rsid w:val="001D22DE"/>
    <w:rsid w:val="001D3F10"/>
    <w:rsid w:val="001D4082"/>
    <w:rsid w:val="001D4200"/>
    <w:rsid w:val="001D44E6"/>
    <w:rsid w:val="001D49EF"/>
    <w:rsid w:val="001D5562"/>
    <w:rsid w:val="001D587F"/>
    <w:rsid w:val="001D6810"/>
    <w:rsid w:val="001D7043"/>
    <w:rsid w:val="001D71C7"/>
    <w:rsid w:val="001D7383"/>
    <w:rsid w:val="001E0173"/>
    <w:rsid w:val="001E1BC2"/>
    <w:rsid w:val="001E20F3"/>
    <w:rsid w:val="001E2B99"/>
    <w:rsid w:val="001E2EA8"/>
    <w:rsid w:val="001E37BA"/>
    <w:rsid w:val="001E51B5"/>
    <w:rsid w:val="001E539C"/>
    <w:rsid w:val="001E54EB"/>
    <w:rsid w:val="001E597C"/>
    <w:rsid w:val="001E5E1E"/>
    <w:rsid w:val="001E7DFE"/>
    <w:rsid w:val="001F0123"/>
    <w:rsid w:val="001F0337"/>
    <w:rsid w:val="001F0E0C"/>
    <w:rsid w:val="001F1694"/>
    <w:rsid w:val="001F29DD"/>
    <w:rsid w:val="001F3129"/>
    <w:rsid w:val="001F3BEA"/>
    <w:rsid w:val="001F3CE7"/>
    <w:rsid w:val="001F4902"/>
    <w:rsid w:val="001F50FC"/>
    <w:rsid w:val="001F5E64"/>
    <w:rsid w:val="001F6651"/>
    <w:rsid w:val="001F7086"/>
    <w:rsid w:val="001F72E5"/>
    <w:rsid w:val="001F7BB4"/>
    <w:rsid w:val="002001A1"/>
    <w:rsid w:val="002003F7"/>
    <w:rsid w:val="00200793"/>
    <w:rsid w:val="0020079D"/>
    <w:rsid w:val="00201473"/>
    <w:rsid w:val="002031B0"/>
    <w:rsid w:val="00203C3B"/>
    <w:rsid w:val="00203DDD"/>
    <w:rsid w:val="00203EBE"/>
    <w:rsid w:val="00203EFF"/>
    <w:rsid w:val="002045EE"/>
    <w:rsid w:val="00205BE3"/>
    <w:rsid w:val="0020622C"/>
    <w:rsid w:val="00206DE6"/>
    <w:rsid w:val="002076D5"/>
    <w:rsid w:val="00207B06"/>
    <w:rsid w:val="00210ED2"/>
    <w:rsid w:val="002112F7"/>
    <w:rsid w:val="00211488"/>
    <w:rsid w:val="0021209C"/>
    <w:rsid w:val="00212926"/>
    <w:rsid w:val="00212D26"/>
    <w:rsid w:val="00212DE7"/>
    <w:rsid w:val="002131C2"/>
    <w:rsid w:val="00213292"/>
    <w:rsid w:val="00214302"/>
    <w:rsid w:val="00214665"/>
    <w:rsid w:val="00215EB3"/>
    <w:rsid w:val="00216281"/>
    <w:rsid w:val="00217AB8"/>
    <w:rsid w:val="0022003D"/>
    <w:rsid w:val="0022123D"/>
    <w:rsid w:val="00221A92"/>
    <w:rsid w:val="00222436"/>
    <w:rsid w:val="00222456"/>
    <w:rsid w:val="00222625"/>
    <w:rsid w:val="00222AC5"/>
    <w:rsid w:val="00223265"/>
    <w:rsid w:val="002234E2"/>
    <w:rsid w:val="002240D8"/>
    <w:rsid w:val="00224319"/>
    <w:rsid w:val="00224515"/>
    <w:rsid w:val="00225763"/>
    <w:rsid w:val="00226810"/>
    <w:rsid w:val="00227105"/>
    <w:rsid w:val="002300E4"/>
    <w:rsid w:val="002313AB"/>
    <w:rsid w:val="0023185D"/>
    <w:rsid w:val="0023210E"/>
    <w:rsid w:val="002322B0"/>
    <w:rsid w:val="0023311D"/>
    <w:rsid w:val="00233208"/>
    <w:rsid w:val="00234108"/>
    <w:rsid w:val="00234582"/>
    <w:rsid w:val="00234CC9"/>
    <w:rsid w:val="0023506B"/>
    <w:rsid w:val="00236CBD"/>
    <w:rsid w:val="002374BA"/>
    <w:rsid w:val="002379FD"/>
    <w:rsid w:val="00237DE4"/>
    <w:rsid w:val="00237EBB"/>
    <w:rsid w:val="0024022C"/>
    <w:rsid w:val="00240264"/>
    <w:rsid w:val="002409AD"/>
    <w:rsid w:val="00241212"/>
    <w:rsid w:val="00241244"/>
    <w:rsid w:val="00241ABB"/>
    <w:rsid w:val="00241D43"/>
    <w:rsid w:val="00242C10"/>
    <w:rsid w:val="002439CE"/>
    <w:rsid w:val="0024420C"/>
    <w:rsid w:val="00244570"/>
    <w:rsid w:val="00244635"/>
    <w:rsid w:val="00245940"/>
    <w:rsid w:val="00245F84"/>
    <w:rsid w:val="002461CD"/>
    <w:rsid w:val="00246BCB"/>
    <w:rsid w:val="0025050C"/>
    <w:rsid w:val="00250CBC"/>
    <w:rsid w:val="0025182E"/>
    <w:rsid w:val="00252883"/>
    <w:rsid w:val="00252EAC"/>
    <w:rsid w:val="00253465"/>
    <w:rsid w:val="0025452D"/>
    <w:rsid w:val="00254A1E"/>
    <w:rsid w:val="00254B1D"/>
    <w:rsid w:val="002565A6"/>
    <w:rsid w:val="002567B0"/>
    <w:rsid w:val="00256DFA"/>
    <w:rsid w:val="002572B9"/>
    <w:rsid w:val="00257A50"/>
    <w:rsid w:val="00257C5C"/>
    <w:rsid w:val="00257D7E"/>
    <w:rsid w:val="00257F11"/>
    <w:rsid w:val="002605EE"/>
    <w:rsid w:val="002606A4"/>
    <w:rsid w:val="00260AF9"/>
    <w:rsid w:val="00260C54"/>
    <w:rsid w:val="00260CF4"/>
    <w:rsid w:val="00260FF9"/>
    <w:rsid w:val="00261B62"/>
    <w:rsid w:val="002633BE"/>
    <w:rsid w:val="00263CFB"/>
    <w:rsid w:val="002654B8"/>
    <w:rsid w:val="002655D2"/>
    <w:rsid w:val="00266AE5"/>
    <w:rsid w:val="00267447"/>
    <w:rsid w:val="00267482"/>
    <w:rsid w:val="00267B3F"/>
    <w:rsid w:val="00267E07"/>
    <w:rsid w:val="00270AFD"/>
    <w:rsid w:val="00270CBB"/>
    <w:rsid w:val="00271C37"/>
    <w:rsid w:val="00272D51"/>
    <w:rsid w:val="002733EC"/>
    <w:rsid w:val="00273F4E"/>
    <w:rsid w:val="002743D1"/>
    <w:rsid w:val="002747A8"/>
    <w:rsid w:val="002759ED"/>
    <w:rsid w:val="00275B02"/>
    <w:rsid w:val="00276984"/>
    <w:rsid w:val="002774E1"/>
    <w:rsid w:val="0028008B"/>
    <w:rsid w:val="00280352"/>
    <w:rsid w:val="00280629"/>
    <w:rsid w:val="00280A10"/>
    <w:rsid w:val="002815EF"/>
    <w:rsid w:val="0028200E"/>
    <w:rsid w:val="002825F4"/>
    <w:rsid w:val="0028356D"/>
    <w:rsid w:val="002838DA"/>
    <w:rsid w:val="00283D65"/>
    <w:rsid w:val="00285349"/>
    <w:rsid w:val="0028550F"/>
    <w:rsid w:val="002860D1"/>
    <w:rsid w:val="00286510"/>
    <w:rsid w:val="00287737"/>
    <w:rsid w:val="00287C05"/>
    <w:rsid w:val="00287C1F"/>
    <w:rsid w:val="0029194E"/>
    <w:rsid w:val="002919EB"/>
    <w:rsid w:val="00291EF3"/>
    <w:rsid w:val="002920B1"/>
    <w:rsid w:val="00293011"/>
    <w:rsid w:val="00296771"/>
    <w:rsid w:val="002977A3"/>
    <w:rsid w:val="002A06DB"/>
    <w:rsid w:val="002A07C1"/>
    <w:rsid w:val="002A1224"/>
    <w:rsid w:val="002A266A"/>
    <w:rsid w:val="002A3106"/>
    <w:rsid w:val="002A3BB4"/>
    <w:rsid w:val="002A4286"/>
    <w:rsid w:val="002A54F5"/>
    <w:rsid w:val="002A5A86"/>
    <w:rsid w:val="002A5E64"/>
    <w:rsid w:val="002A6076"/>
    <w:rsid w:val="002A64A9"/>
    <w:rsid w:val="002A6F97"/>
    <w:rsid w:val="002A7577"/>
    <w:rsid w:val="002A76FC"/>
    <w:rsid w:val="002A7845"/>
    <w:rsid w:val="002B0079"/>
    <w:rsid w:val="002B031D"/>
    <w:rsid w:val="002B0559"/>
    <w:rsid w:val="002B179B"/>
    <w:rsid w:val="002B32BB"/>
    <w:rsid w:val="002B3A74"/>
    <w:rsid w:val="002B3B0C"/>
    <w:rsid w:val="002B41CB"/>
    <w:rsid w:val="002B5474"/>
    <w:rsid w:val="002B57BA"/>
    <w:rsid w:val="002B6D8B"/>
    <w:rsid w:val="002B7663"/>
    <w:rsid w:val="002B780E"/>
    <w:rsid w:val="002C04AF"/>
    <w:rsid w:val="002C0799"/>
    <w:rsid w:val="002C112D"/>
    <w:rsid w:val="002C1365"/>
    <w:rsid w:val="002C164B"/>
    <w:rsid w:val="002C1763"/>
    <w:rsid w:val="002C2150"/>
    <w:rsid w:val="002C3B26"/>
    <w:rsid w:val="002C3C31"/>
    <w:rsid w:val="002C3D9A"/>
    <w:rsid w:val="002C40CE"/>
    <w:rsid w:val="002C40F4"/>
    <w:rsid w:val="002C458A"/>
    <w:rsid w:val="002C474F"/>
    <w:rsid w:val="002C4FD6"/>
    <w:rsid w:val="002C6252"/>
    <w:rsid w:val="002C69E3"/>
    <w:rsid w:val="002C7367"/>
    <w:rsid w:val="002C7B26"/>
    <w:rsid w:val="002D030E"/>
    <w:rsid w:val="002D0E95"/>
    <w:rsid w:val="002D1A72"/>
    <w:rsid w:val="002D1FA6"/>
    <w:rsid w:val="002D21B3"/>
    <w:rsid w:val="002D2C52"/>
    <w:rsid w:val="002D3527"/>
    <w:rsid w:val="002D3D76"/>
    <w:rsid w:val="002D4F8E"/>
    <w:rsid w:val="002D5225"/>
    <w:rsid w:val="002D73EC"/>
    <w:rsid w:val="002E0453"/>
    <w:rsid w:val="002E0887"/>
    <w:rsid w:val="002E1EDC"/>
    <w:rsid w:val="002E2901"/>
    <w:rsid w:val="002E2EA5"/>
    <w:rsid w:val="002E3B7D"/>
    <w:rsid w:val="002E3C64"/>
    <w:rsid w:val="002E3D3B"/>
    <w:rsid w:val="002E4689"/>
    <w:rsid w:val="002E47FE"/>
    <w:rsid w:val="002E4F0C"/>
    <w:rsid w:val="002E5459"/>
    <w:rsid w:val="002E5DEE"/>
    <w:rsid w:val="002E5F02"/>
    <w:rsid w:val="002E5F4A"/>
    <w:rsid w:val="002F06B5"/>
    <w:rsid w:val="002F0718"/>
    <w:rsid w:val="002F0AFB"/>
    <w:rsid w:val="002F1289"/>
    <w:rsid w:val="002F252C"/>
    <w:rsid w:val="002F2788"/>
    <w:rsid w:val="002F33C1"/>
    <w:rsid w:val="002F37EF"/>
    <w:rsid w:val="002F3C72"/>
    <w:rsid w:val="002F431A"/>
    <w:rsid w:val="002F59DB"/>
    <w:rsid w:val="002F5A60"/>
    <w:rsid w:val="002F76DD"/>
    <w:rsid w:val="002F7ACB"/>
    <w:rsid w:val="002F7AD0"/>
    <w:rsid w:val="002F7EC3"/>
    <w:rsid w:val="002F7EF2"/>
    <w:rsid w:val="003044FF"/>
    <w:rsid w:val="003050B1"/>
    <w:rsid w:val="00305A5B"/>
    <w:rsid w:val="00306299"/>
    <w:rsid w:val="003066B5"/>
    <w:rsid w:val="003067F1"/>
    <w:rsid w:val="00306F5D"/>
    <w:rsid w:val="0030719B"/>
    <w:rsid w:val="0031012E"/>
    <w:rsid w:val="003114CE"/>
    <w:rsid w:val="0031176A"/>
    <w:rsid w:val="00311BA7"/>
    <w:rsid w:val="00312FA7"/>
    <w:rsid w:val="003133CF"/>
    <w:rsid w:val="003151AC"/>
    <w:rsid w:val="003159F9"/>
    <w:rsid w:val="0031744F"/>
    <w:rsid w:val="003179FE"/>
    <w:rsid w:val="0032050A"/>
    <w:rsid w:val="00321940"/>
    <w:rsid w:val="00321BA9"/>
    <w:rsid w:val="0032463D"/>
    <w:rsid w:val="00325232"/>
    <w:rsid w:val="00325318"/>
    <w:rsid w:val="00325655"/>
    <w:rsid w:val="003262DB"/>
    <w:rsid w:val="00327081"/>
    <w:rsid w:val="003279BA"/>
    <w:rsid w:val="00327DD3"/>
    <w:rsid w:val="00327FEC"/>
    <w:rsid w:val="003302DC"/>
    <w:rsid w:val="00330CE6"/>
    <w:rsid w:val="003348BF"/>
    <w:rsid w:val="00334A5D"/>
    <w:rsid w:val="00334B28"/>
    <w:rsid w:val="00334D9C"/>
    <w:rsid w:val="00334F81"/>
    <w:rsid w:val="00337A11"/>
    <w:rsid w:val="003400ED"/>
    <w:rsid w:val="003401C9"/>
    <w:rsid w:val="00340916"/>
    <w:rsid w:val="00340B3F"/>
    <w:rsid w:val="003421CB"/>
    <w:rsid w:val="00342A79"/>
    <w:rsid w:val="003438CA"/>
    <w:rsid w:val="003446D8"/>
    <w:rsid w:val="00344A16"/>
    <w:rsid w:val="00345121"/>
    <w:rsid w:val="0034540D"/>
    <w:rsid w:val="003464BE"/>
    <w:rsid w:val="00346ADF"/>
    <w:rsid w:val="00346AFF"/>
    <w:rsid w:val="003476B3"/>
    <w:rsid w:val="00347C10"/>
    <w:rsid w:val="00347D97"/>
    <w:rsid w:val="00350220"/>
    <w:rsid w:val="003508E9"/>
    <w:rsid w:val="00351054"/>
    <w:rsid w:val="00351C18"/>
    <w:rsid w:val="00351CB3"/>
    <w:rsid w:val="0035248C"/>
    <w:rsid w:val="00352C16"/>
    <w:rsid w:val="00354965"/>
    <w:rsid w:val="00354DC3"/>
    <w:rsid w:val="003554E5"/>
    <w:rsid w:val="003568EE"/>
    <w:rsid w:val="00356E52"/>
    <w:rsid w:val="0035757C"/>
    <w:rsid w:val="003575F7"/>
    <w:rsid w:val="0035769B"/>
    <w:rsid w:val="003578BC"/>
    <w:rsid w:val="00357AA0"/>
    <w:rsid w:val="003614DB"/>
    <w:rsid w:val="00362BF4"/>
    <w:rsid w:val="00364444"/>
    <w:rsid w:val="00365904"/>
    <w:rsid w:val="0036680C"/>
    <w:rsid w:val="003674C7"/>
    <w:rsid w:val="00367CD1"/>
    <w:rsid w:val="00367D2A"/>
    <w:rsid w:val="00370451"/>
    <w:rsid w:val="003707EC"/>
    <w:rsid w:val="00370AD3"/>
    <w:rsid w:val="00371D06"/>
    <w:rsid w:val="0037222D"/>
    <w:rsid w:val="00372332"/>
    <w:rsid w:val="00373309"/>
    <w:rsid w:val="00373F38"/>
    <w:rsid w:val="00374FD7"/>
    <w:rsid w:val="00375069"/>
    <w:rsid w:val="003770A9"/>
    <w:rsid w:val="003775C4"/>
    <w:rsid w:val="00377F69"/>
    <w:rsid w:val="003817AB"/>
    <w:rsid w:val="00381F52"/>
    <w:rsid w:val="003827BB"/>
    <w:rsid w:val="00382B3D"/>
    <w:rsid w:val="00382FFD"/>
    <w:rsid w:val="00383A62"/>
    <w:rsid w:val="00383AC2"/>
    <w:rsid w:val="0038411F"/>
    <w:rsid w:val="00384192"/>
    <w:rsid w:val="003841A7"/>
    <w:rsid w:val="0038441E"/>
    <w:rsid w:val="003849E8"/>
    <w:rsid w:val="00384CF5"/>
    <w:rsid w:val="00385FC1"/>
    <w:rsid w:val="00386EC8"/>
    <w:rsid w:val="003903D3"/>
    <w:rsid w:val="003912C9"/>
    <w:rsid w:val="0039159B"/>
    <w:rsid w:val="00391FC9"/>
    <w:rsid w:val="00394B84"/>
    <w:rsid w:val="00395276"/>
    <w:rsid w:val="003968D2"/>
    <w:rsid w:val="00396B90"/>
    <w:rsid w:val="00397025"/>
    <w:rsid w:val="00397A53"/>
    <w:rsid w:val="00397D0D"/>
    <w:rsid w:val="003A1771"/>
    <w:rsid w:val="003A1ACD"/>
    <w:rsid w:val="003A2637"/>
    <w:rsid w:val="003A2FA4"/>
    <w:rsid w:val="003A30A5"/>
    <w:rsid w:val="003A3F08"/>
    <w:rsid w:val="003A4073"/>
    <w:rsid w:val="003A4885"/>
    <w:rsid w:val="003A4AB6"/>
    <w:rsid w:val="003A523E"/>
    <w:rsid w:val="003A52DD"/>
    <w:rsid w:val="003A53F0"/>
    <w:rsid w:val="003A58EF"/>
    <w:rsid w:val="003A5A35"/>
    <w:rsid w:val="003A6930"/>
    <w:rsid w:val="003A7CAF"/>
    <w:rsid w:val="003B0414"/>
    <w:rsid w:val="003B1521"/>
    <w:rsid w:val="003B301D"/>
    <w:rsid w:val="003B406D"/>
    <w:rsid w:val="003B45C6"/>
    <w:rsid w:val="003B4DB0"/>
    <w:rsid w:val="003B53B5"/>
    <w:rsid w:val="003B5CDF"/>
    <w:rsid w:val="003C1378"/>
    <w:rsid w:val="003C1AA0"/>
    <w:rsid w:val="003C28F9"/>
    <w:rsid w:val="003C2E5F"/>
    <w:rsid w:val="003C38FB"/>
    <w:rsid w:val="003C5338"/>
    <w:rsid w:val="003C56DB"/>
    <w:rsid w:val="003C6858"/>
    <w:rsid w:val="003C72C8"/>
    <w:rsid w:val="003D0E73"/>
    <w:rsid w:val="003D1237"/>
    <w:rsid w:val="003D1C83"/>
    <w:rsid w:val="003D2385"/>
    <w:rsid w:val="003D28A0"/>
    <w:rsid w:val="003D361E"/>
    <w:rsid w:val="003D3DFF"/>
    <w:rsid w:val="003D49A6"/>
    <w:rsid w:val="003D49AB"/>
    <w:rsid w:val="003D56FF"/>
    <w:rsid w:val="003D646D"/>
    <w:rsid w:val="003D66F8"/>
    <w:rsid w:val="003D7341"/>
    <w:rsid w:val="003D7A2C"/>
    <w:rsid w:val="003D7B50"/>
    <w:rsid w:val="003E0934"/>
    <w:rsid w:val="003E29B4"/>
    <w:rsid w:val="003E2D58"/>
    <w:rsid w:val="003E3CF5"/>
    <w:rsid w:val="003E3D9F"/>
    <w:rsid w:val="003E3DE9"/>
    <w:rsid w:val="003E4153"/>
    <w:rsid w:val="003E4B2E"/>
    <w:rsid w:val="003E4CC1"/>
    <w:rsid w:val="003E5CBC"/>
    <w:rsid w:val="003E600F"/>
    <w:rsid w:val="003E79F0"/>
    <w:rsid w:val="003F02E1"/>
    <w:rsid w:val="003F131D"/>
    <w:rsid w:val="003F133C"/>
    <w:rsid w:val="003F3221"/>
    <w:rsid w:val="003F4E1E"/>
    <w:rsid w:val="003F53F1"/>
    <w:rsid w:val="003F5952"/>
    <w:rsid w:val="003F59F7"/>
    <w:rsid w:val="003F5AE7"/>
    <w:rsid w:val="003F5F11"/>
    <w:rsid w:val="003F6B16"/>
    <w:rsid w:val="003F75A9"/>
    <w:rsid w:val="003F7E1E"/>
    <w:rsid w:val="00400129"/>
    <w:rsid w:val="00400303"/>
    <w:rsid w:val="00400C78"/>
    <w:rsid w:val="00400FE6"/>
    <w:rsid w:val="00401A2C"/>
    <w:rsid w:val="00402FD1"/>
    <w:rsid w:val="004039F7"/>
    <w:rsid w:val="00404D8E"/>
    <w:rsid w:val="004051CB"/>
    <w:rsid w:val="00406937"/>
    <w:rsid w:val="00407BD6"/>
    <w:rsid w:val="00407CAF"/>
    <w:rsid w:val="004103D8"/>
    <w:rsid w:val="00410F88"/>
    <w:rsid w:val="004110B1"/>
    <w:rsid w:val="00411841"/>
    <w:rsid w:val="00411ACE"/>
    <w:rsid w:val="00412F62"/>
    <w:rsid w:val="004139DE"/>
    <w:rsid w:val="00414859"/>
    <w:rsid w:val="00414C2B"/>
    <w:rsid w:val="00416408"/>
    <w:rsid w:val="00417921"/>
    <w:rsid w:val="00421A41"/>
    <w:rsid w:val="00421E12"/>
    <w:rsid w:val="00421FB0"/>
    <w:rsid w:val="00422882"/>
    <w:rsid w:val="00424010"/>
    <w:rsid w:val="00424867"/>
    <w:rsid w:val="00426AAC"/>
    <w:rsid w:val="00426BEE"/>
    <w:rsid w:val="00430068"/>
    <w:rsid w:val="0043012B"/>
    <w:rsid w:val="004314E9"/>
    <w:rsid w:val="00431B46"/>
    <w:rsid w:val="004325E5"/>
    <w:rsid w:val="00432A3B"/>
    <w:rsid w:val="004333B9"/>
    <w:rsid w:val="004344B8"/>
    <w:rsid w:val="004352F2"/>
    <w:rsid w:val="00435728"/>
    <w:rsid w:val="004374FD"/>
    <w:rsid w:val="0043761D"/>
    <w:rsid w:val="004400F9"/>
    <w:rsid w:val="004408EE"/>
    <w:rsid w:val="00441F25"/>
    <w:rsid w:val="00441FCD"/>
    <w:rsid w:val="0044285D"/>
    <w:rsid w:val="00443367"/>
    <w:rsid w:val="0044363C"/>
    <w:rsid w:val="00443679"/>
    <w:rsid w:val="00443A9D"/>
    <w:rsid w:val="00443F9B"/>
    <w:rsid w:val="00445188"/>
    <w:rsid w:val="004455C7"/>
    <w:rsid w:val="004458EA"/>
    <w:rsid w:val="00445A2E"/>
    <w:rsid w:val="004501A4"/>
    <w:rsid w:val="004512AE"/>
    <w:rsid w:val="004516C1"/>
    <w:rsid w:val="00451EB2"/>
    <w:rsid w:val="004521AB"/>
    <w:rsid w:val="00453610"/>
    <w:rsid w:val="004537D0"/>
    <w:rsid w:val="00454839"/>
    <w:rsid w:val="0045579E"/>
    <w:rsid w:val="00455B0F"/>
    <w:rsid w:val="00457438"/>
    <w:rsid w:val="00460761"/>
    <w:rsid w:val="00460FA5"/>
    <w:rsid w:val="00461914"/>
    <w:rsid w:val="00462022"/>
    <w:rsid w:val="00462271"/>
    <w:rsid w:val="004626EB"/>
    <w:rsid w:val="0046425B"/>
    <w:rsid w:val="004653FD"/>
    <w:rsid w:val="00465800"/>
    <w:rsid w:val="00465846"/>
    <w:rsid w:val="004664D8"/>
    <w:rsid w:val="004669E5"/>
    <w:rsid w:val="00467865"/>
    <w:rsid w:val="00467F48"/>
    <w:rsid w:val="00470488"/>
    <w:rsid w:val="00470E48"/>
    <w:rsid w:val="0047103F"/>
    <w:rsid w:val="00471C2F"/>
    <w:rsid w:val="00471E72"/>
    <w:rsid w:val="004729BE"/>
    <w:rsid w:val="00472C06"/>
    <w:rsid w:val="00473569"/>
    <w:rsid w:val="004738A4"/>
    <w:rsid w:val="004747D5"/>
    <w:rsid w:val="0047577A"/>
    <w:rsid w:val="0047673B"/>
    <w:rsid w:val="00477362"/>
    <w:rsid w:val="00481FFE"/>
    <w:rsid w:val="00482939"/>
    <w:rsid w:val="00483839"/>
    <w:rsid w:val="004839C3"/>
    <w:rsid w:val="00484A73"/>
    <w:rsid w:val="00485833"/>
    <w:rsid w:val="004868CB"/>
    <w:rsid w:val="00486EFE"/>
    <w:rsid w:val="00487C1D"/>
    <w:rsid w:val="00487C5E"/>
    <w:rsid w:val="00491422"/>
    <w:rsid w:val="004924B9"/>
    <w:rsid w:val="00495F62"/>
    <w:rsid w:val="00497BFF"/>
    <w:rsid w:val="004A0F58"/>
    <w:rsid w:val="004A14B4"/>
    <w:rsid w:val="004A1CD8"/>
    <w:rsid w:val="004A25C5"/>
    <w:rsid w:val="004A27E7"/>
    <w:rsid w:val="004A328A"/>
    <w:rsid w:val="004A369A"/>
    <w:rsid w:val="004A3AF6"/>
    <w:rsid w:val="004A42EA"/>
    <w:rsid w:val="004A44C8"/>
    <w:rsid w:val="004A46C6"/>
    <w:rsid w:val="004A51FE"/>
    <w:rsid w:val="004A5BF2"/>
    <w:rsid w:val="004A5F77"/>
    <w:rsid w:val="004B026D"/>
    <w:rsid w:val="004B0470"/>
    <w:rsid w:val="004B0690"/>
    <w:rsid w:val="004B0978"/>
    <w:rsid w:val="004B176A"/>
    <w:rsid w:val="004B40DC"/>
    <w:rsid w:val="004B4231"/>
    <w:rsid w:val="004B430E"/>
    <w:rsid w:val="004B4980"/>
    <w:rsid w:val="004B6DEF"/>
    <w:rsid w:val="004B7D52"/>
    <w:rsid w:val="004C0FC1"/>
    <w:rsid w:val="004C2260"/>
    <w:rsid w:val="004C236A"/>
    <w:rsid w:val="004C3FE3"/>
    <w:rsid w:val="004C4EF9"/>
    <w:rsid w:val="004C721A"/>
    <w:rsid w:val="004D04D4"/>
    <w:rsid w:val="004D0691"/>
    <w:rsid w:val="004D1698"/>
    <w:rsid w:val="004D1957"/>
    <w:rsid w:val="004D2356"/>
    <w:rsid w:val="004D2613"/>
    <w:rsid w:val="004D3E1C"/>
    <w:rsid w:val="004D47A4"/>
    <w:rsid w:val="004D5C71"/>
    <w:rsid w:val="004D5FCC"/>
    <w:rsid w:val="004E0981"/>
    <w:rsid w:val="004E124B"/>
    <w:rsid w:val="004E1A4A"/>
    <w:rsid w:val="004E270A"/>
    <w:rsid w:val="004E2BA3"/>
    <w:rsid w:val="004E2D8D"/>
    <w:rsid w:val="004E38AC"/>
    <w:rsid w:val="004E3BCC"/>
    <w:rsid w:val="004E4E78"/>
    <w:rsid w:val="004E5B23"/>
    <w:rsid w:val="004E7086"/>
    <w:rsid w:val="004E7666"/>
    <w:rsid w:val="004E76C0"/>
    <w:rsid w:val="004E78A6"/>
    <w:rsid w:val="004F16F3"/>
    <w:rsid w:val="004F1772"/>
    <w:rsid w:val="004F1854"/>
    <w:rsid w:val="004F2A68"/>
    <w:rsid w:val="004F3D34"/>
    <w:rsid w:val="004F43B4"/>
    <w:rsid w:val="004F632E"/>
    <w:rsid w:val="004F7CE2"/>
    <w:rsid w:val="005006E9"/>
    <w:rsid w:val="005012F2"/>
    <w:rsid w:val="005026B4"/>
    <w:rsid w:val="00503427"/>
    <w:rsid w:val="00503C64"/>
    <w:rsid w:val="0050411A"/>
    <w:rsid w:val="005044C5"/>
    <w:rsid w:val="00505800"/>
    <w:rsid w:val="00505A38"/>
    <w:rsid w:val="00506705"/>
    <w:rsid w:val="0050763F"/>
    <w:rsid w:val="0051169E"/>
    <w:rsid w:val="00511B59"/>
    <w:rsid w:val="0051217E"/>
    <w:rsid w:val="00513A61"/>
    <w:rsid w:val="00513E9C"/>
    <w:rsid w:val="00515105"/>
    <w:rsid w:val="005153A0"/>
    <w:rsid w:val="005155D4"/>
    <w:rsid w:val="0051569F"/>
    <w:rsid w:val="00515C35"/>
    <w:rsid w:val="005160F9"/>
    <w:rsid w:val="005166C5"/>
    <w:rsid w:val="005168C8"/>
    <w:rsid w:val="00516F96"/>
    <w:rsid w:val="00520591"/>
    <w:rsid w:val="00521811"/>
    <w:rsid w:val="00522048"/>
    <w:rsid w:val="00522262"/>
    <w:rsid w:val="0052239B"/>
    <w:rsid w:val="00522596"/>
    <w:rsid w:val="00522687"/>
    <w:rsid w:val="00522D2C"/>
    <w:rsid w:val="00523B09"/>
    <w:rsid w:val="00523EE4"/>
    <w:rsid w:val="00524B53"/>
    <w:rsid w:val="00525878"/>
    <w:rsid w:val="00526081"/>
    <w:rsid w:val="00526AAA"/>
    <w:rsid w:val="00527EC6"/>
    <w:rsid w:val="0053184A"/>
    <w:rsid w:val="00532D79"/>
    <w:rsid w:val="00533579"/>
    <w:rsid w:val="00533E9F"/>
    <w:rsid w:val="00533FA5"/>
    <w:rsid w:val="00534E2A"/>
    <w:rsid w:val="005360B9"/>
    <w:rsid w:val="00536C1E"/>
    <w:rsid w:val="00540A38"/>
    <w:rsid w:val="00540B48"/>
    <w:rsid w:val="00540D11"/>
    <w:rsid w:val="0054241F"/>
    <w:rsid w:val="005429D1"/>
    <w:rsid w:val="00542F3B"/>
    <w:rsid w:val="0054393A"/>
    <w:rsid w:val="00546808"/>
    <w:rsid w:val="00550B69"/>
    <w:rsid w:val="00550E42"/>
    <w:rsid w:val="00551394"/>
    <w:rsid w:val="005518E0"/>
    <w:rsid w:val="00552B53"/>
    <w:rsid w:val="00554C80"/>
    <w:rsid w:val="00555429"/>
    <w:rsid w:val="00555E8C"/>
    <w:rsid w:val="00557709"/>
    <w:rsid w:val="00557A9B"/>
    <w:rsid w:val="00557CCE"/>
    <w:rsid w:val="00560C1A"/>
    <w:rsid w:val="005622B0"/>
    <w:rsid w:val="00562EB3"/>
    <w:rsid w:val="00564175"/>
    <w:rsid w:val="00564B1C"/>
    <w:rsid w:val="00564B4B"/>
    <w:rsid w:val="005651C7"/>
    <w:rsid w:val="005655EC"/>
    <w:rsid w:val="00565E03"/>
    <w:rsid w:val="00566528"/>
    <w:rsid w:val="00566708"/>
    <w:rsid w:val="005670B7"/>
    <w:rsid w:val="0056780B"/>
    <w:rsid w:val="00567903"/>
    <w:rsid w:val="00567978"/>
    <w:rsid w:val="00567AD3"/>
    <w:rsid w:val="005704E1"/>
    <w:rsid w:val="00570688"/>
    <w:rsid w:val="00570AE9"/>
    <w:rsid w:val="00570B7D"/>
    <w:rsid w:val="00570DC1"/>
    <w:rsid w:val="005719D5"/>
    <w:rsid w:val="00573547"/>
    <w:rsid w:val="00573B2B"/>
    <w:rsid w:val="00573DC5"/>
    <w:rsid w:val="005741F6"/>
    <w:rsid w:val="0057523F"/>
    <w:rsid w:val="00575AE7"/>
    <w:rsid w:val="00575F83"/>
    <w:rsid w:val="0057626C"/>
    <w:rsid w:val="005767D4"/>
    <w:rsid w:val="00577393"/>
    <w:rsid w:val="005802BC"/>
    <w:rsid w:val="005806D3"/>
    <w:rsid w:val="00580F23"/>
    <w:rsid w:val="00581105"/>
    <w:rsid w:val="00581227"/>
    <w:rsid w:val="0058148B"/>
    <w:rsid w:val="00582DC8"/>
    <w:rsid w:val="005832F9"/>
    <w:rsid w:val="005838B9"/>
    <w:rsid w:val="00583DF7"/>
    <w:rsid w:val="00584843"/>
    <w:rsid w:val="0058525D"/>
    <w:rsid w:val="00586B58"/>
    <w:rsid w:val="005870B1"/>
    <w:rsid w:val="00587A5D"/>
    <w:rsid w:val="0059091C"/>
    <w:rsid w:val="00591B29"/>
    <w:rsid w:val="00591B32"/>
    <w:rsid w:val="0059214F"/>
    <w:rsid w:val="00592610"/>
    <w:rsid w:val="00594FA7"/>
    <w:rsid w:val="005954CE"/>
    <w:rsid w:val="00595656"/>
    <w:rsid w:val="00596959"/>
    <w:rsid w:val="00596D58"/>
    <w:rsid w:val="00596D5F"/>
    <w:rsid w:val="005A0424"/>
    <w:rsid w:val="005A0A43"/>
    <w:rsid w:val="005A0F43"/>
    <w:rsid w:val="005A1073"/>
    <w:rsid w:val="005A11D3"/>
    <w:rsid w:val="005A1BED"/>
    <w:rsid w:val="005A320B"/>
    <w:rsid w:val="005A3C58"/>
    <w:rsid w:val="005A43D4"/>
    <w:rsid w:val="005A78C9"/>
    <w:rsid w:val="005B01DD"/>
    <w:rsid w:val="005B02F8"/>
    <w:rsid w:val="005B07D9"/>
    <w:rsid w:val="005B17AC"/>
    <w:rsid w:val="005B2578"/>
    <w:rsid w:val="005B4176"/>
    <w:rsid w:val="005B502F"/>
    <w:rsid w:val="005B50DD"/>
    <w:rsid w:val="005B5E28"/>
    <w:rsid w:val="005B70C1"/>
    <w:rsid w:val="005B78E9"/>
    <w:rsid w:val="005B7DDE"/>
    <w:rsid w:val="005C0D7F"/>
    <w:rsid w:val="005C1501"/>
    <w:rsid w:val="005C1B71"/>
    <w:rsid w:val="005C1D30"/>
    <w:rsid w:val="005C2B6D"/>
    <w:rsid w:val="005C2E31"/>
    <w:rsid w:val="005C3119"/>
    <w:rsid w:val="005C4677"/>
    <w:rsid w:val="005C567B"/>
    <w:rsid w:val="005C5DD7"/>
    <w:rsid w:val="005C641F"/>
    <w:rsid w:val="005C673F"/>
    <w:rsid w:val="005D0A64"/>
    <w:rsid w:val="005D0F4F"/>
    <w:rsid w:val="005D1858"/>
    <w:rsid w:val="005D1EEF"/>
    <w:rsid w:val="005D1F90"/>
    <w:rsid w:val="005D3B66"/>
    <w:rsid w:val="005D582F"/>
    <w:rsid w:val="005D6A56"/>
    <w:rsid w:val="005D7577"/>
    <w:rsid w:val="005D7C1B"/>
    <w:rsid w:val="005E251C"/>
    <w:rsid w:val="005E2789"/>
    <w:rsid w:val="005E366D"/>
    <w:rsid w:val="005E3A10"/>
    <w:rsid w:val="005E3C5F"/>
    <w:rsid w:val="005E4D25"/>
    <w:rsid w:val="005E5450"/>
    <w:rsid w:val="005E5C8A"/>
    <w:rsid w:val="005E5F64"/>
    <w:rsid w:val="005E7F99"/>
    <w:rsid w:val="005F022F"/>
    <w:rsid w:val="005F0423"/>
    <w:rsid w:val="005F1587"/>
    <w:rsid w:val="005F1818"/>
    <w:rsid w:val="005F28AA"/>
    <w:rsid w:val="005F2917"/>
    <w:rsid w:val="005F3220"/>
    <w:rsid w:val="005F3363"/>
    <w:rsid w:val="005F4B51"/>
    <w:rsid w:val="005F591C"/>
    <w:rsid w:val="005F5A4D"/>
    <w:rsid w:val="005F5DAF"/>
    <w:rsid w:val="005F6378"/>
    <w:rsid w:val="005F71C4"/>
    <w:rsid w:val="005F755B"/>
    <w:rsid w:val="005F7A79"/>
    <w:rsid w:val="006002AB"/>
    <w:rsid w:val="00600405"/>
    <w:rsid w:val="00600919"/>
    <w:rsid w:val="00600AB1"/>
    <w:rsid w:val="00600C25"/>
    <w:rsid w:val="00601D96"/>
    <w:rsid w:val="00603BF5"/>
    <w:rsid w:val="00604488"/>
    <w:rsid w:val="00605064"/>
    <w:rsid w:val="00605235"/>
    <w:rsid w:val="006056F6"/>
    <w:rsid w:val="00605776"/>
    <w:rsid w:val="006061B1"/>
    <w:rsid w:val="00606322"/>
    <w:rsid w:val="0060702C"/>
    <w:rsid w:val="006070BB"/>
    <w:rsid w:val="006072B7"/>
    <w:rsid w:val="00607D1F"/>
    <w:rsid w:val="00611970"/>
    <w:rsid w:val="00614873"/>
    <w:rsid w:val="006161F9"/>
    <w:rsid w:val="006165E4"/>
    <w:rsid w:val="00617F8C"/>
    <w:rsid w:val="00620A7C"/>
    <w:rsid w:val="00621A64"/>
    <w:rsid w:val="006228A9"/>
    <w:rsid w:val="00623451"/>
    <w:rsid w:val="00623ABA"/>
    <w:rsid w:val="006247EA"/>
    <w:rsid w:val="00624E6A"/>
    <w:rsid w:val="006260B6"/>
    <w:rsid w:val="006268CC"/>
    <w:rsid w:val="006276DA"/>
    <w:rsid w:val="006307BB"/>
    <w:rsid w:val="00630B2E"/>
    <w:rsid w:val="00631054"/>
    <w:rsid w:val="00631093"/>
    <w:rsid w:val="006322C9"/>
    <w:rsid w:val="006324F5"/>
    <w:rsid w:val="00632655"/>
    <w:rsid w:val="00632C67"/>
    <w:rsid w:val="00632C70"/>
    <w:rsid w:val="00632CE9"/>
    <w:rsid w:val="00633006"/>
    <w:rsid w:val="00633B6C"/>
    <w:rsid w:val="00634217"/>
    <w:rsid w:val="006345FE"/>
    <w:rsid w:val="00634883"/>
    <w:rsid w:val="006349B1"/>
    <w:rsid w:val="00634CAC"/>
    <w:rsid w:val="00634DFF"/>
    <w:rsid w:val="0063510F"/>
    <w:rsid w:val="0063525B"/>
    <w:rsid w:val="006353E5"/>
    <w:rsid w:val="00636299"/>
    <w:rsid w:val="00636BEA"/>
    <w:rsid w:val="00637400"/>
    <w:rsid w:val="0063773D"/>
    <w:rsid w:val="00640250"/>
    <w:rsid w:val="006403E9"/>
    <w:rsid w:val="006404C8"/>
    <w:rsid w:val="006407C9"/>
    <w:rsid w:val="00640EF0"/>
    <w:rsid w:val="006414DA"/>
    <w:rsid w:val="006420ED"/>
    <w:rsid w:val="00643CED"/>
    <w:rsid w:val="00643E52"/>
    <w:rsid w:val="006444AA"/>
    <w:rsid w:val="006448E7"/>
    <w:rsid w:val="00644DE2"/>
    <w:rsid w:val="00645526"/>
    <w:rsid w:val="0064587F"/>
    <w:rsid w:val="006469B2"/>
    <w:rsid w:val="00646EE7"/>
    <w:rsid w:val="006471FF"/>
    <w:rsid w:val="00647201"/>
    <w:rsid w:val="00651454"/>
    <w:rsid w:val="006519D0"/>
    <w:rsid w:val="00653C59"/>
    <w:rsid w:val="00655690"/>
    <w:rsid w:val="00657B00"/>
    <w:rsid w:val="00657B53"/>
    <w:rsid w:val="0066185D"/>
    <w:rsid w:val="00662B52"/>
    <w:rsid w:val="00662B73"/>
    <w:rsid w:val="00662C14"/>
    <w:rsid w:val="0066300B"/>
    <w:rsid w:val="00663952"/>
    <w:rsid w:val="00663B72"/>
    <w:rsid w:val="00663CF5"/>
    <w:rsid w:val="00665156"/>
    <w:rsid w:val="00665437"/>
    <w:rsid w:val="00667BE9"/>
    <w:rsid w:val="00670C56"/>
    <w:rsid w:val="0067139A"/>
    <w:rsid w:val="00671526"/>
    <w:rsid w:val="006716BC"/>
    <w:rsid w:val="00671D0D"/>
    <w:rsid w:val="006734EA"/>
    <w:rsid w:val="00674016"/>
    <w:rsid w:val="006740CE"/>
    <w:rsid w:val="00676B3D"/>
    <w:rsid w:val="006776CB"/>
    <w:rsid w:val="00677857"/>
    <w:rsid w:val="00680130"/>
    <w:rsid w:val="006802C0"/>
    <w:rsid w:val="00681553"/>
    <w:rsid w:val="00681648"/>
    <w:rsid w:val="00681C43"/>
    <w:rsid w:val="006828F2"/>
    <w:rsid w:val="00682994"/>
    <w:rsid w:val="00682D80"/>
    <w:rsid w:val="006838BD"/>
    <w:rsid w:val="006838E7"/>
    <w:rsid w:val="00683E00"/>
    <w:rsid w:val="00684513"/>
    <w:rsid w:val="006872A2"/>
    <w:rsid w:val="0069027F"/>
    <w:rsid w:val="0069058F"/>
    <w:rsid w:val="00690B65"/>
    <w:rsid w:val="00690C91"/>
    <w:rsid w:val="00691679"/>
    <w:rsid w:val="00692173"/>
    <w:rsid w:val="00695857"/>
    <w:rsid w:val="006974AD"/>
    <w:rsid w:val="006A113F"/>
    <w:rsid w:val="006A120C"/>
    <w:rsid w:val="006A2356"/>
    <w:rsid w:val="006A2C92"/>
    <w:rsid w:val="006A4206"/>
    <w:rsid w:val="006A4C20"/>
    <w:rsid w:val="006A4E20"/>
    <w:rsid w:val="006A522F"/>
    <w:rsid w:val="006A5E72"/>
    <w:rsid w:val="006A6828"/>
    <w:rsid w:val="006A7085"/>
    <w:rsid w:val="006A7D12"/>
    <w:rsid w:val="006B069A"/>
    <w:rsid w:val="006B2B3D"/>
    <w:rsid w:val="006B3456"/>
    <w:rsid w:val="006B52E2"/>
    <w:rsid w:val="006B56BC"/>
    <w:rsid w:val="006B5C22"/>
    <w:rsid w:val="006B65A4"/>
    <w:rsid w:val="006C11EE"/>
    <w:rsid w:val="006C2958"/>
    <w:rsid w:val="006C2A6B"/>
    <w:rsid w:val="006C549C"/>
    <w:rsid w:val="006C7290"/>
    <w:rsid w:val="006C7CC7"/>
    <w:rsid w:val="006D0409"/>
    <w:rsid w:val="006D0C22"/>
    <w:rsid w:val="006D1B81"/>
    <w:rsid w:val="006D3E17"/>
    <w:rsid w:val="006D4962"/>
    <w:rsid w:val="006D4992"/>
    <w:rsid w:val="006D571C"/>
    <w:rsid w:val="006D6B21"/>
    <w:rsid w:val="006D773E"/>
    <w:rsid w:val="006E16DC"/>
    <w:rsid w:val="006E288A"/>
    <w:rsid w:val="006E2F19"/>
    <w:rsid w:val="006E5357"/>
    <w:rsid w:val="006E7517"/>
    <w:rsid w:val="006E7588"/>
    <w:rsid w:val="006E7EE8"/>
    <w:rsid w:val="006F099F"/>
    <w:rsid w:val="006F09B0"/>
    <w:rsid w:val="006F0E2C"/>
    <w:rsid w:val="006F0E51"/>
    <w:rsid w:val="006F114E"/>
    <w:rsid w:val="006F1D8E"/>
    <w:rsid w:val="006F2B27"/>
    <w:rsid w:val="006F4E75"/>
    <w:rsid w:val="006F7D82"/>
    <w:rsid w:val="00702106"/>
    <w:rsid w:val="007024FB"/>
    <w:rsid w:val="00703B82"/>
    <w:rsid w:val="00703EAB"/>
    <w:rsid w:val="00704380"/>
    <w:rsid w:val="007043DD"/>
    <w:rsid w:val="00706443"/>
    <w:rsid w:val="0070657A"/>
    <w:rsid w:val="007067B3"/>
    <w:rsid w:val="00706B93"/>
    <w:rsid w:val="00706C4B"/>
    <w:rsid w:val="00707736"/>
    <w:rsid w:val="007079A0"/>
    <w:rsid w:val="00707EBD"/>
    <w:rsid w:val="007109E9"/>
    <w:rsid w:val="00712097"/>
    <w:rsid w:val="0071245D"/>
    <w:rsid w:val="0071276B"/>
    <w:rsid w:val="00712A66"/>
    <w:rsid w:val="00713E46"/>
    <w:rsid w:val="0071517B"/>
    <w:rsid w:val="0071518A"/>
    <w:rsid w:val="007151B4"/>
    <w:rsid w:val="00715392"/>
    <w:rsid w:val="00716BF2"/>
    <w:rsid w:val="00717052"/>
    <w:rsid w:val="0071775B"/>
    <w:rsid w:val="007177BB"/>
    <w:rsid w:val="0072022A"/>
    <w:rsid w:val="0072200A"/>
    <w:rsid w:val="00722C61"/>
    <w:rsid w:val="007244FD"/>
    <w:rsid w:val="00724B21"/>
    <w:rsid w:val="00724CD0"/>
    <w:rsid w:val="00726BDE"/>
    <w:rsid w:val="00726ECD"/>
    <w:rsid w:val="007274EA"/>
    <w:rsid w:val="00727898"/>
    <w:rsid w:val="00727A6B"/>
    <w:rsid w:val="007301F6"/>
    <w:rsid w:val="00730702"/>
    <w:rsid w:val="00730A36"/>
    <w:rsid w:val="007322A0"/>
    <w:rsid w:val="00733088"/>
    <w:rsid w:val="00733AC4"/>
    <w:rsid w:val="0073463D"/>
    <w:rsid w:val="00735FE6"/>
    <w:rsid w:val="007363B5"/>
    <w:rsid w:val="007364EA"/>
    <w:rsid w:val="00736B91"/>
    <w:rsid w:val="00740316"/>
    <w:rsid w:val="00740831"/>
    <w:rsid w:val="00740AC2"/>
    <w:rsid w:val="0074111C"/>
    <w:rsid w:val="00741871"/>
    <w:rsid w:val="007419EA"/>
    <w:rsid w:val="00743690"/>
    <w:rsid w:val="00744C81"/>
    <w:rsid w:val="00744D55"/>
    <w:rsid w:val="007465CC"/>
    <w:rsid w:val="00746CDC"/>
    <w:rsid w:val="00747B25"/>
    <w:rsid w:val="00750E7F"/>
    <w:rsid w:val="0075115E"/>
    <w:rsid w:val="007515B6"/>
    <w:rsid w:val="00751C59"/>
    <w:rsid w:val="00752B5E"/>
    <w:rsid w:val="0075454A"/>
    <w:rsid w:val="007549B8"/>
    <w:rsid w:val="00755037"/>
    <w:rsid w:val="00755405"/>
    <w:rsid w:val="00755BD0"/>
    <w:rsid w:val="00755C62"/>
    <w:rsid w:val="00756383"/>
    <w:rsid w:val="007564A6"/>
    <w:rsid w:val="00756829"/>
    <w:rsid w:val="00760494"/>
    <w:rsid w:val="0076114D"/>
    <w:rsid w:val="007620C9"/>
    <w:rsid w:val="00762C88"/>
    <w:rsid w:val="0076324D"/>
    <w:rsid w:val="00764325"/>
    <w:rsid w:val="00764C48"/>
    <w:rsid w:val="00764D1A"/>
    <w:rsid w:val="00766070"/>
    <w:rsid w:val="0076638A"/>
    <w:rsid w:val="007671B2"/>
    <w:rsid w:val="00772994"/>
    <w:rsid w:val="00773168"/>
    <w:rsid w:val="007743A0"/>
    <w:rsid w:val="00774410"/>
    <w:rsid w:val="00774891"/>
    <w:rsid w:val="00774D86"/>
    <w:rsid w:val="00775664"/>
    <w:rsid w:val="00775CE4"/>
    <w:rsid w:val="007774A4"/>
    <w:rsid w:val="00777B81"/>
    <w:rsid w:val="00780B58"/>
    <w:rsid w:val="00781D04"/>
    <w:rsid w:val="0078272F"/>
    <w:rsid w:val="00783337"/>
    <w:rsid w:val="00783513"/>
    <w:rsid w:val="0078387A"/>
    <w:rsid w:val="007839BC"/>
    <w:rsid w:val="00784603"/>
    <w:rsid w:val="00784DF4"/>
    <w:rsid w:val="00785256"/>
    <w:rsid w:val="0078594D"/>
    <w:rsid w:val="00785B7A"/>
    <w:rsid w:val="007863AB"/>
    <w:rsid w:val="00786634"/>
    <w:rsid w:val="007867FD"/>
    <w:rsid w:val="007869BE"/>
    <w:rsid w:val="0078746F"/>
    <w:rsid w:val="00787545"/>
    <w:rsid w:val="00787BC9"/>
    <w:rsid w:val="00787C08"/>
    <w:rsid w:val="00790706"/>
    <w:rsid w:val="00791C2F"/>
    <w:rsid w:val="00791FCF"/>
    <w:rsid w:val="007923D6"/>
    <w:rsid w:val="00792A08"/>
    <w:rsid w:val="00793078"/>
    <w:rsid w:val="00793251"/>
    <w:rsid w:val="0079340F"/>
    <w:rsid w:val="00793654"/>
    <w:rsid w:val="00793743"/>
    <w:rsid w:val="00793AE9"/>
    <w:rsid w:val="007941D3"/>
    <w:rsid w:val="0079598F"/>
    <w:rsid w:val="00796CB6"/>
    <w:rsid w:val="007A05FC"/>
    <w:rsid w:val="007A0867"/>
    <w:rsid w:val="007A1021"/>
    <w:rsid w:val="007A1BEA"/>
    <w:rsid w:val="007A1EDD"/>
    <w:rsid w:val="007A28F2"/>
    <w:rsid w:val="007A2B8C"/>
    <w:rsid w:val="007A2F94"/>
    <w:rsid w:val="007A38F1"/>
    <w:rsid w:val="007A3AA4"/>
    <w:rsid w:val="007A41DE"/>
    <w:rsid w:val="007A630E"/>
    <w:rsid w:val="007A6586"/>
    <w:rsid w:val="007B00EF"/>
    <w:rsid w:val="007B0759"/>
    <w:rsid w:val="007B0F9C"/>
    <w:rsid w:val="007B167F"/>
    <w:rsid w:val="007B1E12"/>
    <w:rsid w:val="007B427F"/>
    <w:rsid w:val="007B5512"/>
    <w:rsid w:val="007B5881"/>
    <w:rsid w:val="007B649F"/>
    <w:rsid w:val="007B65CC"/>
    <w:rsid w:val="007B669C"/>
    <w:rsid w:val="007B6D67"/>
    <w:rsid w:val="007B746F"/>
    <w:rsid w:val="007C028B"/>
    <w:rsid w:val="007C186B"/>
    <w:rsid w:val="007C2B42"/>
    <w:rsid w:val="007C322F"/>
    <w:rsid w:val="007C455F"/>
    <w:rsid w:val="007C6452"/>
    <w:rsid w:val="007D1CDE"/>
    <w:rsid w:val="007D4227"/>
    <w:rsid w:val="007D44AD"/>
    <w:rsid w:val="007D4C2A"/>
    <w:rsid w:val="007D4D08"/>
    <w:rsid w:val="007D64F0"/>
    <w:rsid w:val="007D6F75"/>
    <w:rsid w:val="007D7CFE"/>
    <w:rsid w:val="007E0C99"/>
    <w:rsid w:val="007E14E6"/>
    <w:rsid w:val="007E2433"/>
    <w:rsid w:val="007E6B74"/>
    <w:rsid w:val="007E6EEF"/>
    <w:rsid w:val="007E73BF"/>
    <w:rsid w:val="007E740E"/>
    <w:rsid w:val="007E7956"/>
    <w:rsid w:val="007F0570"/>
    <w:rsid w:val="007F0A69"/>
    <w:rsid w:val="007F0FA7"/>
    <w:rsid w:val="007F14BC"/>
    <w:rsid w:val="007F1A0B"/>
    <w:rsid w:val="007F366F"/>
    <w:rsid w:val="007F372D"/>
    <w:rsid w:val="007F49A8"/>
    <w:rsid w:val="007F51CA"/>
    <w:rsid w:val="007F5FF4"/>
    <w:rsid w:val="00800665"/>
    <w:rsid w:val="00800A98"/>
    <w:rsid w:val="00800B1A"/>
    <w:rsid w:val="00801405"/>
    <w:rsid w:val="008043DF"/>
    <w:rsid w:val="0080514D"/>
    <w:rsid w:val="00806150"/>
    <w:rsid w:val="008109B7"/>
    <w:rsid w:val="008119DD"/>
    <w:rsid w:val="0081260F"/>
    <w:rsid w:val="00814661"/>
    <w:rsid w:val="0081508B"/>
    <w:rsid w:val="008152F8"/>
    <w:rsid w:val="008154D4"/>
    <w:rsid w:val="00815D70"/>
    <w:rsid w:val="00815DB3"/>
    <w:rsid w:val="00815EE8"/>
    <w:rsid w:val="0081673F"/>
    <w:rsid w:val="00817A02"/>
    <w:rsid w:val="00820B44"/>
    <w:rsid w:val="00820CFD"/>
    <w:rsid w:val="00821D52"/>
    <w:rsid w:val="00822135"/>
    <w:rsid w:val="00822EE5"/>
    <w:rsid w:val="00822FC7"/>
    <w:rsid w:val="00824F5C"/>
    <w:rsid w:val="00824FBD"/>
    <w:rsid w:val="00824FE5"/>
    <w:rsid w:val="00825321"/>
    <w:rsid w:val="0082631E"/>
    <w:rsid w:val="00826A1F"/>
    <w:rsid w:val="00827C94"/>
    <w:rsid w:val="00827E44"/>
    <w:rsid w:val="00830EE7"/>
    <w:rsid w:val="008314C1"/>
    <w:rsid w:val="008315DE"/>
    <w:rsid w:val="00832E38"/>
    <w:rsid w:val="00833187"/>
    <w:rsid w:val="008341BE"/>
    <w:rsid w:val="00836C90"/>
    <w:rsid w:val="00837A24"/>
    <w:rsid w:val="00837F99"/>
    <w:rsid w:val="00840EB2"/>
    <w:rsid w:val="00843310"/>
    <w:rsid w:val="00843F11"/>
    <w:rsid w:val="00845BA7"/>
    <w:rsid w:val="00845C1B"/>
    <w:rsid w:val="008475CC"/>
    <w:rsid w:val="008477FE"/>
    <w:rsid w:val="00847A9C"/>
    <w:rsid w:val="00847CB0"/>
    <w:rsid w:val="00850112"/>
    <w:rsid w:val="008501BC"/>
    <w:rsid w:val="008524AE"/>
    <w:rsid w:val="00853211"/>
    <w:rsid w:val="008532C2"/>
    <w:rsid w:val="00853BB8"/>
    <w:rsid w:val="0085589F"/>
    <w:rsid w:val="0085769F"/>
    <w:rsid w:val="00857B30"/>
    <w:rsid w:val="00857EC3"/>
    <w:rsid w:val="00861B6B"/>
    <w:rsid w:val="00861EAA"/>
    <w:rsid w:val="00861F8B"/>
    <w:rsid w:val="0086355C"/>
    <w:rsid w:val="00863FF4"/>
    <w:rsid w:val="00864626"/>
    <w:rsid w:val="00866026"/>
    <w:rsid w:val="00866065"/>
    <w:rsid w:val="008712D1"/>
    <w:rsid w:val="00871EB0"/>
    <w:rsid w:val="00872586"/>
    <w:rsid w:val="008735F0"/>
    <w:rsid w:val="0087504C"/>
    <w:rsid w:val="00875CA0"/>
    <w:rsid w:val="00875EC0"/>
    <w:rsid w:val="008767A4"/>
    <w:rsid w:val="00876A86"/>
    <w:rsid w:val="00876DE8"/>
    <w:rsid w:val="008800DF"/>
    <w:rsid w:val="008808E4"/>
    <w:rsid w:val="00880BE8"/>
    <w:rsid w:val="00881329"/>
    <w:rsid w:val="0088245D"/>
    <w:rsid w:val="00883786"/>
    <w:rsid w:val="00884314"/>
    <w:rsid w:val="00885A68"/>
    <w:rsid w:val="00886147"/>
    <w:rsid w:val="0088630F"/>
    <w:rsid w:val="00886723"/>
    <w:rsid w:val="0088680A"/>
    <w:rsid w:val="00886D1D"/>
    <w:rsid w:val="00890C36"/>
    <w:rsid w:val="00890DA1"/>
    <w:rsid w:val="008920D7"/>
    <w:rsid w:val="008922A7"/>
    <w:rsid w:val="00892650"/>
    <w:rsid w:val="00894688"/>
    <w:rsid w:val="0089542A"/>
    <w:rsid w:val="00895725"/>
    <w:rsid w:val="00897775"/>
    <w:rsid w:val="00897A2A"/>
    <w:rsid w:val="008A114B"/>
    <w:rsid w:val="008A1BB5"/>
    <w:rsid w:val="008A31D6"/>
    <w:rsid w:val="008A33FB"/>
    <w:rsid w:val="008A3C3E"/>
    <w:rsid w:val="008A3C4B"/>
    <w:rsid w:val="008A408D"/>
    <w:rsid w:val="008A4288"/>
    <w:rsid w:val="008A5C9C"/>
    <w:rsid w:val="008A5E00"/>
    <w:rsid w:val="008A60EF"/>
    <w:rsid w:val="008A6678"/>
    <w:rsid w:val="008A6C1B"/>
    <w:rsid w:val="008A6DA3"/>
    <w:rsid w:val="008A7181"/>
    <w:rsid w:val="008A71D8"/>
    <w:rsid w:val="008A76C8"/>
    <w:rsid w:val="008B10CA"/>
    <w:rsid w:val="008B2EE1"/>
    <w:rsid w:val="008B3400"/>
    <w:rsid w:val="008B633F"/>
    <w:rsid w:val="008B707D"/>
    <w:rsid w:val="008B77D0"/>
    <w:rsid w:val="008B7987"/>
    <w:rsid w:val="008B7D2E"/>
    <w:rsid w:val="008C1058"/>
    <w:rsid w:val="008C1811"/>
    <w:rsid w:val="008C1A77"/>
    <w:rsid w:val="008C35B0"/>
    <w:rsid w:val="008C46FD"/>
    <w:rsid w:val="008C4F6A"/>
    <w:rsid w:val="008C5D0B"/>
    <w:rsid w:val="008C6239"/>
    <w:rsid w:val="008C66AD"/>
    <w:rsid w:val="008C69FE"/>
    <w:rsid w:val="008C792F"/>
    <w:rsid w:val="008C79A1"/>
    <w:rsid w:val="008C7F01"/>
    <w:rsid w:val="008D04A5"/>
    <w:rsid w:val="008D1574"/>
    <w:rsid w:val="008D17B5"/>
    <w:rsid w:val="008D194E"/>
    <w:rsid w:val="008D1AE2"/>
    <w:rsid w:val="008D2EB0"/>
    <w:rsid w:val="008D57A4"/>
    <w:rsid w:val="008D6471"/>
    <w:rsid w:val="008D6AEB"/>
    <w:rsid w:val="008D74D2"/>
    <w:rsid w:val="008D758B"/>
    <w:rsid w:val="008D7DD4"/>
    <w:rsid w:val="008E0B36"/>
    <w:rsid w:val="008E0D09"/>
    <w:rsid w:val="008E0FC8"/>
    <w:rsid w:val="008E1512"/>
    <w:rsid w:val="008E3503"/>
    <w:rsid w:val="008E3613"/>
    <w:rsid w:val="008E37C1"/>
    <w:rsid w:val="008E4313"/>
    <w:rsid w:val="008E552F"/>
    <w:rsid w:val="008E591F"/>
    <w:rsid w:val="008E5E93"/>
    <w:rsid w:val="008E70BC"/>
    <w:rsid w:val="008E7A68"/>
    <w:rsid w:val="008F04AD"/>
    <w:rsid w:val="008F060C"/>
    <w:rsid w:val="008F0B55"/>
    <w:rsid w:val="008F0D1C"/>
    <w:rsid w:val="008F43A3"/>
    <w:rsid w:val="008F4640"/>
    <w:rsid w:val="008F4DB9"/>
    <w:rsid w:val="008F5814"/>
    <w:rsid w:val="008F597B"/>
    <w:rsid w:val="008F5A24"/>
    <w:rsid w:val="008F5D3A"/>
    <w:rsid w:val="008F672F"/>
    <w:rsid w:val="008F6DDA"/>
    <w:rsid w:val="008F7919"/>
    <w:rsid w:val="00900E46"/>
    <w:rsid w:val="00901BEA"/>
    <w:rsid w:val="009023C2"/>
    <w:rsid w:val="009023FA"/>
    <w:rsid w:val="00903540"/>
    <w:rsid w:val="00903BEF"/>
    <w:rsid w:val="0090413E"/>
    <w:rsid w:val="00904D9B"/>
    <w:rsid w:val="00907272"/>
    <w:rsid w:val="009079F0"/>
    <w:rsid w:val="0091013C"/>
    <w:rsid w:val="009107B9"/>
    <w:rsid w:val="00913FB1"/>
    <w:rsid w:val="00914747"/>
    <w:rsid w:val="009159CD"/>
    <w:rsid w:val="00915E51"/>
    <w:rsid w:val="0091661F"/>
    <w:rsid w:val="00917629"/>
    <w:rsid w:val="009200FB"/>
    <w:rsid w:val="00920290"/>
    <w:rsid w:val="00921647"/>
    <w:rsid w:val="009222BE"/>
    <w:rsid w:val="009223A5"/>
    <w:rsid w:val="0092263B"/>
    <w:rsid w:val="00922987"/>
    <w:rsid w:val="00922B4F"/>
    <w:rsid w:val="009240DC"/>
    <w:rsid w:val="00924A23"/>
    <w:rsid w:val="0092536D"/>
    <w:rsid w:val="00925BAC"/>
    <w:rsid w:val="00925D6D"/>
    <w:rsid w:val="00926345"/>
    <w:rsid w:val="00926667"/>
    <w:rsid w:val="00927283"/>
    <w:rsid w:val="0092760C"/>
    <w:rsid w:val="009276D0"/>
    <w:rsid w:val="009300AE"/>
    <w:rsid w:val="00930795"/>
    <w:rsid w:val="00931986"/>
    <w:rsid w:val="00931C22"/>
    <w:rsid w:val="00932AB7"/>
    <w:rsid w:val="009340D6"/>
    <w:rsid w:val="009341BA"/>
    <w:rsid w:val="00935B9A"/>
    <w:rsid w:val="009366DB"/>
    <w:rsid w:val="00940B03"/>
    <w:rsid w:val="009428A4"/>
    <w:rsid w:val="00942A0B"/>
    <w:rsid w:val="009438F1"/>
    <w:rsid w:val="00943FA7"/>
    <w:rsid w:val="00944832"/>
    <w:rsid w:val="0094549E"/>
    <w:rsid w:val="00945DE6"/>
    <w:rsid w:val="009478DA"/>
    <w:rsid w:val="0095019E"/>
    <w:rsid w:val="00950F2B"/>
    <w:rsid w:val="009514A2"/>
    <w:rsid w:val="0095174F"/>
    <w:rsid w:val="00953D0C"/>
    <w:rsid w:val="00955137"/>
    <w:rsid w:val="00956443"/>
    <w:rsid w:val="00957C20"/>
    <w:rsid w:val="0096030F"/>
    <w:rsid w:val="00960980"/>
    <w:rsid w:val="009616E2"/>
    <w:rsid w:val="00963BCB"/>
    <w:rsid w:val="00963CCC"/>
    <w:rsid w:val="00963D8A"/>
    <w:rsid w:val="00965283"/>
    <w:rsid w:val="0096562B"/>
    <w:rsid w:val="0096575F"/>
    <w:rsid w:val="00965766"/>
    <w:rsid w:val="009658AD"/>
    <w:rsid w:val="00965E62"/>
    <w:rsid w:val="009667BA"/>
    <w:rsid w:val="00966B18"/>
    <w:rsid w:val="00967DA0"/>
    <w:rsid w:val="0097064E"/>
    <w:rsid w:val="00970C25"/>
    <w:rsid w:val="00971D75"/>
    <w:rsid w:val="00972A7D"/>
    <w:rsid w:val="00973DCA"/>
    <w:rsid w:val="00974232"/>
    <w:rsid w:val="00975AEE"/>
    <w:rsid w:val="00976E71"/>
    <w:rsid w:val="009770CF"/>
    <w:rsid w:val="0097726A"/>
    <w:rsid w:val="009778B9"/>
    <w:rsid w:val="0098067C"/>
    <w:rsid w:val="0098095C"/>
    <w:rsid w:val="00980BEB"/>
    <w:rsid w:val="00981819"/>
    <w:rsid w:val="00981BF6"/>
    <w:rsid w:val="009821F8"/>
    <w:rsid w:val="0098279B"/>
    <w:rsid w:val="00983357"/>
    <w:rsid w:val="00983AB5"/>
    <w:rsid w:val="00984307"/>
    <w:rsid w:val="00984F1F"/>
    <w:rsid w:val="009853B2"/>
    <w:rsid w:val="00985BBD"/>
    <w:rsid w:val="00985F12"/>
    <w:rsid w:val="0098642E"/>
    <w:rsid w:val="00986647"/>
    <w:rsid w:val="00986A71"/>
    <w:rsid w:val="00987550"/>
    <w:rsid w:val="00991048"/>
    <w:rsid w:val="009915B1"/>
    <w:rsid w:val="00992229"/>
    <w:rsid w:val="00992389"/>
    <w:rsid w:val="00992517"/>
    <w:rsid w:val="00992602"/>
    <w:rsid w:val="00992E20"/>
    <w:rsid w:val="00994B8E"/>
    <w:rsid w:val="00995769"/>
    <w:rsid w:val="00995873"/>
    <w:rsid w:val="00995C82"/>
    <w:rsid w:val="0099661E"/>
    <w:rsid w:val="00996688"/>
    <w:rsid w:val="009975E8"/>
    <w:rsid w:val="00997DF8"/>
    <w:rsid w:val="009A0131"/>
    <w:rsid w:val="009A0384"/>
    <w:rsid w:val="009A0641"/>
    <w:rsid w:val="009A103D"/>
    <w:rsid w:val="009A187B"/>
    <w:rsid w:val="009A1BEB"/>
    <w:rsid w:val="009A2650"/>
    <w:rsid w:val="009A2B0C"/>
    <w:rsid w:val="009A333E"/>
    <w:rsid w:val="009A33E3"/>
    <w:rsid w:val="009A3989"/>
    <w:rsid w:val="009A3A39"/>
    <w:rsid w:val="009A5D51"/>
    <w:rsid w:val="009B0115"/>
    <w:rsid w:val="009B06AE"/>
    <w:rsid w:val="009B0B73"/>
    <w:rsid w:val="009B11DC"/>
    <w:rsid w:val="009B1334"/>
    <w:rsid w:val="009B2095"/>
    <w:rsid w:val="009B2387"/>
    <w:rsid w:val="009B23EF"/>
    <w:rsid w:val="009B29E1"/>
    <w:rsid w:val="009B3614"/>
    <w:rsid w:val="009B4194"/>
    <w:rsid w:val="009B4586"/>
    <w:rsid w:val="009B5173"/>
    <w:rsid w:val="009B5B64"/>
    <w:rsid w:val="009B6D73"/>
    <w:rsid w:val="009B7387"/>
    <w:rsid w:val="009B769D"/>
    <w:rsid w:val="009C0057"/>
    <w:rsid w:val="009C0C5F"/>
    <w:rsid w:val="009C0D2A"/>
    <w:rsid w:val="009C12AE"/>
    <w:rsid w:val="009C14C4"/>
    <w:rsid w:val="009C20B4"/>
    <w:rsid w:val="009C333F"/>
    <w:rsid w:val="009C4A2E"/>
    <w:rsid w:val="009C4F12"/>
    <w:rsid w:val="009C57DA"/>
    <w:rsid w:val="009C5C76"/>
    <w:rsid w:val="009C62A9"/>
    <w:rsid w:val="009C72CE"/>
    <w:rsid w:val="009C74AD"/>
    <w:rsid w:val="009D0D59"/>
    <w:rsid w:val="009D15E7"/>
    <w:rsid w:val="009D1BFB"/>
    <w:rsid w:val="009D2923"/>
    <w:rsid w:val="009D2F1C"/>
    <w:rsid w:val="009D3678"/>
    <w:rsid w:val="009D382A"/>
    <w:rsid w:val="009D49DA"/>
    <w:rsid w:val="009D4E5B"/>
    <w:rsid w:val="009D50B3"/>
    <w:rsid w:val="009D54E6"/>
    <w:rsid w:val="009D5589"/>
    <w:rsid w:val="009D653E"/>
    <w:rsid w:val="009D6FBB"/>
    <w:rsid w:val="009D7295"/>
    <w:rsid w:val="009D7AAA"/>
    <w:rsid w:val="009D7C61"/>
    <w:rsid w:val="009E1622"/>
    <w:rsid w:val="009E18C6"/>
    <w:rsid w:val="009E23AD"/>
    <w:rsid w:val="009E23C3"/>
    <w:rsid w:val="009E2FAB"/>
    <w:rsid w:val="009E5026"/>
    <w:rsid w:val="009E5E04"/>
    <w:rsid w:val="009E5F68"/>
    <w:rsid w:val="009E6073"/>
    <w:rsid w:val="009E6B6E"/>
    <w:rsid w:val="009F001A"/>
    <w:rsid w:val="009F07B6"/>
    <w:rsid w:val="009F08B8"/>
    <w:rsid w:val="009F193E"/>
    <w:rsid w:val="009F1D5D"/>
    <w:rsid w:val="009F3A61"/>
    <w:rsid w:val="009F4B12"/>
    <w:rsid w:val="009F55A9"/>
    <w:rsid w:val="009F631E"/>
    <w:rsid w:val="009F6D87"/>
    <w:rsid w:val="009F6EB6"/>
    <w:rsid w:val="009F7B6D"/>
    <w:rsid w:val="00A00D26"/>
    <w:rsid w:val="00A011D2"/>
    <w:rsid w:val="00A021A7"/>
    <w:rsid w:val="00A0312C"/>
    <w:rsid w:val="00A0313D"/>
    <w:rsid w:val="00A03BD7"/>
    <w:rsid w:val="00A046F3"/>
    <w:rsid w:val="00A0575E"/>
    <w:rsid w:val="00A074AA"/>
    <w:rsid w:val="00A074F9"/>
    <w:rsid w:val="00A07761"/>
    <w:rsid w:val="00A104BE"/>
    <w:rsid w:val="00A105FF"/>
    <w:rsid w:val="00A107B9"/>
    <w:rsid w:val="00A10A74"/>
    <w:rsid w:val="00A10EAD"/>
    <w:rsid w:val="00A11FEE"/>
    <w:rsid w:val="00A126C4"/>
    <w:rsid w:val="00A12ED6"/>
    <w:rsid w:val="00A13098"/>
    <w:rsid w:val="00A133E7"/>
    <w:rsid w:val="00A13437"/>
    <w:rsid w:val="00A14BAA"/>
    <w:rsid w:val="00A152AE"/>
    <w:rsid w:val="00A16AAA"/>
    <w:rsid w:val="00A17283"/>
    <w:rsid w:val="00A207EA"/>
    <w:rsid w:val="00A20F1E"/>
    <w:rsid w:val="00A21A96"/>
    <w:rsid w:val="00A21BCC"/>
    <w:rsid w:val="00A2309D"/>
    <w:rsid w:val="00A23266"/>
    <w:rsid w:val="00A25856"/>
    <w:rsid w:val="00A26068"/>
    <w:rsid w:val="00A266FA"/>
    <w:rsid w:val="00A27962"/>
    <w:rsid w:val="00A30555"/>
    <w:rsid w:val="00A30785"/>
    <w:rsid w:val="00A30E99"/>
    <w:rsid w:val="00A30F20"/>
    <w:rsid w:val="00A31137"/>
    <w:rsid w:val="00A314CD"/>
    <w:rsid w:val="00A325EB"/>
    <w:rsid w:val="00A33FB1"/>
    <w:rsid w:val="00A34277"/>
    <w:rsid w:val="00A34EC7"/>
    <w:rsid w:val="00A356A8"/>
    <w:rsid w:val="00A3618A"/>
    <w:rsid w:val="00A37701"/>
    <w:rsid w:val="00A416CC"/>
    <w:rsid w:val="00A41E70"/>
    <w:rsid w:val="00A43865"/>
    <w:rsid w:val="00A43ECA"/>
    <w:rsid w:val="00A46AFF"/>
    <w:rsid w:val="00A4792A"/>
    <w:rsid w:val="00A47A46"/>
    <w:rsid w:val="00A51089"/>
    <w:rsid w:val="00A511FD"/>
    <w:rsid w:val="00A52044"/>
    <w:rsid w:val="00A52AA9"/>
    <w:rsid w:val="00A53163"/>
    <w:rsid w:val="00A533D0"/>
    <w:rsid w:val="00A538B0"/>
    <w:rsid w:val="00A54988"/>
    <w:rsid w:val="00A553BA"/>
    <w:rsid w:val="00A5719C"/>
    <w:rsid w:val="00A5747F"/>
    <w:rsid w:val="00A57558"/>
    <w:rsid w:val="00A57A04"/>
    <w:rsid w:val="00A611AE"/>
    <w:rsid w:val="00A6131F"/>
    <w:rsid w:val="00A61D0B"/>
    <w:rsid w:val="00A61EF7"/>
    <w:rsid w:val="00A621DE"/>
    <w:rsid w:val="00A62232"/>
    <w:rsid w:val="00A6238B"/>
    <w:rsid w:val="00A626D3"/>
    <w:rsid w:val="00A638F1"/>
    <w:rsid w:val="00A64502"/>
    <w:rsid w:val="00A6473F"/>
    <w:rsid w:val="00A64949"/>
    <w:rsid w:val="00A65DAB"/>
    <w:rsid w:val="00A660B3"/>
    <w:rsid w:val="00A711A1"/>
    <w:rsid w:val="00A71513"/>
    <w:rsid w:val="00A71664"/>
    <w:rsid w:val="00A71F7E"/>
    <w:rsid w:val="00A72540"/>
    <w:rsid w:val="00A72D33"/>
    <w:rsid w:val="00A72EEA"/>
    <w:rsid w:val="00A749CC"/>
    <w:rsid w:val="00A766EB"/>
    <w:rsid w:val="00A77538"/>
    <w:rsid w:val="00A80F4A"/>
    <w:rsid w:val="00A8182A"/>
    <w:rsid w:val="00A825D0"/>
    <w:rsid w:val="00A8320A"/>
    <w:rsid w:val="00A833D8"/>
    <w:rsid w:val="00A836D7"/>
    <w:rsid w:val="00A8390E"/>
    <w:rsid w:val="00A8397A"/>
    <w:rsid w:val="00A83F4F"/>
    <w:rsid w:val="00A857EC"/>
    <w:rsid w:val="00A85C74"/>
    <w:rsid w:val="00A87456"/>
    <w:rsid w:val="00A877EE"/>
    <w:rsid w:val="00A87E66"/>
    <w:rsid w:val="00A87ECA"/>
    <w:rsid w:val="00A90446"/>
    <w:rsid w:val="00A912A7"/>
    <w:rsid w:val="00A91FA7"/>
    <w:rsid w:val="00A92535"/>
    <w:rsid w:val="00A92A40"/>
    <w:rsid w:val="00A92C3D"/>
    <w:rsid w:val="00A931A2"/>
    <w:rsid w:val="00A93280"/>
    <w:rsid w:val="00A942DC"/>
    <w:rsid w:val="00A949CF"/>
    <w:rsid w:val="00A95B0A"/>
    <w:rsid w:val="00A96669"/>
    <w:rsid w:val="00A96920"/>
    <w:rsid w:val="00A97183"/>
    <w:rsid w:val="00AA08B4"/>
    <w:rsid w:val="00AA1199"/>
    <w:rsid w:val="00AA16E9"/>
    <w:rsid w:val="00AA2116"/>
    <w:rsid w:val="00AA3E7B"/>
    <w:rsid w:val="00AA5904"/>
    <w:rsid w:val="00AA596D"/>
    <w:rsid w:val="00AA65DF"/>
    <w:rsid w:val="00AA6798"/>
    <w:rsid w:val="00AA7BF1"/>
    <w:rsid w:val="00AA7E60"/>
    <w:rsid w:val="00AB0318"/>
    <w:rsid w:val="00AB0607"/>
    <w:rsid w:val="00AB1253"/>
    <w:rsid w:val="00AB2415"/>
    <w:rsid w:val="00AB28F4"/>
    <w:rsid w:val="00AB2EAB"/>
    <w:rsid w:val="00AB32CA"/>
    <w:rsid w:val="00AB355D"/>
    <w:rsid w:val="00AB4110"/>
    <w:rsid w:val="00AB4D8E"/>
    <w:rsid w:val="00AB6317"/>
    <w:rsid w:val="00AC124D"/>
    <w:rsid w:val="00AC2C51"/>
    <w:rsid w:val="00AC3B41"/>
    <w:rsid w:val="00AC3D8E"/>
    <w:rsid w:val="00AC3FDC"/>
    <w:rsid w:val="00AC4BEE"/>
    <w:rsid w:val="00AC5A2C"/>
    <w:rsid w:val="00AC5E73"/>
    <w:rsid w:val="00AC7048"/>
    <w:rsid w:val="00AC752C"/>
    <w:rsid w:val="00AC7DC9"/>
    <w:rsid w:val="00AD0B08"/>
    <w:rsid w:val="00AD0D80"/>
    <w:rsid w:val="00AD0FA0"/>
    <w:rsid w:val="00AD0FE9"/>
    <w:rsid w:val="00AD1FF5"/>
    <w:rsid w:val="00AD36C6"/>
    <w:rsid w:val="00AD4B73"/>
    <w:rsid w:val="00AD5958"/>
    <w:rsid w:val="00AD6021"/>
    <w:rsid w:val="00AD7932"/>
    <w:rsid w:val="00AD7A54"/>
    <w:rsid w:val="00AD7D4B"/>
    <w:rsid w:val="00AE0DED"/>
    <w:rsid w:val="00AE244C"/>
    <w:rsid w:val="00AE2BA7"/>
    <w:rsid w:val="00AE2D2D"/>
    <w:rsid w:val="00AE2FF9"/>
    <w:rsid w:val="00AE3085"/>
    <w:rsid w:val="00AE3226"/>
    <w:rsid w:val="00AE40DF"/>
    <w:rsid w:val="00AE5256"/>
    <w:rsid w:val="00AE5554"/>
    <w:rsid w:val="00AF002C"/>
    <w:rsid w:val="00AF185D"/>
    <w:rsid w:val="00AF2BDA"/>
    <w:rsid w:val="00AF30F8"/>
    <w:rsid w:val="00AF642E"/>
    <w:rsid w:val="00AF6838"/>
    <w:rsid w:val="00AF6C6B"/>
    <w:rsid w:val="00AF7261"/>
    <w:rsid w:val="00B005D7"/>
    <w:rsid w:val="00B020FB"/>
    <w:rsid w:val="00B02E9A"/>
    <w:rsid w:val="00B0309F"/>
    <w:rsid w:val="00B03BD5"/>
    <w:rsid w:val="00B03D6F"/>
    <w:rsid w:val="00B0488F"/>
    <w:rsid w:val="00B04BEB"/>
    <w:rsid w:val="00B04E60"/>
    <w:rsid w:val="00B05259"/>
    <w:rsid w:val="00B055E2"/>
    <w:rsid w:val="00B06239"/>
    <w:rsid w:val="00B063CC"/>
    <w:rsid w:val="00B065F4"/>
    <w:rsid w:val="00B06699"/>
    <w:rsid w:val="00B067FB"/>
    <w:rsid w:val="00B06820"/>
    <w:rsid w:val="00B0695C"/>
    <w:rsid w:val="00B07F16"/>
    <w:rsid w:val="00B10D60"/>
    <w:rsid w:val="00B11CB1"/>
    <w:rsid w:val="00B11F58"/>
    <w:rsid w:val="00B1271C"/>
    <w:rsid w:val="00B12EDB"/>
    <w:rsid w:val="00B13A7A"/>
    <w:rsid w:val="00B13C1C"/>
    <w:rsid w:val="00B16059"/>
    <w:rsid w:val="00B1636D"/>
    <w:rsid w:val="00B16706"/>
    <w:rsid w:val="00B16868"/>
    <w:rsid w:val="00B239EA"/>
    <w:rsid w:val="00B2512C"/>
    <w:rsid w:val="00B262E9"/>
    <w:rsid w:val="00B2649D"/>
    <w:rsid w:val="00B2656A"/>
    <w:rsid w:val="00B31518"/>
    <w:rsid w:val="00B31BA7"/>
    <w:rsid w:val="00B321B8"/>
    <w:rsid w:val="00B32758"/>
    <w:rsid w:val="00B35063"/>
    <w:rsid w:val="00B3518E"/>
    <w:rsid w:val="00B35ED2"/>
    <w:rsid w:val="00B365DD"/>
    <w:rsid w:val="00B367DE"/>
    <w:rsid w:val="00B3689A"/>
    <w:rsid w:val="00B368D2"/>
    <w:rsid w:val="00B372DB"/>
    <w:rsid w:val="00B37E50"/>
    <w:rsid w:val="00B37E8F"/>
    <w:rsid w:val="00B40179"/>
    <w:rsid w:val="00B409C8"/>
    <w:rsid w:val="00B40FC0"/>
    <w:rsid w:val="00B441A1"/>
    <w:rsid w:val="00B44C54"/>
    <w:rsid w:val="00B4504D"/>
    <w:rsid w:val="00B4546A"/>
    <w:rsid w:val="00B46CE7"/>
    <w:rsid w:val="00B5187F"/>
    <w:rsid w:val="00B53061"/>
    <w:rsid w:val="00B53430"/>
    <w:rsid w:val="00B53528"/>
    <w:rsid w:val="00B54B5F"/>
    <w:rsid w:val="00B54E43"/>
    <w:rsid w:val="00B54FA8"/>
    <w:rsid w:val="00B54FF3"/>
    <w:rsid w:val="00B55036"/>
    <w:rsid w:val="00B557F9"/>
    <w:rsid w:val="00B55C05"/>
    <w:rsid w:val="00B5614E"/>
    <w:rsid w:val="00B56E79"/>
    <w:rsid w:val="00B61FDB"/>
    <w:rsid w:val="00B63638"/>
    <w:rsid w:val="00B63F0A"/>
    <w:rsid w:val="00B64EE9"/>
    <w:rsid w:val="00B65F0F"/>
    <w:rsid w:val="00B65F88"/>
    <w:rsid w:val="00B6639D"/>
    <w:rsid w:val="00B6680D"/>
    <w:rsid w:val="00B669A1"/>
    <w:rsid w:val="00B669C1"/>
    <w:rsid w:val="00B67503"/>
    <w:rsid w:val="00B7054B"/>
    <w:rsid w:val="00B718AD"/>
    <w:rsid w:val="00B72166"/>
    <w:rsid w:val="00B7250E"/>
    <w:rsid w:val="00B7462F"/>
    <w:rsid w:val="00B74CF5"/>
    <w:rsid w:val="00B75099"/>
    <w:rsid w:val="00B77F6C"/>
    <w:rsid w:val="00B808AB"/>
    <w:rsid w:val="00B824DD"/>
    <w:rsid w:val="00B831E7"/>
    <w:rsid w:val="00B83786"/>
    <w:rsid w:val="00B841D4"/>
    <w:rsid w:val="00B861E2"/>
    <w:rsid w:val="00B868F9"/>
    <w:rsid w:val="00B86E2B"/>
    <w:rsid w:val="00B8791A"/>
    <w:rsid w:val="00B906AC"/>
    <w:rsid w:val="00B90C38"/>
    <w:rsid w:val="00B9121C"/>
    <w:rsid w:val="00B91401"/>
    <w:rsid w:val="00B9183B"/>
    <w:rsid w:val="00B91C2A"/>
    <w:rsid w:val="00B93D34"/>
    <w:rsid w:val="00B94054"/>
    <w:rsid w:val="00B942EA"/>
    <w:rsid w:val="00B94BFD"/>
    <w:rsid w:val="00B950D7"/>
    <w:rsid w:val="00B95117"/>
    <w:rsid w:val="00B95FC2"/>
    <w:rsid w:val="00B96BAD"/>
    <w:rsid w:val="00B97507"/>
    <w:rsid w:val="00BA0877"/>
    <w:rsid w:val="00BA0B32"/>
    <w:rsid w:val="00BA101B"/>
    <w:rsid w:val="00BA11AD"/>
    <w:rsid w:val="00BA1A60"/>
    <w:rsid w:val="00BA1F54"/>
    <w:rsid w:val="00BA2A68"/>
    <w:rsid w:val="00BA3703"/>
    <w:rsid w:val="00BA3D2A"/>
    <w:rsid w:val="00BA50AE"/>
    <w:rsid w:val="00BA5105"/>
    <w:rsid w:val="00BA62F7"/>
    <w:rsid w:val="00BA6491"/>
    <w:rsid w:val="00BA76EC"/>
    <w:rsid w:val="00BB02D0"/>
    <w:rsid w:val="00BB1330"/>
    <w:rsid w:val="00BB1364"/>
    <w:rsid w:val="00BB1FD1"/>
    <w:rsid w:val="00BB2DEA"/>
    <w:rsid w:val="00BB3050"/>
    <w:rsid w:val="00BB3325"/>
    <w:rsid w:val="00BB400C"/>
    <w:rsid w:val="00BB43D6"/>
    <w:rsid w:val="00BB573D"/>
    <w:rsid w:val="00BB707F"/>
    <w:rsid w:val="00BC0716"/>
    <w:rsid w:val="00BC1BC4"/>
    <w:rsid w:val="00BC3499"/>
    <w:rsid w:val="00BC403F"/>
    <w:rsid w:val="00BC41B7"/>
    <w:rsid w:val="00BC4499"/>
    <w:rsid w:val="00BC452A"/>
    <w:rsid w:val="00BC57D0"/>
    <w:rsid w:val="00BC6AEA"/>
    <w:rsid w:val="00BC6F12"/>
    <w:rsid w:val="00BD0AC2"/>
    <w:rsid w:val="00BD0AE9"/>
    <w:rsid w:val="00BD0C5E"/>
    <w:rsid w:val="00BD2558"/>
    <w:rsid w:val="00BD396E"/>
    <w:rsid w:val="00BD3D1D"/>
    <w:rsid w:val="00BD40AA"/>
    <w:rsid w:val="00BD490A"/>
    <w:rsid w:val="00BD59F4"/>
    <w:rsid w:val="00BD6247"/>
    <w:rsid w:val="00BD70FB"/>
    <w:rsid w:val="00BD7FC8"/>
    <w:rsid w:val="00BE038E"/>
    <w:rsid w:val="00BE05B7"/>
    <w:rsid w:val="00BE0CF9"/>
    <w:rsid w:val="00BE0E7D"/>
    <w:rsid w:val="00BE1445"/>
    <w:rsid w:val="00BE164A"/>
    <w:rsid w:val="00BE1B1A"/>
    <w:rsid w:val="00BE208F"/>
    <w:rsid w:val="00BE3396"/>
    <w:rsid w:val="00BE37E3"/>
    <w:rsid w:val="00BE56D5"/>
    <w:rsid w:val="00BE6551"/>
    <w:rsid w:val="00BE6751"/>
    <w:rsid w:val="00BE74C4"/>
    <w:rsid w:val="00BE7594"/>
    <w:rsid w:val="00BF0118"/>
    <w:rsid w:val="00BF0DEF"/>
    <w:rsid w:val="00BF0E70"/>
    <w:rsid w:val="00BF1612"/>
    <w:rsid w:val="00BF2BD0"/>
    <w:rsid w:val="00BF3173"/>
    <w:rsid w:val="00BF4062"/>
    <w:rsid w:val="00BF4198"/>
    <w:rsid w:val="00BF41E6"/>
    <w:rsid w:val="00BF5154"/>
    <w:rsid w:val="00BF52A1"/>
    <w:rsid w:val="00BF5498"/>
    <w:rsid w:val="00BF5EF9"/>
    <w:rsid w:val="00BF62D0"/>
    <w:rsid w:val="00BF68BF"/>
    <w:rsid w:val="00BF6BC9"/>
    <w:rsid w:val="00BF731F"/>
    <w:rsid w:val="00BF7710"/>
    <w:rsid w:val="00C00AD3"/>
    <w:rsid w:val="00C00B64"/>
    <w:rsid w:val="00C02D02"/>
    <w:rsid w:val="00C02E44"/>
    <w:rsid w:val="00C036CE"/>
    <w:rsid w:val="00C03FDE"/>
    <w:rsid w:val="00C04433"/>
    <w:rsid w:val="00C04B55"/>
    <w:rsid w:val="00C07E62"/>
    <w:rsid w:val="00C07EED"/>
    <w:rsid w:val="00C10D5E"/>
    <w:rsid w:val="00C12903"/>
    <w:rsid w:val="00C1402A"/>
    <w:rsid w:val="00C14716"/>
    <w:rsid w:val="00C148BC"/>
    <w:rsid w:val="00C1616D"/>
    <w:rsid w:val="00C1689A"/>
    <w:rsid w:val="00C20E7F"/>
    <w:rsid w:val="00C21092"/>
    <w:rsid w:val="00C21153"/>
    <w:rsid w:val="00C2136E"/>
    <w:rsid w:val="00C213AD"/>
    <w:rsid w:val="00C22DC4"/>
    <w:rsid w:val="00C234BF"/>
    <w:rsid w:val="00C23613"/>
    <w:rsid w:val="00C238D2"/>
    <w:rsid w:val="00C23B43"/>
    <w:rsid w:val="00C2445B"/>
    <w:rsid w:val="00C2484E"/>
    <w:rsid w:val="00C2657A"/>
    <w:rsid w:val="00C26B4F"/>
    <w:rsid w:val="00C27394"/>
    <w:rsid w:val="00C311C5"/>
    <w:rsid w:val="00C31343"/>
    <w:rsid w:val="00C31CF6"/>
    <w:rsid w:val="00C32145"/>
    <w:rsid w:val="00C323E2"/>
    <w:rsid w:val="00C329B1"/>
    <w:rsid w:val="00C32D14"/>
    <w:rsid w:val="00C33B4E"/>
    <w:rsid w:val="00C34204"/>
    <w:rsid w:val="00C36461"/>
    <w:rsid w:val="00C36878"/>
    <w:rsid w:val="00C37649"/>
    <w:rsid w:val="00C3779C"/>
    <w:rsid w:val="00C40118"/>
    <w:rsid w:val="00C40535"/>
    <w:rsid w:val="00C41326"/>
    <w:rsid w:val="00C41814"/>
    <w:rsid w:val="00C42F28"/>
    <w:rsid w:val="00C434F0"/>
    <w:rsid w:val="00C445E9"/>
    <w:rsid w:val="00C44D8C"/>
    <w:rsid w:val="00C45337"/>
    <w:rsid w:val="00C4597B"/>
    <w:rsid w:val="00C45E2D"/>
    <w:rsid w:val="00C46F65"/>
    <w:rsid w:val="00C47B30"/>
    <w:rsid w:val="00C47C9A"/>
    <w:rsid w:val="00C47E05"/>
    <w:rsid w:val="00C514DD"/>
    <w:rsid w:val="00C51B21"/>
    <w:rsid w:val="00C53E4F"/>
    <w:rsid w:val="00C54BFB"/>
    <w:rsid w:val="00C55B12"/>
    <w:rsid w:val="00C55BE3"/>
    <w:rsid w:val="00C56066"/>
    <w:rsid w:val="00C5623D"/>
    <w:rsid w:val="00C56D46"/>
    <w:rsid w:val="00C574FB"/>
    <w:rsid w:val="00C60C70"/>
    <w:rsid w:val="00C61459"/>
    <w:rsid w:val="00C6463F"/>
    <w:rsid w:val="00C65422"/>
    <w:rsid w:val="00C701A9"/>
    <w:rsid w:val="00C70241"/>
    <w:rsid w:val="00C705AC"/>
    <w:rsid w:val="00C70FEF"/>
    <w:rsid w:val="00C71348"/>
    <w:rsid w:val="00C7225A"/>
    <w:rsid w:val="00C731BC"/>
    <w:rsid w:val="00C731DC"/>
    <w:rsid w:val="00C73758"/>
    <w:rsid w:val="00C737DF"/>
    <w:rsid w:val="00C74FD8"/>
    <w:rsid w:val="00C7535A"/>
    <w:rsid w:val="00C7541C"/>
    <w:rsid w:val="00C7594C"/>
    <w:rsid w:val="00C759B2"/>
    <w:rsid w:val="00C75E5F"/>
    <w:rsid w:val="00C75FA2"/>
    <w:rsid w:val="00C76ABB"/>
    <w:rsid w:val="00C76B52"/>
    <w:rsid w:val="00C77901"/>
    <w:rsid w:val="00C806B0"/>
    <w:rsid w:val="00C81613"/>
    <w:rsid w:val="00C826AD"/>
    <w:rsid w:val="00C82704"/>
    <w:rsid w:val="00C8276F"/>
    <w:rsid w:val="00C83014"/>
    <w:rsid w:val="00C84236"/>
    <w:rsid w:val="00C843B3"/>
    <w:rsid w:val="00C84E66"/>
    <w:rsid w:val="00C85CF5"/>
    <w:rsid w:val="00C85EBF"/>
    <w:rsid w:val="00C86F89"/>
    <w:rsid w:val="00C90653"/>
    <w:rsid w:val="00C90B8C"/>
    <w:rsid w:val="00C92296"/>
    <w:rsid w:val="00C927F3"/>
    <w:rsid w:val="00C934AD"/>
    <w:rsid w:val="00C93B38"/>
    <w:rsid w:val="00C9526C"/>
    <w:rsid w:val="00C957B5"/>
    <w:rsid w:val="00C95E42"/>
    <w:rsid w:val="00C9621F"/>
    <w:rsid w:val="00C96D81"/>
    <w:rsid w:val="00C97159"/>
    <w:rsid w:val="00C97FE9"/>
    <w:rsid w:val="00CA17AF"/>
    <w:rsid w:val="00CA1F30"/>
    <w:rsid w:val="00CA231F"/>
    <w:rsid w:val="00CA2B47"/>
    <w:rsid w:val="00CA3353"/>
    <w:rsid w:val="00CA4531"/>
    <w:rsid w:val="00CA4700"/>
    <w:rsid w:val="00CA47B2"/>
    <w:rsid w:val="00CA62FC"/>
    <w:rsid w:val="00CA63F8"/>
    <w:rsid w:val="00CA6E77"/>
    <w:rsid w:val="00CA7EC9"/>
    <w:rsid w:val="00CB0950"/>
    <w:rsid w:val="00CB13E2"/>
    <w:rsid w:val="00CB2396"/>
    <w:rsid w:val="00CB25C8"/>
    <w:rsid w:val="00CB26F8"/>
    <w:rsid w:val="00CB380C"/>
    <w:rsid w:val="00CB3A91"/>
    <w:rsid w:val="00CB3C5C"/>
    <w:rsid w:val="00CB3DF4"/>
    <w:rsid w:val="00CB476B"/>
    <w:rsid w:val="00CB4FCE"/>
    <w:rsid w:val="00CB52DE"/>
    <w:rsid w:val="00CB5CAB"/>
    <w:rsid w:val="00CB7262"/>
    <w:rsid w:val="00CB7B3D"/>
    <w:rsid w:val="00CC03FF"/>
    <w:rsid w:val="00CC3C58"/>
    <w:rsid w:val="00CC4F04"/>
    <w:rsid w:val="00CC76AA"/>
    <w:rsid w:val="00CC78C5"/>
    <w:rsid w:val="00CD1C4A"/>
    <w:rsid w:val="00CD1C84"/>
    <w:rsid w:val="00CD1DAC"/>
    <w:rsid w:val="00CD23B8"/>
    <w:rsid w:val="00CD2557"/>
    <w:rsid w:val="00CD2C71"/>
    <w:rsid w:val="00CD5F08"/>
    <w:rsid w:val="00CD6465"/>
    <w:rsid w:val="00CD7379"/>
    <w:rsid w:val="00CD7913"/>
    <w:rsid w:val="00CD7BF2"/>
    <w:rsid w:val="00CE0B6B"/>
    <w:rsid w:val="00CE1862"/>
    <w:rsid w:val="00CE1B94"/>
    <w:rsid w:val="00CE2561"/>
    <w:rsid w:val="00CE3A3E"/>
    <w:rsid w:val="00CE3AE1"/>
    <w:rsid w:val="00CE5BE1"/>
    <w:rsid w:val="00CE655A"/>
    <w:rsid w:val="00CE73D5"/>
    <w:rsid w:val="00CE77E2"/>
    <w:rsid w:val="00CE78ED"/>
    <w:rsid w:val="00CE7F04"/>
    <w:rsid w:val="00CF009F"/>
    <w:rsid w:val="00CF088F"/>
    <w:rsid w:val="00CF1EFF"/>
    <w:rsid w:val="00CF4BF0"/>
    <w:rsid w:val="00CF5199"/>
    <w:rsid w:val="00CF7799"/>
    <w:rsid w:val="00D005B1"/>
    <w:rsid w:val="00D0107D"/>
    <w:rsid w:val="00D0212A"/>
    <w:rsid w:val="00D03ED9"/>
    <w:rsid w:val="00D041F2"/>
    <w:rsid w:val="00D042FA"/>
    <w:rsid w:val="00D05827"/>
    <w:rsid w:val="00D05A76"/>
    <w:rsid w:val="00D07329"/>
    <w:rsid w:val="00D07BC5"/>
    <w:rsid w:val="00D1017F"/>
    <w:rsid w:val="00D103C2"/>
    <w:rsid w:val="00D1079F"/>
    <w:rsid w:val="00D10AEE"/>
    <w:rsid w:val="00D10EE2"/>
    <w:rsid w:val="00D1336B"/>
    <w:rsid w:val="00D15B92"/>
    <w:rsid w:val="00D16845"/>
    <w:rsid w:val="00D16BA7"/>
    <w:rsid w:val="00D21B11"/>
    <w:rsid w:val="00D22821"/>
    <w:rsid w:val="00D238C0"/>
    <w:rsid w:val="00D240E9"/>
    <w:rsid w:val="00D24B14"/>
    <w:rsid w:val="00D266C6"/>
    <w:rsid w:val="00D26D7D"/>
    <w:rsid w:val="00D30146"/>
    <w:rsid w:val="00D35591"/>
    <w:rsid w:val="00D3564B"/>
    <w:rsid w:val="00D36063"/>
    <w:rsid w:val="00D375DF"/>
    <w:rsid w:val="00D4057B"/>
    <w:rsid w:val="00D420F4"/>
    <w:rsid w:val="00D43884"/>
    <w:rsid w:val="00D43E54"/>
    <w:rsid w:val="00D440BC"/>
    <w:rsid w:val="00D440FC"/>
    <w:rsid w:val="00D44CA4"/>
    <w:rsid w:val="00D44E20"/>
    <w:rsid w:val="00D45427"/>
    <w:rsid w:val="00D45D00"/>
    <w:rsid w:val="00D45F65"/>
    <w:rsid w:val="00D47158"/>
    <w:rsid w:val="00D47327"/>
    <w:rsid w:val="00D505E2"/>
    <w:rsid w:val="00D5063D"/>
    <w:rsid w:val="00D51986"/>
    <w:rsid w:val="00D52693"/>
    <w:rsid w:val="00D529CE"/>
    <w:rsid w:val="00D54AA5"/>
    <w:rsid w:val="00D5532E"/>
    <w:rsid w:val="00D55ABF"/>
    <w:rsid w:val="00D55AE7"/>
    <w:rsid w:val="00D55B4C"/>
    <w:rsid w:val="00D55CB7"/>
    <w:rsid w:val="00D57146"/>
    <w:rsid w:val="00D57915"/>
    <w:rsid w:val="00D57ADD"/>
    <w:rsid w:val="00D60814"/>
    <w:rsid w:val="00D60FD4"/>
    <w:rsid w:val="00D6113E"/>
    <w:rsid w:val="00D61176"/>
    <w:rsid w:val="00D61AB0"/>
    <w:rsid w:val="00D63B32"/>
    <w:rsid w:val="00D63E41"/>
    <w:rsid w:val="00D64340"/>
    <w:rsid w:val="00D652D4"/>
    <w:rsid w:val="00D6556A"/>
    <w:rsid w:val="00D6637C"/>
    <w:rsid w:val="00D7023D"/>
    <w:rsid w:val="00D707FC"/>
    <w:rsid w:val="00D70D75"/>
    <w:rsid w:val="00D721FF"/>
    <w:rsid w:val="00D74685"/>
    <w:rsid w:val="00D74769"/>
    <w:rsid w:val="00D75A0C"/>
    <w:rsid w:val="00D75C17"/>
    <w:rsid w:val="00D75F3F"/>
    <w:rsid w:val="00D76E9A"/>
    <w:rsid w:val="00D773E8"/>
    <w:rsid w:val="00D77EFE"/>
    <w:rsid w:val="00D8071E"/>
    <w:rsid w:val="00D80A7C"/>
    <w:rsid w:val="00D8278F"/>
    <w:rsid w:val="00D83CCE"/>
    <w:rsid w:val="00D84CB5"/>
    <w:rsid w:val="00D84E31"/>
    <w:rsid w:val="00D84FD5"/>
    <w:rsid w:val="00D85B2A"/>
    <w:rsid w:val="00D85C7E"/>
    <w:rsid w:val="00D8671E"/>
    <w:rsid w:val="00D86AC0"/>
    <w:rsid w:val="00D86C2A"/>
    <w:rsid w:val="00D87953"/>
    <w:rsid w:val="00D87AA9"/>
    <w:rsid w:val="00D87F15"/>
    <w:rsid w:val="00D901D4"/>
    <w:rsid w:val="00D9077D"/>
    <w:rsid w:val="00D9103F"/>
    <w:rsid w:val="00D91625"/>
    <w:rsid w:val="00D91E0B"/>
    <w:rsid w:val="00D923EC"/>
    <w:rsid w:val="00D931CD"/>
    <w:rsid w:val="00D95427"/>
    <w:rsid w:val="00D96FDD"/>
    <w:rsid w:val="00D9751B"/>
    <w:rsid w:val="00D975DB"/>
    <w:rsid w:val="00D978DA"/>
    <w:rsid w:val="00D97A0C"/>
    <w:rsid w:val="00DA0B5F"/>
    <w:rsid w:val="00DA1217"/>
    <w:rsid w:val="00DA2E6B"/>
    <w:rsid w:val="00DA3616"/>
    <w:rsid w:val="00DA3A19"/>
    <w:rsid w:val="00DA4239"/>
    <w:rsid w:val="00DA52DB"/>
    <w:rsid w:val="00DA52F4"/>
    <w:rsid w:val="00DA53CD"/>
    <w:rsid w:val="00DA5AB4"/>
    <w:rsid w:val="00DA6036"/>
    <w:rsid w:val="00DA7040"/>
    <w:rsid w:val="00DA7701"/>
    <w:rsid w:val="00DA7B87"/>
    <w:rsid w:val="00DB14F9"/>
    <w:rsid w:val="00DB3833"/>
    <w:rsid w:val="00DB393E"/>
    <w:rsid w:val="00DB3CC3"/>
    <w:rsid w:val="00DB5003"/>
    <w:rsid w:val="00DB5316"/>
    <w:rsid w:val="00DC1C99"/>
    <w:rsid w:val="00DC239A"/>
    <w:rsid w:val="00DC276C"/>
    <w:rsid w:val="00DC2EF1"/>
    <w:rsid w:val="00DC446A"/>
    <w:rsid w:val="00DC45E2"/>
    <w:rsid w:val="00DC652D"/>
    <w:rsid w:val="00DC693B"/>
    <w:rsid w:val="00DC6F2A"/>
    <w:rsid w:val="00DC72F1"/>
    <w:rsid w:val="00DC7B61"/>
    <w:rsid w:val="00DD2BFA"/>
    <w:rsid w:val="00DD37E2"/>
    <w:rsid w:val="00DD4D8F"/>
    <w:rsid w:val="00DD6F83"/>
    <w:rsid w:val="00DE03F9"/>
    <w:rsid w:val="00DE0858"/>
    <w:rsid w:val="00DE0D39"/>
    <w:rsid w:val="00DE0E60"/>
    <w:rsid w:val="00DE2381"/>
    <w:rsid w:val="00DE297D"/>
    <w:rsid w:val="00DE382C"/>
    <w:rsid w:val="00DE3F73"/>
    <w:rsid w:val="00DE4005"/>
    <w:rsid w:val="00DE469B"/>
    <w:rsid w:val="00DE5B80"/>
    <w:rsid w:val="00DE61E1"/>
    <w:rsid w:val="00DE6C08"/>
    <w:rsid w:val="00DE7605"/>
    <w:rsid w:val="00DF07D5"/>
    <w:rsid w:val="00DF0A68"/>
    <w:rsid w:val="00DF0FAE"/>
    <w:rsid w:val="00DF18B9"/>
    <w:rsid w:val="00DF1F26"/>
    <w:rsid w:val="00DF2C3C"/>
    <w:rsid w:val="00DF37DD"/>
    <w:rsid w:val="00DF401F"/>
    <w:rsid w:val="00DF4E30"/>
    <w:rsid w:val="00DF56EF"/>
    <w:rsid w:val="00DF5B00"/>
    <w:rsid w:val="00DF64C0"/>
    <w:rsid w:val="00DF6AD6"/>
    <w:rsid w:val="00DF7043"/>
    <w:rsid w:val="00DF7B4F"/>
    <w:rsid w:val="00E00A23"/>
    <w:rsid w:val="00E011C2"/>
    <w:rsid w:val="00E016FA"/>
    <w:rsid w:val="00E01AC3"/>
    <w:rsid w:val="00E01D08"/>
    <w:rsid w:val="00E03C5D"/>
    <w:rsid w:val="00E053F0"/>
    <w:rsid w:val="00E054C7"/>
    <w:rsid w:val="00E059BC"/>
    <w:rsid w:val="00E06D27"/>
    <w:rsid w:val="00E0741D"/>
    <w:rsid w:val="00E07C6A"/>
    <w:rsid w:val="00E07EDD"/>
    <w:rsid w:val="00E1013D"/>
    <w:rsid w:val="00E10168"/>
    <w:rsid w:val="00E10222"/>
    <w:rsid w:val="00E116F0"/>
    <w:rsid w:val="00E11B54"/>
    <w:rsid w:val="00E12054"/>
    <w:rsid w:val="00E123EC"/>
    <w:rsid w:val="00E125F7"/>
    <w:rsid w:val="00E12A0E"/>
    <w:rsid w:val="00E1364E"/>
    <w:rsid w:val="00E13673"/>
    <w:rsid w:val="00E14C3E"/>
    <w:rsid w:val="00E17458"/>
    <w:rsid w:val="00E17CFB"/>
    <w:rsid w:val="00E20507"/>
    <w:rsid w:val="00E225BE"/>
    <w:rsid w:val="00E225C6"/>
    <w:rsid w:val="00E22FC3"/>
    <w:rsid w:val="00E23445"/>
    <w:rsid w:val="00E243EE"/>
    <w:rsid w:val="00E246DF"/>
    <w:rsid w:val="00E25605"/>
    <w:rsid w:val="00E26CAD"/>
    <w:rsid w:val="00E2735C"/>
    <w:rsid w:val="00E27C3B"/>
    <w:rsid w:val="00E3041A"/>
    <w:rsid w:val="00E3084E"/>
    <w:rsid w:val="00E3219D"/>
    <w:rsid w:val="00E326E2"/>
    <w:rsid w:val="00E333FA"/>
    <w:rsid w:val="00E34D89"/>
    <w:rsid w:val="00E35028"/>
    <w:rsid w:val="00E3613C"/>
    <w:rsid w:val="00E40439"/>
    <w:rsid w:val="00E40AA5"/>
    <w:rsid w:val="00E40C8D"/>
    <w:rsid w:val="00E414CE"/>
    <w:rsid w:val="00E41C49"/>
    <w:rsid w:val="00E4375D"/>
    <w:rsid w:val="00E43988"/>
    <w:rsid w:val="00E43AFD"/>
    <w:rsid w:val="00E43B86"/>
    <w:rsid w:val="00E44371"/>
    <w:rsid w:val="00E44618"/>
    <w:rsid w:val="00E452DE"/>
    <w:rsid w:val="00E454E9"/>
    <w:rsid w:val="00E459DD"/>
    <w:rsid w:val="00E46097"/>
    <w:rsid w:val="00E47312"/>
    <w:rsid w:val="00E478DC"/>
    <w:rsid w:val="00E50AFB"/>
    <w:rsid w:val="00E5181A"/>
    <w:rsid w:val="00E52514"/>
    <w:rsid w:val="00E53C9A"/>
    <w:rsid w:val="00E53DB5"/>
    <w:rsid w:val="00E55211"/>
    <w:rsid w:val="00E560AF"/>
    <w:rsid w:val="00E56110"/>
    <w:rsid w:val="00E56163"/>
    <w:rsid w:val="00E561D3"/>
    <w:rsid w:val="00E57233"/>
    <w:rsid w:val="00E57689"/>
    <w:rsid w:val="00E57A84"/>
    <w:rsid w:val="00E57C5A"/>
    <w:rsid w:val="00E605EE"/>
    <w:rsid w:val="00E61B14"/>
    <w:rsid w:val="00E62942"/>
    <w:rsid w:val="00E630C6"/>
    <w:rsid w:val="00E633B0"/>
    <w:rsid w:val="00E63721"/>
    <w:rsid w:val="00E63B91"/>
    <w:rsid w:val="00E63F98"/>
    <w:rsid w:val="00E640EB"/>
    <w:rsid w:val="00E65586"/>
    <w:rsid w:val="00E66D57"/>
    <w:rsid w:val="00E71167"/>
    <w:rsid w:val="00E72413"/>
    <w:rsid w:val="00E72FA0"/>
    <w:rsid w:val="00E730EA"/>
    <w:rsid w:val="00E73C0A"/>
    <w:rsid w:val="00E756C4"/>
    <w:rsid w:val="00E76909"/>
    <w:rsid w:val="00E76D73"/>
    <w:rsid w:val="00E776BF"/>
    <w:rsid w:val="00E83530"/>
    <w:rsid w:val="00E8422D"/>
    <w:rsid w:val="00E849B9"/>
    <w:rsid w:val="00E85466"/>
    <w:rsid w:val="00E85695"/>
    <w:rsid w:val="00E86299"/>
    <w:rsid w:val="00E864F4"/>
    <w:rsid w:val="00E86C44"/>
    <w:rsid w:val="00E90562"/>
    <w:rsid w:val="00E929E4"/>
    <w:rsid w:val="00E92F6D"/>
    <w:rsid w:val="00E936B2"/>
    <w:rsid w:val="00E94086"/>
    <w:rsid w:val="00E94151"/>
    <w:rsid w:val="00E9424C"/>
    <w:rsid w:val="00E94D98"/>
    <w:rsid w:val="00E9504E"/>
    <w:rsid w:val="00E95096"/>
    <w:rsid w:val="00E96BAA"/>
    <w:rsid w:val="00E96E26"/>
    <w:rsid w:val="00E971ED"/>
    <w:rsid w:val="00E9725D"/>
    <w:rsid w:val="00E972B8"/>
    <w:rsid w:val="00E97B2D"/>
    <w:rsid w:val="00EA02BC"/>
    <w:rsid w:val="00EA1066"/>
    <w:rsid w:val="00EA2FFB"/>
    <w:rsid w:val="00EA367D"/>
    <w:rsid w:val="00EA5936"/>
    <w:rsid w:val="00EA6382"/>
    <w:rsid w:val="00EA7D5D"/>
    <w:rsid w:val="00EB087D"/>
    <w:rsid w:val="00EB17DA"/>
    <w:rsid w:val="00EB187D"/>
    <w:rsid w:val="00EB1D39"/>
    <w:rsid w:val="00EB2A5D"/>
    <w:rsid w:val="00EB3340"/>
    <w:rsid w:val="00EB4F3B"/>
    <w:rsid w:val="00EB6744"/>
    <w:rsid w:val="00EB7BA8"/>
    <w:rsid w:val="00EB7C4D"/>
    <w:rsid w:val="00EC0C05"/>
    <w:rsid w:val="00EC0CAF"/>
    <w:rsid w:val="00EC21C9"/>
    <w:rsid w:val="00EC27F0"/>
    <w:rsid w:val="00EC3238"/>
    <w:rsid w:val="00EC3402"/>
    <w:rsid w:val="00EC345D"/>
    <w:rsid w:val="00EC35E6"/>
    <w:rsid w:val="00EC5DD7"/>
    <w:rsid w:val="00EC5E19"/>
    <w:rsid w:val="00EC5F82"/>
    <w:rsid w:val="00EC6793"/>
    <w:rsid w:val="00ED02F1"/>
    <w:rsid w:val="00ED14D0"/>
    <w:rsid w:val="00ED1C9D"/>
    <w:rsid w:val="00ED51A7"/>
    <w:rsid w:val="00ED554C"/>
    <w:rsid w:val="00ED56F1"/>
    <w:rsid w:val="00ED6289"/>
    <w:rsid w:val="00ED67E8"/>
    <w:rsid w:val="00ED69CD"/>
    <w:rsid w:val="00ED6C34"/>
    <w:rsid w:val="00EE00F1"/>
    <w:rsid w:val="00EE13A6"/>
    <w:rsid w:val="00EE17A1"/>
    <w:rsid w:val="00EE1B07"/>
    <w:rsid w:val="00EE2FF1"/>
    <w:rsid w:val="00EE3256"/>
    <w:rsid w:val="00EE3AA1"/>
    <w:rsid w:val="00EE3CB6"/>
    <w:rsid w:val="00EE3D7C"/>
    <w:rsid w:val="00EE4160"/>
    <w:rsid w:val="00EE4410"/>
    <w:rsid w:val="00EE5694"/>
    <w:rsid w:val="00EE6816"/>
    <w:rsid w:val="00EE7D3C"/>
    <w:rsid w:val="00EF08CA"/>
    <w:rsid w:val="00EF1AE7"/>
    <w:rsid w:val="00EF24F6"/>
    <w:rsid w:val="00EF347A"/>
    <w:rsid w:val="00EF3EF8"/>
    <w:rsid w:val="00EF520B"/>
    <w:rsid w:val="00EF52B6"/>
    <w:rsid w:val="00EF5DB7"/>
    <w:rsid w:val="00EF5E6D"/>
    <w:rsid w:val="00EF5FEF"/>
    <w:rsid w:val="00EF6712"/>
    <w:rsid w:val="00EF67BE"/>
    <w:rsid w:val="00F0044B"/>
    <w:rsid w:val="00F008E1"/>
    <w:rsid w:val="00F02736"/>
    <w:rsid w:val="00F02CBC"/>
    <w:rsid w:val="00F02CEA"/>
    <w:rsid w:val="00F0372A"/>
    <w:rsid w:val="00F03E4A"/>
    <w:rsid w:val="00F03ECF"/>
    <w:rsid w:val="00F044F5"/>
    <w:rsid w:val="00F0485D"/>
    <w:rsid w:val="00F05462"/>
    <w:rsid w:val="00F054E3"/>
    <w:rsid w:val="00F0568B"/>
    <w:rsid w:val="00F0735C"/>
    <w:rsid w:val="00F07CB6"/>
    <w:rsid w:val="00F106CA"/>
    <w:rsid w:val="00F10C33"/>
    <w:rsid w:val="00F12F6C"/>
    <w:rsid w:val="00F13FD5"/>
    <w:rsid w:val="00F1415E"/>
    <w:rsid w:val="00F155C3"/>
    <w:rsid w:val="00F15FD5"/>
    <w:rsid w:val="00F16C1B"/>
    <w:rsid w:val="00F16CDC"/>
    <w:rsid w:val="00F178FA"/>
    <w:rsid w:val="00F17B94"/>
    <w:rsid w:val="00F17CB9"/>
    <w:rsid w:val="00F265E9"/>
    <w:rsid w:val="00F27C4E"/>
    <w:rsid w:val="00F3032E"/>
    <w:rsid w:val="00F30BD2"/>
    <w:rsid w:val="00F33321"/>
    <w:rsid w:val="00F33DF4"/>
    <w:rsid w:val="00F3476B"/>
    <w:rsid w:val="00F348E2"/>
    <w:rsid w:val="00F36570"/>
    <w:rsid w:val="00F37632"/>
    <w:rsid w:val="00F400C3"/>
    <w:rsid w:val="00F413D3"/>
    <w:rsid w:val="00F43843"/>
    <w:rsid w:val="00F44499"/>
    <w:rsid w:val="00F445AF"/>
    <w:rsid w:val="00F44FD9"/>
    <w:rsid w:val="00F453FB"/>
    <w:rsid w:val="00F45558"/>
    <w:rsid w:val="00F45E48"/>
    <w:rsid w:val="00F4637B"/>
    <w:rsid w:val="00F47028"/>
    <w:rsid w:val="00F47B4D"/>
    <w:rsid w:val="00F5047B"/>
    <w:rsid w:val="00F50A96"/>
    <w:rsid w:val="00F510D3"/>
    <w:rsid w:val="00F51B8A"/>
    <w:rsid w:val="00F52297"/>
    <w:rsid w:val="00F52A7F"/>
    <w:rsid w:val="00F53BAF"/>
    <w:rsid w:val="00F541C9"/>
    <w:rsid w:val="00F54C63"/>
    <w:rsid w:val="00F57846"/>
    <w:rsid w:val="00F609C8"/>
    <w:rsid w:val="00F6142C"/>
    <w:rsid w:val="00F6172F"/>
    <w:rsid w:val="00F64AB5"/>
    <w:rsid w:val="00F65BC3"/>
    <w:rsid w:val="00F65F73"/>
    <w:rsid w:val="00F67BD3"/>
    <w:rsid w:val="00F67BF4"/>
    <w:rsid w:val="00F71ABA"/>
    <w:rsid w:val="00F71E99"/>
    <w:rsid w:val="00F73060"/>
    <w:rsid w:val="00F73FC7"/>
    <w:rsid w:val="00F74333"/>
    <w:rsid w:val="00F746DA"/>
    <w:rsid w:val="00F74D73"/>
    <w:rsid w:val="00F75EEA"/>
    <w:rsid w:val="00F77570"/>
    <w:rsid w:val="00F80084"/>
    <w:rsid w:val="00F80A47"/>
    <w:rsid w:val="00F82142"/>
    <w:rsid w:val="00F82F69"/>
    <w:rsid w:val="00F8346C"/>
    <w:rsid w:val="00F83E6D"/>
    <w:rsid w:val="00F8499D"/>
    <w:rsid w:val="00F85566"/>
    <w:rsid w:val="00F85738"/>
    <w:rsid w:val="00F867F7"/>
    <w:rsid w:val="00F86F0E"/>
    <w:rsid w:val="00F8733D"/>
    <w:rsid w:val="00F87511"/>
    <w:rsid w:val="00F904E9"/>
    <w:rsid w:val="00F915A0"/>
    <w:rsid w:val="00F92EF7"/>
    <w:rsid w:val="00F93E8B"/>
    <w:rsid w:val="00F949BE"/>
    <w:rsid w:val="00F94C26"/>
    <w:rsid w:val="00F94FD2"/>
    <w:rsid w:val="00F966DD"/>
    <w:rsid w:val="00F976AD"/>
    <w:rsid w:val="00F979C4"/>
    <w:rsid w:val="00FA060F"/>
    <w:rsid w:val="00FA0F3A"/>
    <w:rsid w:val="00FA324D"/>
    <w:rsid w:val="00FA345C"/>
    <w:rsid w:val="00FA3B38"/>
    <w:rsid w:val="00FA5CC4"/>
    <w:rsid w:val="00FA639B"/>
    <w:rsid w:val="00FA6F18"/>
    <w:rsid w:val="00FB0437"/>
    <w:rsid w:val="00FB0E73"/>
    <w:rsid w:val="00FB13FE"/>
    <w:rsid w:val="00FB1D83"/>
    <w:rsid w:val="00FB226C"/>
    <w:rsid w:val="00FB2B30"/>
    <w:rsid w:val="00FB3008"/>
    <w:rsid w:val="00FB3089"/>
    <w:rsid w:val="00FB44D1"/>
    <w:rsid w:val="00FB4A76"/>
    <w:rsid w:val="00FB4B01"/>
    <w:rsid w:val="00FB4F7B"/>
    <w:rsid w:val="00FB520C"/>
    <w:rsid w:val="00FB5276"/>
    <w:rsid w:val="00FB52FC"/>
    <w:rsid w:val="00FB58FA"/>
    <w:rsid w:val="00FB5FFD"/>
    <w:rsid w:val="00FB6A77"/>
    <w:rsid w:val="00FB73D0"/>
    <w:rsid w:val="00FB75DB"/>
    <w:rsid w:val="00FC17EA"/>
    <w:rsid w:val="00FC1EED"/>
    <w:rsid w:val="00FC1F94"/>
    <w:rsid w:val="00FC1FDC"/>
    <w:rsid w:val="00FC2659"/>
    <w:rsid w:val="00FC2B72"/>
    <w:rsid w:val="00FC2F14"/>
    <w:rsid w:val="00FC47E2"/>
    <w:rsid w:val="00FC4902"/>
    <w:rsid w:val="00FC547F"/>
    <w:rsid w:val="00FC5D5F"/>
    <w:rsid w:val="00FC5E1F"/>
    <w:rsid w:val="00FC5E34"/>
    <w:rsid w:val="00FC6263"/>
    <w:rsid w:val="00FC7871"/>
    <w:rsid w:val="00FD2478"/>
    <w:rsid w:val="00FD37BA"/>
    <w:rsid w:val="00FD3C41"/>
    <w:rsid w:val="00FD452F"/>
    <w:rsid w:val="00FD4A10"/>
    <w:rsid w:val="00FD5F2A"/>
    <w:rsid w:val="00FD6595"/>
    <w:rsid w:val="00FD7B29"/>
    <w:rsid w:val="00FD7DF0"/>
    <w:rsid w:val="00FE04D5"/>
    <w:rsid w:val="00FE08CB"/>
    <w:rsid w:val="00FE20C6"/>
    <w:rsid w:val="00FE25D8"/>
    <w:rsid w:val="00FE2D6C"/>
    <w:rsid w:val="00FE341B"/>
    <w:rsid w:val="00FE4943"/>
    <w:rsid w:val="00FE691C"/>
    <w:rsid w:val="00FE7F4A"/>
    <w:rsid w:val="00FF2E6F"/>
    <w:rsid w:val="00FF31AF"/>
    <w:rsid w:val="00FF3501"/>
    <w:rsid w:val="00FF44D7"/>
    <w:rsid w:val="00FF4812"/>
    <w:rsid w:val="00FF54ED"/>
    <w:rsid w:val="00FF7EE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12F2985D"/>
  <w15:docId w15:val="{230DDC4C-39F0-4734-9963-849C13CB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0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2022A"/>
    <w:rPr>
      <w:sz w:val="16"/>
      <w:szCs w:val="16"/>
    </w:rPr>
  </w:style>
  <w:style w:type="paragraph" w:styleId="CommentText">
    <w:name w:val="annotation text"/>
    <w:basedOn w:val="Normal"/>
    <w:link w:val="CommentTextChar"/>
    <w:uiPriority w:val="99"/>
    <w:semiHidden/>
    <w:unhideWhenUsed/>
    <w:rsid w:val="0072022A"/>
    <w:pPr>
      <w:spacing w:line="240" w:lineRule="auto"/>
    </w:pPr>
    <w:rPr>
      <w:sz w:val="20"/>
      <w:szCs w:val="20"/>
    </w:rPr>
  </w:style>
  <w:style w:type="character" w:customStyle="1" w:styleId="CommentTextChar">
    <w:name w:val="Comment Text Char"/>
    <w:basedOn w:val="DefaultParagraphFont"/>
    <w:link w:val="CommentText"/>
    <w:uiPriority w:val="99"/>
    <w:semiHidden/>
    <w:rsid w:val="0072022A"/>
    <w:rPr>
      <w:sz w:val="20"/>
      <w:szCs w:val="20"/>
    </w:rPr>
  </w:style>
  <w:style w:type="paragraph" w:styleId="CommentSubject">
    <w:name w:val="annotation subject"/>
    <w:basedOn w:val="CommentText"/>
    <w:next w:val="CommentText"/>
    <w:link w:val="CommentSubjectChar"/>
    <w:uiPriority w:val="99"/>
    <w:semiHidden/>
    <w:unhideWhenUsed/>
    <w:rsid w:val="0072022A"/>
    <w:rPr>
      <w:b/>
      <w:bCs/>
    </w:rPr>
  </w:style>
  <w:style w:type="character" w:customStyle="1" w:styleId="CommentSubjectChar">
    <w:name w:val="Comment Subject Char"/>
    <w:basedOn w:val="CommentTextChar"/>
    <w:link w:val="CommentSubject"/>
    <w:uiPriority w:val="99"/>
    <w:semiHidden/>
    <w:rsid w:val="0072022A"/>
    <w:rPr>
      <w:b/>
      <w:bCs/>
      <w:sz w:val="20"/>
      <w:szCs w:val="20"/>
    </w:rPr>
  </w:style>
  <w:style w:type="paragraph" w:styleId="BalloonText">
    <w:name w:val="Balloon Text"/>
    <w:basedOn w:val="Normal"/>
    <w:link w:val="BalloonTextChar"/>
    <w:uiPriority w:val="99"/>
    <w:semiHidden/>
    <w:unhideWhenUsed/>
    <w:rsid w:val="00720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22A"/>
    <w:rPr>
      <w:rFonts w:ascii="Tahoma" w:hAnsi="Tahoma" w:cs="Tahoma"/>
      <w:sz w:val="16"/>
      <w:szCs w:val="16"/>
    </w:rPr>
  </w:style>
  <w:style w:type="character" w:styleId="Hyperlink">
    <w:name w:val="Hyperlink"/>
    <w:basedOn w:val="DefaultParagraphFont"/>
    <w:uiPriority w:val="99"/>
    <w:unhideWhenUsed/>
    <w:rsid w:val="0072022A"/>
    <w:rPr>
      <w:color w:val="0000FF" w:themeColor="hyperlink"/>
      <w:u w:val="single"/>
    </w:rPr>
  </w:style>
  <w:style w:type="character" w:styleId="FollowedHyperlink">
    <w:name w:val="FollowedHyperlink"/>
    <w:basedOn w:val="DefaultParagraphFont"/>
    <w:uiPriority w:val="99"/>
    <w:semiHidden/>
    <w:unhideWhenUsed/>
    <w:rsid w:val="008712D1"/>
    <w:rPr>
      <w:color w:val="800080" w:themeColor="followedHyperlink"/>
      <w:u w:val="single"/>
    </w:rPr>
  </w:style>
  <w:style w:type="paragraph" w:styleId="Revision">
    <w:name w:val="Revision"/>
    <w:hidden/>
    <w:uiPriority w:val="99"/>
    <w:semiHidden/>
    <w:rsid w:val="00DA3616"/>
    <w:pPr>
      <w:spacing w:after="0" w:line="240" w:lineRule="auto"/>
    </w:pPr>
  </w:style>
  <w:style w:type="paragraph" w:styleId="NormalWeb">
    <w:name w:val="Normal (Web)"/>
    <w:basedOn w:val="Normal"/>
    <w:uiPriority w:val="99"/>
    <w:semiHidden/>
    <w:unhideWhenUsed/>
    <w:rsid w:val="00FB3008"/>
    <w:pPr>
      <w:spacing w:before="100" w:beforeAutospacing="1" w:after="100" w:afterAutospacing="1" w:line="240" w:lineRule="auto"/>
    </w:pPr>
    <w:rPr>
      <w:rFonts w:ascii="Times New Roman" w:eastAsiaTheme="minorEastAsia" w:hAnsi="Times New Roman" w:cs="Times New Roman"/>
      <w:sz w:val="24"/>
      <w:szCs w:val="24"/>
      <w:lang w:val="en-US"/>
    </w:rPr>
  </w:style>
  <w:style w:type="table" w:customStyle="1" w:styleId="Rastertabel6kleurrijk1">
    <w:name w:val="Rastertabel 6 kleurrijk1"/>
    <w:basedOn w:val="TableNormal"/>
    <w:uiPriority w:val="51"/>
    <w:rsid w:val="00CA1F3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6E28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288A"/>
  </w:style>
  <w:style w:type="paragraph" w:styleId="Footer">
    <w:name w:val="footer"/>
    <w:basedOn w:val="Normal"/>
    <w:link w:val="FooterChar"/>
    <w:uiPriority w:val="99"/>
    <w:unhideWhenUsed/>
    <w:rsid w:val="006E28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288A"/>
  </w:style>
  <w:style w:type="paragraph" w:styleId="ListParagraph">
    <w:name w:val="List Paragraph"/>
    <w:basedOn w:val="Normal"/>
    <w:uiPriority w:val="34"/>
    <w:qFormat/>
    <w:rsid w:val="007B649F"/>
    <w:pPr>
      <w:ind w:left="720"/>
      <w:contextualSpacing/>
    </w:pPr>
  </w:style>
  <w:style w:type="character" w:customStyle="1" w:styleId="Onopgelostemelding1">
    <w:name w:val="Onopgeloste melding1"/>
    <w:basedOn w:val="DefaultParagraphFont"/>
    <w:uiPriority w:val="99"/>
    <w:semiHidden/>
    <w:unhideWhenUsed/>
    <w:rsid w:val="000E6276"/>
    <w:rPr>
      <w:color w:val="605E5C"/>
      <w:shd w:val="clear" w:color="auto" w:fill="E1DFDD"/>
    </w:rPr>
  </w:style>
  <w:style w:type="character" w:customStyle="1" w:styleId="UnresolvedMention1">
    <w:name w:val="Unresolved Mention1"/>
    <w:basedOn w:val="DefaultParagraphFont"/>
    <w:uiPriority w:val="99"/>
    <w:semiHidden/>
    <w:unhideWhenUsed/>
    <w:rsid w:val="00441FCD"/>
    <w:rPr>
      <w:color w:val="605E5C"/>
      <w:shd w:val="clear" w:color="auto" w:fill="E1DFDD"/>
    </w:rPr>
  </w:style>
  <w:style w:type="character" w:styleId="LineNumber">
    <w:name w:val="line number"/>
    <w:basedOn w:val="DefaultParagraphFont"/>
    <w:uiPriority w:val="99"/>
    <w:semiHidden/>
    <w:unhideWhenUsed/>
    <w:rsid w:val="00A011D2"/>
  </w:style>
  <w:style w:type="character" w:customStyle="1" w:styleId="UnresolvedMention2">
    <w:name w:val="Unresolved Mention2"/>
    <w:basedOn w:val="DefaultParagraphFont"/>
    <w:uiPriority w:val="99"/>
    <w:semiHidden/>
    <w:unhideWhenUsed/>
    <w:rsid w:val="00177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0894">
      <w:bodyDiv w:val="1"/>
      <w:marLeft w:val="0"/>
      <w:marRight w:val="0"/>
      <w:marTop w:val="0"/>
      <w:marBottom w:val="0"/>
      <w:divBdr>
        <w:top w:val="none" w:sz="0" w:space="0" w:color="auto"/>
        <w:left w:val="none" w:sz="0" w:space="0" w:color="auto"/>
        <w:bottom w:val="none" w:sz="0" w:space="0" w:color="auto"/>
        <w:right w:val="none" w:sz="0" w:space="0" w:color="auto"/>
      </w:divBdr>
      <w:divsChild>
        <w:div w:id="925573882">
          <w:marLeft w:val="0"/>
          <w:marRight w:val="0"/>
          <w:marTop w:val="0"/>
          <w:marBottom w:val="0"/>
          <w:divBdr>
            <w:top w:val="none" w:sz="0" w:space="0" w:color="auto"/>
            <w:left w:val="none" w:sz="0" w:space="0" w:color="auto"/>
            <w:bottom w:val="none" w:sz="0" w:space="0" w:color="auto"/>
            <w:right w:val="none" w:sz="0" w:space="0" w:color="auto"/>
          </w:divBdr>
        </w:div>
        <w:div w:id="1882984245">
          <w:marLeft w:val="0"/>
          <w:marRight w:val="0"/>
          <w:marTop w:val="0"/>
          <w:marBottom w:val="0"/>
          <w:divBdr>
            <w:top w:val="none" w:sz="0" w:space="0" w:color="auto"/>
            <w:left w:val="none" w:sz="0" w:space="0" w:color="auto"/>
            <w:bottom w:val="none" w:sz="0" w:space="0" w:color="auto"/>
            <w:right w:val="none" w:sz="0" w:space="0" w:color="auto"/>
          </w:divBdr>
        </w:div>
        <w:div w:id="1981688013">
          <w:marLeft w:val="0"/>
          <w:marRight w:val="0"/>
          <w:marTop w:val="0"/>
          <w:marBottom w:val="0"/>
          <w:divBdr>
            <w:top w:val="none" w:sz="0" w:space="0" w:color="auto"/>
            <w:left w:val="none" w:sz="0" w:space="0" w:color="auto"/>
            <w:bottom w:val="none" w:sz="0" w:space="0" w:color="auto"/>
            <w:right w:val="none" w:sz="0" w:space="0" w:color="auto"/>
          </w:divBdr>
        </w:div>
        <w:div w:id="1507132012">
          <w:marLeft w:val="0"/>
          <w:marRight w:val="0"/>
          <w:marTop w:val="0"/>
          <w:marBottom w:val="0"/>
          <w:divBdr>
            <w:top w:val="none" w:sz="0" w:space="0" w:color="auto"/>
            <w:left w:val="none" w:sz="0" w:space="0" w:color="auto"/>
            <w:bottom w:val="none" w:sz="0" w:space="0" w:color="auto"/>
            <w:right w:val="none" w:sz="0" w:space="0" w:color="auto"/>
          </w:divBdr>
        </w:div>
      </w:divsChild>
    </w:div>
    <w:div w:id="57478729">
      <w:bodyDiv w:val="1"/>
      <w:marLeft w:val="0"/>
      <w:marRight w:val="0"/>
      <w:marTop w:val="0"/>
      <w:marBottom w:val="0"/>
      <w:divBdr>
        <w:top w:val="none" w:sz="0" w:space="0" w:color="auto"/>
        <w:left w:val="none" w:sz="0" w:space="0" w:color="auto"/>
        <w:bottom w:val="none" w:sz="0" w:space="0" w:color="auto"/>
        <w:right w:val="none" w:sz="0" w:space="0" w:color="auto"/>
      </w:divBdr>
    </w:div>
    <w:div w:id="66457848">
      <w:bodyDiv w:val="1"/>
      <w:marLeft w:val="0"/>
      <w:marRight w:val="0"/>
      <w:marTop w:val="0"/>
      <w:marBottom w:val="0"/>
      <w:divBdr>
        <w:top w:val="none" w:sz="0" w:space="0" w:color="auto"/>
        <w:left w:val="none" w:sz="0" w:space="0" w:color="auto"/>
        <w:bottom w:val="none" w:sz="0" w:space="0" w:color="auto"/>
        <w:right w:val="none" w:sz="0" w:space="0" w:color="auto"/>
      </w:divBdr>
      <w:divsChild>
        <w:div w:id="655495476">
          <w:marLeft w:val="0"/>
          <w:marRight w:val="0"/>
          <w:marTop w:val="27"/>
          <w:marBottom w:val="27"/>
          <w:divBdr>
            <w:top w:val="none" w:sz="0" w:space="0" w:color="auto"/>
            <w:left w:val="none" w:sz="0" w:space="0" w:color="auto"/>
            <w:bottom w:val="none" w:sz="0" w:space="0" w:color="auto"/>
            <w:right w:val="none" w:sz="0" w:space="0" w:color="auto"/>
          </w:divBdr>
        </w:div>
      </w:divsChild>
    </w:div>
    <w:div w:id="194002158">
      <w:bodyDiv w:val="1"/>
      <w:marLeft w:val="0"/>
      <w:marRight w:val="0"/>
      <w:marTop w:val="0"/>
      <w:marBottom w:val="0"/>
      <w:divBdr>
        <w:top w:val="none" w:sz="0" w:space="0" w:color="auto"/>
        <w:left w:val="none" w:sz="0" w:space="0" w:color="auto"/>
        <w:bottom w:val="none" w:sz="0" w:space="0" w:color="auto"/>
        <w:right w:val="none" w:sz="0" w:space="0" w:color="auto"/>
      </w:divBdr>
    </w:div>
    <w:div w:id="224875585">
      <w:bodyDiv w:val="1"/>
      <w:marLeft w:val="0"/>
      <w:marRight w:val="0"/>
      <w:marTop w:val="0"/>
      <w:marBottom w:val="0"/>
      <w:divBdr>
        <w:top w:val="none" w:sz="0" w:space="0" w:color="auto"/>
        <w:left w:val="none" w:sz="0" w:space="0" w:color="auto"/>
        <w:bottom w:val="none" w:sz="0" w:space="0" w:color="auto"/>
        <w:right w:val="none" w:sz="0" w:space="0" w:color="auto"/>
      </w:divBdr>
    </w:div>
    <w:div w:id="226570901">
      <w:bodyDiv w:val="1"/>
      <w:marLeft w:val="0"/>
      <w:marRight w:val="0"/>
      <w:marTop w:val="0"/>
      <w:marBottom w:val="0"/>
      <w:divBdr>
        <w:top w:val="none" w:sz="0" w:space="0" w:color="auto"/>
        <w:left w:val="none" w:sz="0" w:space="0" w:color="auto"/>
        <w:bottom w:val="none" w:sz="0" w:space="0" w:color="auto"/>
        <w:right w:val="none" w:sz="0" w:space="0" w:color="auto"/>
      </w:divBdr>
    </w:div>
    <w:div w:id="242376019">
      <w:bodyDiv w:val="1"/>
      <w:marLeft w:val="0"/>
      <w:marRight w:val="0"/>
      <w:marTop w:val="0"/>
      <w:marBottom w:val="0"/>
      <w:divBdr>
        <w:top w:val="none" w:sz="0" w:space="0" w:color="auto"/>
        <w:left w:val="none" w:sz="0" w:space="0" w:color="auto"/>
        <w:bottom w:val="none" w:sz="0" w:space="0" w:color="auto"/>
        <w:right w:val="none" w:sz="0" w:space="0" w:color="auto"/>
      </w:divBdr>
    </w:div>
    <w:div w:id="311373765">
      <w:bodyDiv w:val="1"/>
      <w:marLeft w:val="0"/>
      <w:marRight w:val="0"/>
      <w:marTop w:val="0"/>
      <w:marBottom w:val="0"/>
      <w:divBdr>
        <w:top w:val="none" w:sz="0" w:space="0" w:color="auto"/>
        <w:left w:val="none" w:sz="0" w:space="0" w:color="auto"/>
        <w:bottom w:val="none" w:sz="0" w:space="0" w:color="auto"/>
        <w:right w:val="none" w:sz="0" w:space="0" w:color="auto"/>
      </w:divBdr>
    </w:div>
    <w:div w:id="388306574">
      <w:bodyDiv w:val="1"/>
      <w:marLeft w:val="0"/>
      <w:marRight w:val="0"/>
      <w:marTop w:val="0"/>
      <w:marBottom w:val="0"/>
      <w:divBdr>
        <w:top w:val="none" w:sz="0" w:space="0" w:color="auto"/>
        <w:left w:val="none" w:sz="0" w:space="0" w:color="auto"/>
        <w:bottom w:val="none" w:sz="0" w:space="0" w:color="auto"/>
        <w:right w:val="none" w:sz="0" w:space="0" w:color="auto"/>
      </w:divBdr>
    </w:div>
    <w:div w:id="428355094">
      <w:bodyDiv w:val="1"/>
      <w:marLeft w:val="0"/>
      <w:marRight w:val="0"/>
      <w:marTop w:val="0"/>
      <w:marBottom w:val="0"/>
      <w:divBdr>
        <w:top w:val="none" w:sz="0" w:space="0" w:color="auto"/>
        <w:left w:val="none" w:sz="0" w:space="0" w:color="auto"/>
        <w:bottom w:val="none" w:sz="0" w:space="0" w:color="auto"/>
        <w:right w:val="none" w:sz="0" w:space="0" w:color="auto"/>
      </w:divBdr>
    </w:div>
    <w:div w:id="470639348">
      <w:bodyDiv w:val="1"/>
      <w:marLeft w:val="0"/>
      <w:marRight w:val="0"/>
      <w:marTop w:val="0"/>
      <w:marBottom w:val="0"/>
      <w:divBdr>
        <w:top w:val="none" w:sz="0" w:space="0" w:color="auto"/>
        <w:left w:val="none" w:sz="0" w:space="0" w:color="auto"/>
        <w:bottom w:val="none" w:sz="0" w:space="0" w:color="auto"/>
        <w:right w:val="none" w:sz="0" w:space="0" w:color="auto"/>
      </w:divBdr>
    </w:div>
    <w:div w:id="528645680">
      <w:bodyDiv w:val="1"/>
      <w:marLeft w:val="0"/>
      <w:marRight w:val="0"/>
      <w:marTop w:val="0"/>
      <w:marBottom w:val="0"/>
      <w:divBdr>
        <w:top w:val="none" w:sz="0" w:space="0" w:color="auto"/>
        <w:left w:val="none" w:sz="0" w:space="0" w:color="auto"/>
        <w:bottom w:val="none" w:sz="0" w:space="0" w:color="auto"/>
        <w:right w:val="none" w:sz="0" w:space="0" w:color="auto"/>
      </w:divBdr>
    </w:div>
    <w:div w:id="529882749">
      <w:bodyDiv w:val="1"/>
      <w:marLeft w:val="0"/>
      <w:marRight w:val="0"/>
      <w:marTop w:val="0"/>
      <w:marBottom w:val="0"/>
      <w:divBdr>
        <w:top w:val="none" w:sz="0" w:space="0" w:color="auto"/>
        <w:left w:val="none" w:sz="0" w:space="0" w:color="auto"/>
        <w:bottom w:val="none" w:sz="0" w:space="0" w:color="auto"/>
        <w:right w:val="none" w:sz="0" w:space="0" w:color="auto"/>
      </w:divBdr>
    </w:div>
    <w:div w:id="575825335">
      <w:bodyDiv w:val="1"/>
      <w:marLeft w:val="0"/>
      <w:marRight w:val="0"/>
      <w:marTop w:val="0"/>
      <w:marBottom w:val="0"/>
      <w:divBdr>
        <w:top w:val="none" w:sz="0" w:space="0" w:color="auto"/>
        <w:left w:val="none" w:sz="0" w:space="0" w:color="auto"/>
        <w:bottom w:val="none" w:sz="0" w:space="0" w:color="auto"/>
        <w:right w:val="none" w:sz="0" w:space="0" w:color="auto"/>
      </w:divBdr>
      <w:divsChild>
        <w:div w:id="102581130">
          <w:marLeft w:val="907"/>
          <w:marRight w:val="0"/>
          <w:marTop w:val="0"/>
          <w:marBottom w:val="0"/>
          <w:divBdr>
            <w:top w:val="none" w:sz="0" w:space="0" w:color="auto"/>
            <w:left w:val="none" w:sz="0" w:space="0" w:color="auto"/>
            <w:bottom w:val="none" w:sz="0" w:space="0" w:color="auto"/>
            <w:right w:val="none" w:sz="0" w:space="0" w:color="auto"/>
          </w:divBdr>
        </w:div>
        <w:div w:id="489374882">
          <w:marLeft w:val="907"/>
          <w:marRight w:val="0"/>
          <w:marTop w:val="0"/>
          <w:marBottom w:val="0"/>
          <w:divBdr>
            <w:top w:val="none" w:sz="0" w:space="0" w:color="auto"/>
            <w:left w:val="none" w:sz="0" w:space="0" w:color="auto"/>
            <w:bottom w:val="none" w:sz="0" w:space="0" w:color="auto"/>
            <w:right w:val="none" w:sz="0" w:space="0" w:color="auto"/>
          </w:divBdr>
        </w:div>
        <w:div w:id="1791507132">
          <w:marLeft w:val="907"/>
          <w:marRight w:val="0"/>
          <w:marTop w:val="0"/>
          <w:marBottom w:val="0"/>
          <w:divBdr>
            <w:top w:val="none" w:sz="0" w:space="0" w:color="auto"/>
            <w:left w:val="none" w:sz="0" w:space="0" w:color="auto"/>
            <w:bottom w:val="none" w:sz="0" w:space="0" w:color="auto"/>
            <w:right w:val="none" w:sz="0" w:space="0" w:color="auto"/>
          </w:divBdr>
        </w:div>
      </w:divsChild>
    </w:div>
    <w:div w:id="578321971">
      <w:bodyDiv w:val="1"/>
      <w:marLeft w:val="0"/>
      <w:marRight w:val="0"/>
      <w:marTop w:val="0"/>
      <w:marBottom w:val="0"/>
      <w:divBdr>
        <w:top w:val="none" w:sz="0" w:space="0" w:color="auto"/>
        <w:left w:val="none" w:sz="0" w:space="0" w:color="auto"/>
        <w:bottom w:val="none" w:sz="0" w:space="0" w:color="auto"/>
        <w:right w:val="none" w:sz="0" w:space="0" w:color="auto"/>
      </w:divBdr>
      <w:divsChild>
        <w:div w:id="1912766170">
          <w:marLeft w:val="0"/>
          <w:marRight w:val="0"/>
          <w:marTop w:val="34"/>
          <w:marBottom w:val="34"/>
          <w:divBdr>
            <w:top w:val="none" w:sz="0" w:space="0" w:color="auto"/>
            <w:left w:val="none" w:sz="0" w:space="0" w:color="auto"/>
            <w:bottom w:val="none" w:sz="0" w:space="0" w:color="auto"/>
            <w:right w:val="none" w:sz="0" w:space="0" w:color="auto"/>
          </w:divBdr>
        </w:div>
      </w:divsChild>
    </w:div>
    <w:div w:id="670987089">
      <w:bodyDiv w:val="1"/>
      <w:marLeft w:val="0"/>
      <w:marRight w:val="0"/>
      <w:marTop w:val="0"/>
      <w:marBottom w:val="0"/>
      <w:divBdr>
        <w:top w:val="none" w:sz="0" w:space="0" w:color="auto"/>
        <w:left w:val="none" w:sz="0" w:space="0" w:color="auto"/>
        <w:bottom w:val="none" w:sz="0" w:space="0" w:color="auto"/>
        <w:right w:val="none" w:sz="0" w:space="0" w:color="auto"/>
      </w:divBdr>
    </w:div>
    <w:div w:id="712583024">
      <w:bodyDiv w:val="1"/>
      <w:marLeft w:val="0"/>
      <w:marRight w:val="0"/>
      <w:marTop w:val="0"/>
      <w:marBottom w:val="0"/>
      <w:divBdr>
        <w:top w:val="none" w:sz="0" w:space="0" w:color="auto"/>
        <w:left w:val="none" w:sz="0" w:space="0" w:color="auto"/>
        <w:bottom w:val="none" w:sz="0" w:space="0" w:color="auto"/>
        <w:right w:val="none" w:sz="0" w:space="0" w:color="auto"/>
      </w:divBdr>
    </w:div>
    <w:div w:id="764423894">
      <w:bodyDiv w:val="1"/>
      <w:marLeft w:val="0"/>
      <w:marRight w:val="0"/>
      <w:marTop w:val="0"/>
      <w:marBottom w:val="0"/>
      <w:divBdr>
        <w:top w:val="none" w:sz="0" w:space="0" w:color="auto"/>
        <w:left w:val="none" w:sz="0" w:space="0" w:color="auto"/>
        <w:bottom w:val="none" w:sz="0" w:space="0" w:color="auto"/>
        <w:right w:val="none" w:sz="0" w:space="0" w:color="auto"/>
      </w:divBdr>
    </w:div>
    <w:div w:id="779033714">
      <w:bodyDiv w:val="1"/>
      <w:marLeft w:val="0"/>
      <w:marRight w:val="0"/>
      <w:marTop w:val="0"/>
      <w:marBottom w:val="0"/>
      <w:divBdr>
        <w:top w:val="none" w:sz="0" w:space="0" w:color="auto"/>
        <w:left w:val="none" w:sz="0" w:space="0" w:color="auto"/>
        <w:bottom w:val="none" w:sz="0" w:space="0" w:color="auto"/>
        <w:right w:val="none" w:sz="0" w:space="0" w:color="auto"/>
      </w:divBdr>
    </w:div>
    <w:div w:id="787166871">
      <w:bodyDiv w:val="1"/>
      <w:marLeft w:val="0"/>
      <w:marRight w:val="0"/>
      <w:marTop w:val="0"/>
      <w:marBottom w:val="0"/>
      <w:divBdr>
        <w:top w:val="none" w:sz="0" w:space="0" w:color="auto"/>
        <w:left w:val="none" w:sz="0" w:space="0" w:color="auto"/>
        <w:bottom w:val="none" w:sz="0" w:space="0" w:color="auto"/>
        <w:right w:val="none" w:sz="0" w:space="0" w:color="auto"/>
      </w:divBdr>
    </w:div>
    <w:div w:id="868835954">
      <w:bodyDiv w:val="1"/>
      <w:marLeft w:val="0"/>
      <w:marRight w:val="0"/>
      <w:marTop w:val="0"/>
      <w:marBottom w:val="0"/>
      <w:divBdr>
        <w:top w:val="none" w:sz="0" w:space="0" w:color="auto"/>
        <w:left w:val="none" w:sz="0" w:space="0" w:color="auto"/>
        <w:bottom w:val="none" w:sz="0" w:space="0" w:color="auto"/>
        <w:right w:val="none" w:sz="0" w:space="0" w:color="auto"/>
      </w:divBdr>
    </w:div>
    <w:div w:id="913973541">
      <w:bodyDiv w:val="1"/>
      <w:marLeft w:val="0"/>
      <w:marRight w:val="0"/>
      <w:marTop w:val="0"/>
      <w:marBottom w:val="0"/>
      <w:divBdr>
        <w:top w:val="none" w:sz="0" w:space="0" w:color="auto"/>
        <w:left w:val="none" w:sz="0" w:space="0" w:color="auto"/>
        <w:bottom w:val="none" w:sz="0" w:space="0" w:color="auto"/>
        <w:right w:val="none" w:sz="0" w:space="0" w:color="auto"/>
      </w:divBdr>
    </w:div>
    <w:div w:id="1001277723">
      <w:bodyDiv w:val="1"/>
      <w:marLeft w:val="0"/>
      <w:marRight w:val="0"/>
      <w:marTop w:val="0"/>
      <w:marBottom w:val="0"/>
      <w:divBdr>
        <w:top w:val="none" w:sz="0" w:space="0" w:color="auto"/>
        <w:left w:val="none" w:sz="0" w:space="0" w:color="auto"/>
        <w:bottom w:val="none" w:sz="0" w:space="0" w:color="auto"/>
        <w:right w:val="none" w:sz="0" w:space="0" w:color="auto"/>
      </w:divBdr>
      <w:divsChild>
        <w:div w:id="1090853094">
          <w:marLeft w:val="0"/>
          <w:marRight w:val="1"/>
          <w:marTop w:val="0"/>
          <w:marBottom w:val="0"/>
          <w:divBdr>
            <w:top w:val="none" w:sz="0" w:space="0" w:color="auto"/>
            <w:left w:val="none" w:sz="0" w:space="0" w:color="auto"/>
            <w:bottom w:val="none" w:sz="0" w:space="0" w:color="auto"/>
            <w:right w:val="none" w:sz="0" w:space="0" w:color="auto"/>
          </w:divBdr>
          <w:divsChild>
            <w:div w:id="1961647242">
              <w:marLeft w:val="0"/>
              <w:marRight w:val="0"/>
              <w:marTop w:val="0"/>
              <w:marBottom w:val="0"/>
              <w:divBdr>
                <w:top w:val="none" w:sz="0" w:space="0" w:color="auto"/>
                <w:left w:val="none" w:sz="0" w:space="0" w:color="auto"/>
                <w:bottom w:val="none" w:sz="0" w:space="0" w:color="auto"/>
                <w:right w:val="none" w:sz="0" w:space="0" w:color="auto"/>
              </w:divBdr>
              <w:divsChild>
                <w:div w:id="1461070590">
                  <w:marLeft w:val="0"/>
                  <w:marRight w:val="1"/>
                  <w:marTop w:val="0"/>
                  <w:marBottom w:val="0"/>
                  <w:divBdr>
                    <w:top w:val="none" w:sz="0" w:space="0" w:color="auto"/>
                    <w:left w:val="none" w:sz="0" w:space="0" w:color="auto"/>
                    <w:bottom w:val="none" w:sz="0" w:space="0" w:color="auto"/>
                    <w:right w:val="none" w:sz="0" w:space="0" w:color="auto"/>
                  </w:divBdr>
                  <w:divsChild>
                    <w:div w:id="1141310413">
                      <w:marLeft w:val="0"/>
                      <w:marRight w:val="0"/>
                      <w:marTop w:val="0"/>
                      <w:marBottom w:val="0"/>
                      <w:divBdr>
                        <w:top w:val="none" w:sz="0" w:space="0" w:color="auto"/>
                        <w:left w:val="none" w:sz="0" w:space="0" w:color="auto"/>
                        <w:bottom w:val="none" w:sz="0" w:space="0" w:color="auto"/>
                        <w:right w:val="none" w:sz="0" w:space="0" w:color="auto"/>
                      </w:divBdr>
                      <w:divsChild>
                        <w:div w:id="602109742">
                          <w:marLeft w:val="0"/>
                          <w:marRight w:val="0"/>
                          <w:marTop w:val="0"/>
                          <w:marBottom w:val="0"/>
                          <w:divBdr>
                            <w:top w:val="none" w:sz="0" w:space="0" w:color="auto"/>
                            <w:left w:val="none" w:sz="0" w:space="0" w:color="auto"/>
                            <w:bottom w:val="none" w:sz="0" w:space="0" w:color="auto"/>
                            <w:right w:val="none" w:sz="0" w:space="0" w:color="auto"/>
                          </w:divBdr>
                          <w:divsChild>
                            <w:div w:id="349527915">
                              <w:marLeft w:val="0"/>
                              <w:marRight w:val="0"/>
                              <w:marTop w:val="120"/>
                              <w:marBottom w:val="360"/>
                              <w:divBdr>
                                <w:top w:val="none" w:sz="0" w:space="0" w:color="auto"/>
                                <w:left w:val="none" w:sz="0" w:space="0" w:color="auto"/>
                                <w:bottom w:val="none" w:sz="0" w:space="0" w:color="auto"/>
                                <w:right w:val="none" w:sz="0" w:space="0" w:color="auto"/>
                              </w:divBdr>
                              <w:divsChild>
                                <w:div w:id="1515652565">
                                  <w:marLeft w:val="0"/>
                                  <w:marRight w:val="0"/>
                                  <w:marTop w:val="0"/>
                                  <w:marBottom w:val="0"/>
                                  <w:divBdr>
                                    <w:top w:val="none" w:sz="0" w:space="0" w:color="auto"/>
                                    <w:left w:val="none" w:sz="0" w:space="0" w:color="auto"/>
                                    <w:bottom w:val="none" w:sz="0" w:space="0" w:color="auto"/>
                                    <w:right w:val="none" w:sz="0" w:space="0" w:color="auto"/>
                                  </w:divBdr>
                                </w:div>
                                <w:div w:id="136525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431966">
      <w:bodyDiv w:val="1"/>
      <w:marLeft w:val="0"/>
      <w:marRight w:val="0"/>
      <w:marTop w:val="0"/>
      <w:marBottom w:val="0"/>
      <w:divBdr>
        <w:top w:val="none" w:sz="0" w:space="0" w:color="auto"/>
        <w:left w:val="none" w:sz="0" w:space="0" w:color="auto"/>
        <w:bottom w:val="none" w:sz="0" w:space="0" w:color="auto"/>
        <w:right w:val="none" w:sz="0" w:space="0" w:color="auto"/>
      </w:divBdr>
    </w:div>
    <w:div w:id="1047333649">
      <w:bodyDiv w:val="1"/>
      <w:marLeft w:val="0"/>
      <w:marRight w:val="0"/>
      <w:marTop w:val="0"/>
      <w:marBottom w:val="0"/>
      <w:divBdr>
        <w:top w:val="none" w:sz="0" w:space="0" w:color="auto"/>
        <w:left w:val="none" w:sz="0" w:space="0" w:color="auto"/>
        <w:bottom w:val="none" w:sz="0" w:space="0" w:color="auto"/>
        <w:right w:val="none" w:sz="0" w:space="0" w:color="auto"/>
      </w:divBdr>
    </w:div>
    <w:div w:id="1056316694">
      <w:bodyDiv w:val="1"/>
      <w:marLeft w:val="0"/>
      <w:marRight w:val="0"/>
      <w:marTop w:val="0"/>
      <w:marBottom w:val="0"/>
      <w:divBdr>
        <w:top w:val="none" w:sz="0" w:space="0" w:color="auto"/>
        <w:left w:val="none" w:sz="0" w:space="0" w:color="auto"/>
        <w:bottom w:val="none" w:sz="0" w:space="0" w:color="auto"/>
        <w:right w:val="none" w:sz="0" w:space="0" w:color="auto"/>
      </w:divBdr>
    </w:div>
    <w:div w:id="1127427976">
      <w:bodyDiv w:val="1"/>
      <w:marLeft w:val="0"/>
      <w:marRight w:val="0"/>
      <w:marTop w:val="0"/>
      <w:marBottom w:val="0"/>
      <w:divBdr>
        <w:top w:val="none" w:sz="0" w:space="0" w:color="auto"/>
        <w:left w:val="none" w:sz="0" w:space="0" w:color="auto"/>
        <w:bottom w:val="none" w:sz="0" w:space="0" w:color="auto"/>
        <w:right w:val="none" w:sz="0" w:space="0" w:color="auto"/>
      </w:divBdr>
    </w:div>
    <w:div w:id="1163010531">
      <w:bodyDiv w:val="1"/>
      <w:marLeft w:val="0"/>
      <w:marRight w:val="0"/>
      <w:marTop w:val="0"/>
      <w:marBottom w:val="0"/>
      <w:divBdr>
        <w:top w:val="none" w:sz="0" w:space="0" w:color="auto"/>
        <w:left w:val="none" w:sz="0" w:space="0" w:color="auto"/>
        <w:bottom w:val="none" w:sz="0" w:space="0" w:color="auto"/>
        <w:right w:val="none" w:sz="0" w:space="0" w:color="auto"/>
      </w:divBdr>
    </w:div>
    <w:div w:id="1229147845">
      <w:bodyDiv w:val="1"/>
      <w:marLeft w:val="0"/>
      <w:marRight w:val="0"/>
      <w:marTop w:val="0"/>
      <w:marBottom w:val="0"/>
      <w:divBdr>
        <w:top w:val="none" w:sz="0" w:space="0" w:color="auto"/>
        <w:left w:val="none" w:sz="0" w:space="0" w:color="auto"/>
        <w:bottom w:val="none" w:sz="0" w:space="0" w:color="auto"/>
        <w:right w:val="none" w:sz="0" w:space="0" w:color="auto"/>
      </w:divBdr>
    </w:div>
    <w:div w:id="1443452411">
      <w:bodyDiv w:val="1"/>
      <w:marLeft w:val="0"/>
      <w:marRight w:val="0"/>
      <w:marTop w:val="0"/>
      <w:marBottom w:val="0"/>
      <w:divBdr>
        <w:top w:val="none" w:sz="0" w:space="0" w:color="auto"/>
        <w:left w:val="none" w:sz="0" w:space="0" w:color="auto"/>
        <w:bottom w:val="none" w:sz="0" w:space="0" w:color="auto"/>
        <w:right w:val="none" w:sz="0" w:space="0" w:color="auto"/>
      </w:divBdr>
    </w:div>
    <w:div w:id="1470124889">
      <w:bodyDiv w:val="1"/>
      <w:marLeft w:val="0"/>
      <w:marRight w:val="0"/>
      <w:marTop w:val="0"/>
      <w:marBottom w:val="0"/>
      <w:divBdr>
        <w:top w:val="none" w:sz="0" w:space="0" w:color="auto"/>
        <w:left w:val="none" w:sz="0" w:space="0" w:color="auto"/>
        <w:bottom w:val="none" w:sz="0" w:space="0" w:color="auto"/>
        <w:right w:val="none" w:sz="0" w:space="0" w:color="auto"/>
      </w:divBdr>
    </w:div>
    <w:div w:id="1475218347">
      <w:bodyDiv w:val="1"/>
      <w:marLeft w:val="0"/>
      <w:marRight w:val="0"/>
      <w:marTop w:val="0"/>
      <w:marBottom w:val="0"/>
      <w:divBdr>
        <w:top w:val="none" w:sz="0" w:space="0" w:color="auto"/>
        <w:left w:val="none" w:sz="0" w:space="0" w:color="auto"/>
        <w:bottom w:val="none" w:sz="0" w:space="0" w:color="auto"/>
        <w:right w:val="none" w:sz="0" w:space="0" w:color="auto"/>
      </w:divBdr>
    </w:div>
    <w:div w:id="1487476216">
      <w:bodyDiv w:val="1"/>
      <w:marLeft w:val="0"/>
      <w:marRight w:val="0"/>
      <w:marTop w:val="0"/>
      <w:marBottom w:val="0"/>
      <w:divBdr>
        <w:top w:val="none" w:sz="0" w:space="0" w:color="auto"/>
        <w:left w:val="none" w:sz="0" w:space="0" w:color="auto"/>
        <w:bottom w:val="none" w:sz="0" w:space="0" w:color="auto"/>
        <w:right w:val="none" w:sz="0" w:space="0" w:color="auto"/>
      </w:divBdr>
    </w:div>
    <w:div w:id="1503348767">
      <w:bodyDiv w:val="1"/>
      <w:marLeft w:val="0"/>
      <w:marRight w:val="0"/>
      <w:marTop w:val="0"/>
      <w:marBottom w:val="0"/>
      <w:divBdr>
        <w:top w:val="none" w:sz="0" w:space="0" w:color="auto"/>
        <w:left w:val="none" w:sz="0" w:space="0" w:color="auto"/>
        <w:bottom w:val="none" w:sz="0" w:space="0" w:color="auto"/>
        <w:right w:val="none" w:sz="0" w:space="0" w:color="auto"/>
      </w:divBdr>
      <w:divsChild>
        <w:div w:id="1192109938">
          <w:marLeft w:val="0"/>
          <w:marRight w:val="0"/>
          <w:marTop w:val="27"/>
          <w:marBottom w:val="27"/>
          <w:divBdr>
            <w:top w:val="none" w:sz="0" w:space="0" w:color="auto"/>
            <w:left w:val="none" w:sz="0" w:space="0" w:color="auto"/>
            <w:bottom w:val="none" w:sz="0" w:space="0" w:color="auto"/>
            <w:right w:val="none" w:sz="0" w:space="0" w:color="auto"/>
          </w:divBdr>
        </w:div>
      </w:divsChild>
    </w:div>
    <w:div w:id="1634560162">
      <w:bodyDiv w:val="1"/>
      <w:marLeft w:val="0"/>
      <w:marRight w:val="0"/>
      <w:marTop w:val="0"/>
      <w:marBottom w:val="0"/>
      <w:divBdr>
        <w:top w:val="none" w:sz="0" w:space="0" w:color="auto"/>
        <w:left w:val="none" w:sz="0" w:space="0" w:color="auto"/>
        <w:bottom w:val="none" w:sz="0" w:space="0" w:color="auto"/>
        <w:right w:val="none" w:sz="0" w:space="0" w:color="auto"/>
      </w:divBdr>
    </w:div>
    <w:div w:id="1678578049">
      <w:bodyDiv w:val="1"/>
      <w:marLeft w:val="0"/>
      <w:marRight w:val="0"/>
      <w:marTop w:val="0"/>
      <w:marBottom w:val="0"/>
      <w:divBdr>
        <w:top w:val="none" w:sz="0" w:space="0" w:color="auto"/>
        <w:left w:val="none" w:sz="0" w:space="0" w:color="auto"/>
        <w:bottom w:val="none" w:sz="0" w:space="0" w:color="auto"/>
        <w:right w:val="none" w:sz="0" w:space="0" w:color="auto"/>
      </w:divBdr>
    </w:div>
    <w:div w:id="1693992563">
      <w:bodyDiv w:val="1"/>
      <w:marLeft w:val="0"/>
      <w:marRight w:val="0"/>
      <w:marTop w:val="0"/>
      <w:marBottom w:val="0"/>
      <w:divBdr>
        <w:top w:val="none" w:sz="0" w:space="0" w:color="auto"/>
        <w:left w:val="none" w:sz="0" w:space="0" w:color="auto"/>
        <w:bottom w:val="none" w:sz="0" w:space="0" w:color="auto"/>
        <w:right w:val="none" w:sz="0" w:space="0" w:color="auto"/>
      </w:divBdr>
    </w:div>
    <w:div w:id="1707900634">
      <w:bodyDiv w:val="1"/>
      <w:marLeft w:val="0"/>
      <w:marRight w:val="0"/>
      <w:marTop w:val="0"/>
      <w:marBottom w:val="0"/>
      <w:divBdr>
        <w:top w:val="none" w:sz="0" w:space="0" w:color="auto"/>
        <w:left w:val="none" w:sz="0" w:space="0" w:color="auto"/>
        <w:bottom w:val="none" w:sz="0" w:space="0" w:color="auto"/>
        <w:right w:val="none" w:sz="0" w:space="0" w:color="auto"/>
      </w:divBdr>
    </w:div>
    <w:div w:id="1710690226">
      <w:bodyDiv w:val="1"/>
      <w:marLeft w:val="0"/>
      <w:marRight w:val="0"/>
      <w:marTop w:val="0"/>
      <w:marBottom w:val="0"/>
      <w:divBdr>
        <w:top w:val="none" w:sz="0" w:space="0" w:color="auto"/>
        <w:left w:val="none" w:sz="0" w:space="0" w:color="auto"/>
        <w:bottom w:val="none" w:sz="0" w:space="0" w:color="auto"/>
        <w:right w:val="none" w:sz="0" w:space="0" w:color="auto"/>
      </w:divBdr>
    </w:div>
    <w:div w:id="1784154426">
      <w:bodyDiv w:val="1"/>
      <w:marLeft w:val="0"/>
      <w:marRight w:val="0"/>
      <w:marTop w:val="0"/>
      <w:marBottom w:val="0"/>
      <w:divBdr>
        <w:top w:val="none" w:sz="0" w:space="0" w:color="auto"/>
        <w:left w:val="none" w:sz="0" w:space="0" w:color="auto"/>
        <w:bottom w:val="none" w:sz="0" w:space="0" w:color="auto"/>
        <w:right w:val="none" w:sz="0" w:space="0" w:color="auto"/>
      </w:divBdr>
    </w:div>
    <w:div w:id="1814326777">
      <w:bodyDiv w:val="1"/>
      <w:marLeft w:val="0"/>
      <w:marRight w:val="0"/>
      <w:marTop w:val="0"/>
      <w:marBottom w:val="0"/>
      <w:divBdr>
        <w:top w:val="none" w:sz="0" w:space="0" w:color="auto"/>
        <w:left w:val="none" w:sz="0" w:space="0" w:color="auto"/>
        <w:bottom w:val="none" w:sz="0" w:space="0" w:color="auto"/>
        <w:right w:val="none" w:sz="0" w:space="0" w:color="auto"/>
      </w:divBdr>
      <w:divsChild>
        <w:div w:id="48503839">
          <w:marLeft w:val="0"/>
          <w:marRight w:val="0"/>
          <w:marTop w:val="34"/>
          <w:marBottom w:val="34"/>
          <w:divBdr>
            <w:top w:val="none" w:sz="0" w:space="0" w:color="auto"/>
            <w:left w:val="none" w:sz="0" w:space="0" w:color="auto"/>
            <w:bottom w:val="none" w:sz="0" w:space="0" w:color="auto"/>
            <w:right w:val="none" w:sz="0" w:space="0" w:color="auto"/>
          </w:divBdr>
        </w:div>
      </w:divsChild>
    </w:div>
    <w:div w:id="1828746955">
      <w:bodyDiv w:val="1"/>
      <w:marLeft w:val="0"/>
      <w:marRight w:val="0"/>
      <w:marTop w:val="0"/>
      <w:marBottom w:val="0"/>
      <w:divBdr>
        <w:top w:val="none" w:sz="0" w:space="0" w:color="auto"/>
        <w:left w:val="none" w:sz="0" w:space="0" w:color="auto"/>
        <w:bottom w:val="none" w:sz="0" w:space="0" w:color="auto"/>
        <w:right w:val="none" w:sz="0" w:space="0" w:color="auto"/>
      </w:divBdr>
    </w:div>
    <w:div w:id="2002347593">
      <w:bodyDiv w:val="1"/>
      <w:marLeft w:val="0"/>
      <w:marRight w:val="0"/>
      <w:marTop w:val="0"/>
      <w:marBottom w:val="0"/>
      <w:divBdr>
        <w:top w:val="none" w:sz="0" w:space="0" w:color="auto"/>
        <w:left w:val="none" w:sz="0" w:space="0" w:color="auto"/>
        <w:bottom w:val="none" w:sz="0" w:space="0" w:color="auto"/>
        <w:right w:val="none" w:sz="0" w:space="0" w:color="auto"/>
      </w:divBdr>
    </w:div>
    <w:div w:id="2009089736">
      <w:bodyDiv w:val="1"/>
      <w:marLeft w:val="0"/>
      <w:marRight w:val="0"/>
      <w:marTop w:val="0"/>
      <w:marBottom w:val="0"/>
      <w:divBdr>
        <w:top w:val="none" w:sz="0" w:space="0" w:color="auto"/>
        <w:left w:val="none" w:sz="0" w:space="0" w:color="auto"/>
        <w:bottom w:val="none" w:sz="0" w:space="0" w:color="auto"/>
        <w:right w:val="none" w:sz="0" w:space="0" w:color="auto"/>
      </w:divBdr>
    </w:div>
    <w:div w:id="2033067489">
      <w:bodyDiv w:val="1"/>
      <w:marLeft w:val="0"/>
      <w:marRight w:val="0"/>
      <w:marTop w:val="0"/>
      <w:marBottom w:val="0"/>
      <w:divBdr>
        <w:top w:val="none" w:sz="0" w:space="0" w:color="auto"/>
        <w:left w:val="none" w:sz="0" w:space="0" w:color="auto"/>
        <w:bottom w:val="none" w:sz="0" w:space="0" w:color="auto"/>
        <w:right w:val="none" w:sz="0" w:space="0" w:color="auto"/>
      </w:divBdr>
    </w:div>
    <w:div w:id="2038702308">
      <w:bodyDiv w:val="1"/>
      <w:marLeft w:val="0"/>
      <w:marRight w:val="0"/>
      <w:marTop w:val="0"/>
      <w:marBottom w:val="0"/>
      <w:divBdr>
        <w:top w:val="none" w:sz="0" w:space="0" w:color="auto"/>
        <w:left w:val="none" w:sz="0" w:space="0" w:color="auto"/>
        <w:bottom w:val="none" w:sz="0" w:space="0" w:color="auto"/>
        <w:right w:val="none" w:sz="0" w:space="0" w:color="auto"/>
      </w:divBdr>
      <w:divsChild>
        <w:div w:id="739865695">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B97F4-07C2-426A-AFFB-878816C58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2724</Words>
  <Characters>15530</Characters>
  <Application>Microsoft Office Word</Application>
  <DocSecurity>0</DocSecurity>
  <Lines>129</Lines>
  <Paragraphs>36</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Microsoft</Company>
  <LinksUpToDate>false</LinksUpToDate>
  <CharactersWithSpaces>18218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Arjen</dc:creator>
  <cp:lastModifiedBy>Suganya R.</cp:lastModifiedBy>
  <cp:revision>14</cp:revision>
  <cp:lastPrinted>2019-10-28T14:56:00Z</cp:lastPrinted>
  <dcterms:created xsi:type="dcterms:W3CDTF">2019-11-18T13:23:00Z</dcterms:created>
  <dcterms:modified xsi:type="dcterms:W3CDTF">2020-01-10T03:51:00Z</dcterms:modified>
</cp:coreProperties>
</file>