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935D5" w:rsidRDefault="00522231">
      <w:pPr>
        <w:spacing w:after="0" w:line="240" w:lineRule="auto"/>
        <w:jc w:val="center"/>
        <w:rPr>
          <w:rFonts w:ascii="Arial Narrow" w:eastAsia="Arial Narrow" w:hAnsi="Arial Narrow" w:cs="Arial Narrow"/>
          <w:sz w:val="24"/>
          <w:szCs w:val="24"/>
        </w:rPr>
      </w:pPr>
      <w:bookmarkStart w:id="0" w:name="_GoBack"/>
      <w:bookmarkEnd w:id="0"/>
      <w:r>
        <w:rPr>
          <w:rFonts w:ascii="Arial Narrow" w:eastAsia="Arial Narrow" w:hAnsi="Arial Narrow" w:cs="Arial Narrow"/>
          <w:b/>
          <w:color w:val="000000"/>
          <w:sz w:val="24"/>
          <w:szCs w:val="24"/>
        </w:rPr>
        <w:t>Supplemental file with extended discussion</w:t>
      </w:r>
    </w:p>
    <w:p w14:paraId="00000002" w14:textId="77777777" w:rsidR="009935D5" w:rsidRDefault="00522231">
      <w:pPr>
        <w:spacing w:after="0" w:line="240" w:lineRule="auto"/>
        <w:jc w:val="center"/>
        <w:rPr>
          <w:rFonts w:ascii="Arial Narrow" w:eastAsia="Arial Narrow" w:hAnsi="Arial Narrow" w:cs="Arial Narrow"/>
          <w:sz w:val="24"/>
          <w:szCs w:val="24"/>
        </w:rPr>
      </w:pPr>
      <w:r>
        <w:rPr>
          <w:rFonts w:ascii="Arial Narrow" w:eastAsia="Arial Narrow" w:hAnsi="Arial Narrow" w:cs="Arial Narrow"/>
          <w:b/>
          <w:color w:val="000000"/>
          <w:sz w:val="24"/>
          <w:szCs w:val="24"/>
        </w:rPr>
        <w:t>Nutritional support for children during critical illness: ESPNIC Clinical Recommendations</w:t>
      </w:r>
    </w:p>
    <w:p w14:paraId="00000003" w14:textId="77777777" w:rsidR="009935D5" w:rsidRDefault="009935D5">
      <w:pPr>
        <w:spacing w:after="0" w:line="240" w:lineRule="auto"/>
        <w:rPr>
          <w:rFonts w:ascii="Arial Narrow" w:eastAsia="Arial Narrow" w:hAnsi="Arial Narrow" w:cs="Arial Narrow"/>
          <w:sz w:val="24"/>
          <w:szCs w:val="24"/>
        </w:rPr>
      </w:pPr>
    </w:p>
    <w:p w14:paraId="0000000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1</w:t>
      </w:r>
      <w:r>
        <w:rPr>
          <w:rFonts w:ascii="Arial Narrow" w:eastAsia="Arial Narrow" w:hAnsi="Arial Narrow" w:cs="Arial Narrow"/>
          <w:b/>
          <w:color w:val="000000"/>
          <w:sz w:val="24"/>
          <w:szCs w:val="24"/>
        </w:rPr>
        <w:t>: In critically ill children, should nutritional status be assessed and what is the optimal method to assess nutritional status?</w:t>
      </w:r>
    </w:p>
    <w:p w14:paraId="0000000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Defining malnutrition in the critically ill child is challenging, and studies that have reported prevalence of malnutrition and</w:t>
      </w:r>
      <w:r>
        <w:rPr>
          <w:rFonts w:ascii="Arial Narrow" w:eastAsia="Arial Narrow" w:hAnsi="Arial Narrow" w:cs="Arial Narrow"/>
          <w:color w:val="000000"/>
          <w:sz w:val="24"/>
          <w:szCs w:val="24"/>
        </w:rPr>
        <w:t xml:space="preserve"> associations with outcome have used various parameters, making comparison difficult. Being undernourished upon PICU admission, defined according to static anthropometric parameters, has a high prevalence, ranging from 12 to 55%.</w:t>
      </w:r>
      <w:r>
        <w:rPr>
          <w:rFonts w:ascii="Arial Narrow" w:eastAsia="Arial Narrow" w:hAnsi="Arial Narrow" w:cs="Arial Narrow"/>
          <w:color w:val="000000"/>
          <w:sz w:val="24"/>
          <w:szCs w:val="24"/>
          <w:vertAlign w:val="superscript"/>
        </w:rPr>
        <w:t>1-5</w:t>
      </w:r>
      <w:r>
        <w:rPr>
          <w:rFonts w:ascii="Arial Narrow" w:eastAsia="Arial Narrow" w:hAnsi="Arial Narrow" w:cs="Arial Narrow"/>
          <w:color w:val="000000"/>
          <w:sz w:val="24"/>
          <w:szCs w:val="24"/>
        </w:rPr>
        <w:t xml:space="preserve"> This varies depending o</w:t>
      </w:r>
      <w:r>
        <w:rPr>
          <w:rFonts w:ascii="Arial Narrow" w:eastAsia="Arial Narrow" w:hAnsi="Arial Narrow" w:cs="Arial Narrow"/>
          <w:color w:val="000000"/>
          <w:sz w:val="24"/>
          <w:szCs w:val="24"/>
        </w:rPr>
        <w:t>n the underlying condition and primary diagnosis, country, level of income</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and nutritional status indices used. Being undernourished upon PICU admission is associated with suboptimal outcomes: increased mortality, length of stay, ventilation duration, hosp</w:t>
      </w:r>
      <w:r>
        <w:rPr>
          <w:rFonts w:ascii="Arial Narrow" w:eastAsia="Arial Narrow" w:hAnsi="Arial Narrow" w:cs="Arial Narrow"/>
          <w:color w:val="000000"/>
          <w:sz w:val="24"/>
          <w:szCs w:val="24"/>
        </w:rPr>
        <w:t>ital acquired infections and suboptimal cardiovascular function.</w:t>
      </w:r>
      <w:r>
        <w:rPr>
          <w:rFonts w:ascii="Arial Narrow" w:eastAsia="Arial Narrow" w:hAnsi="Arial Narrow" w:cs="Arial Narrow"/>
          <w:color w:val="000000"/>
          <w:sz w:val="24"/>
          <w:szCs w:val="24"/>
          <w:vertAlign w:val="superscript"/>
        </w:rPr>
        <w:t>1-3,6-16</w:t>
      </w:r>
      <w:r>
        <w:rPr>
          <w:rFonts w:ascii="Arial Narrow" w:eastAsia="Arial Narrow" w:hAnsi="Arial Narrow" w:cs="Arial Narrow"/>
          <w:color w:val="000000"/>
          <w:sz w:val="24"/>
          <w:szCs w:val="24"/>
        </w:rPr>
        <w:t xml:space="preserve"> The prevalence of overweight and obesity varies too, depending on the respective overall population prevalence and the impact of obesity on PICU outcomes (e.g mortality, length of sta</w:t>
      </w:r>
      <w:r>
        <w:rPr>
          <w:rFonts w:ascii="Arial Narrow" w:eastAsia="Arial Narrow" w:hAnsi="Arial Narrow" w:cs="Arial Narrow"/>
          <w:color w:val="000000"/>
          <w:sz w:val="24"/>
          <w:szCs w:val="24"/>
        </w:rPr>
        <w:t>y) remains unclear with contradictory results.</w:t>
      </w:r>
      <w:r>
        <w:rPr>
          <w:rFonts w:ascii="Arial Narrow" w:eastAsia="Arial Narrow" w:hAnsi="Arial Narrow" w:cs="Arial Narrow"/>
          <w:color w:val="000000"/>
          <w:sz w:val="24"/>
          <w:szCs w:val="24"/>
          <w:vertAlign w:val="superscript"/>
        </w:rPr>
        <w:t>2,6,17-21</w:t>
      </w:r>
      <w:r>
        <w:rPr>
          <w:rFonts w:ascii="Arial Narrow" w:eastAsia="Arial Narrow" w:hAnsi="Arial Narrow" w:cs="Arial Narrow"/>
          <w:color w:val="000000"/>
          <w:sz w:val="24"/>
          <w:szCs w:val="24"/>
        </w:rPr>
        <w:t xml:space="preserve"> Loss of muscle mass also occurs during critical illness, but insufficient data is available to assess its relationship to PICU acquired weakness.</w:t>
      </w:r>
      <w:r>
        <w:rPr>
          <w:rFonts w:ascii="Arial Narrow" w:eastAsia="Arial Narrow" w:hAnsi="Arial Narrow" w:cs="Arial Narrow"/>
          <w:color w:val="000000"/>
          <w:sz w:val="24"/>
          <w:szCs w:val="24"/>
          <w:vertAlign w:val="superscript"/>
        </w:rPr>
        <w:t>22-25</w:t>
      </w:r>
      <w:r>
        <w:rPr>
          <w:rFonts w:ascii="Arial Narrow" w:eastAsia="Arial Narrow" w:hAnsi="Arial Narrow" w:cs="Arial Narrow"/>
          <w:color w:val="000000"/>
          <w:sz w:val="24"/>
          <w:szCs w:val="24"/>
        </w:rPr>
        <w:t xml:space="preserve"> Currently no evidence exists that the (nutritiona</w:t>
      </w:r>
      <w:r>
        <w:rPr>
          <w:rFonts w:ascii="Arial Narrow" w:eastAsia="Arial Narrow" w:hAnsi="Arial Narrow" w:cs="Arial Narrow"/>
          <w:color w:val="000000"/>
          <w:sz w:val="24"/>
          <w:szCs w:val="24"/>
        </w:rPr>
        <w:t>l) treatment should be different in critically ill children who are assessed as (at risk for becoming) undernourished. Based on the evidence and expert opinion we therefore recommend an overall nutritional assessment to be systematically performed upon and</w:t>
      </w:r>
      <w:r>
        <w:rPr>
          <w:rFonts w:ascii="Arial Narrow" w:eastAsia="Arial Narrow" w:hAnsi="Arial Narrow" w:cs="Arial Narrow"/>
          <w:color w:val="000000"/>
          <w:sz w:val="24"/>
          <w:szCs w:val="24"/>
        </w:rPr>
        <w:t xml:space="preserve"> during PICU admission to allow for a risk assessment of impaired outcomes and to integrate nutritional status evolution during PICU stay as a core outcome in future trials. </w:t>
      </w:r>
    </w:p>
    <w:p w14:paraId="00000006" w14:textId="77777777" w:rsidR="009935D5" w:rsidRDefault="009935D5">
      <w:pPr>
        <w:spacing w:after="0" w:line="240" w:lineRule="auto"/>
        <w:rPr>
          <w:rFonts w:ascii="Arial Narrow" w:eastAsia="Arial Narrow" w:hAnsi="Arial Narrow" w:cs="Arial Narrow"/>
          <w:sz w:val="24"/>
          <w:szCs w:val="24"/>
        </w:rPr>
      </w:pPr>
    </w:p>
    <w:p w14:paraId="0000000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1.1: The assessment of nutritional status is recommended in criti</w:t>
      </w:r>
      <w:r>
        <w:rPr>
          <w:rFonts w:ascii="Arial Narrow" w:eastAsia="Arial Narrow" w:hAnsi="Arial Narrow" w:cs="Arial Narrow"/>
          <w:b/>
          <w:color w:val="000000"/>
          <w:sz w:val="24"/>
          <w:szCs w:val="24"/>
        </w:rPr>
        <w:t>cally ill children at admission and throughout their PICU admission (Strong consensus) SIGN recommendation Grade GCP</w:t>
      </w:r>
    </w:p>
    <w:p w14:paraId="00000008" w14:textId="77777777" w:rsidR="009935D5" w:rsidRDefault="009935D5">
      <w:pPr>
        <w:spacing w:after="0" w:line="240" w:lineRule="auto"/>
        <w:rPr>
          <w:rFonts w:ascii="Arial Narrow" w:eastAsia="Arial Narrow" w:hAnsi="Arial Narrow" w:cs="Arial Narrow"/>
          <w:sz w:val="24"/>
          <w:szCs w:val="24"/>
        </w:rPr>
      </w:pPr>
    </w:p>
    <w:p w14:paraId="0000000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It is proposed that nutritional status assessment should not solely rely on a static assessment at admission but should include a longitud</w:t>
      </w:r>
      <w:r>
        <w:rPr>
          <w:rFonts w:ascii="Arial Narrow" w:eastAsia="Arial Narrow" w:hAnsi="Arial Narrow" w:cs="Arial Narrow"/>
          <w:color w:val="000000"/>
          <w:sz w:val="24"/>
          <w:szCs w:val="24"/>
        </w:rPr>
        <w:t>inal assessment until full recovery. A holistic definition of PICU malnutrition, combining severity, chronicity, aetiology, mechanisms of nutrient imbalance, and its impact on outcomes has been published.</w:t>
      </w:r>
      <w:r>
        <w:rPr>
          <w:rFonts w:ascii="Arial Narrow" w:eastAsia="Arial Narrow" w:hAnsi="Arial Narrow" w:cs="Arial Narrow"/>
          <w:color w:val="000000"/>
          <w:sz w:val="24"/>
          <w:szCs w:val="24"/>
          <w:vertAlign w:val="superscript"/>
        </w:rPr>
        <w:t>26,27</w:t>
      </w:r>
      <w:r>
        <w:rPr>
          <w:rFonts w:ascii="Arial Narrow" w:eastAsia="Arial Narrow" w:hAnsi="Arial Narrow" w:cs="Arial Narrow"/>
          <w:color w:val="000000"/>
          <w:sz w:val="24"/>
          <w:szCs w:val="24"/>
        </w:rPr>
        <w:t xml:space="preserve"> Several techniques, such as biological markers</w:t>
      </w:r>
      <w:r>
        <w:rPr>
          <w:rFonts w:ascii="Arial Narrow" w:eastAsia="Arial Narrow" w:hAnsi="Arial Narrow" w:cs="Arial Narrow"/>
          <w:color w:val="000000"/>
          <w:sz w:val="24"/>
          <w:szCs w:val="24"/>
        </w:rPr>
        <w:t xml:space="preserve"> (e.g. albuminemia), bioelectric impedance spectroscopy analysis, CT scanning, DEXA, and MRI have been proposed in assessing nutritional status, but have not shown to be clinically useful in the PICU setting.</w:t>
      </w:r>
      <w:r>
        <w:rPr>
          <w:rFonts w:ascii="Arial Narrow" w:eastAsia="Arial Narrow" w:hAnsi="Arial Narrow" w:cs="Arial Narrow"/>
          <w:color w:val="000000"/>
          <w:sz w:val="24"/>
          <w:szCs w:val="24"/>
          <w:vertAlign w:val="superscript"/>
        </w:rPr>
        <w:t>28-30</w:t>
      </w:r>
      <w:r>
        <w:rPr>
          <w:rFonts w:ascii="Arial Narrow" w:eastAsia="Arial Narrow" w:hAnsi="Arial Narrow" w:cs="Arial Narrow"/>
          <w:color w:val="000000"/>
          <w:sz w:val="24"/>
          <w:szCs w:val="24"/>
        </w:rPr>
        <w:t xml:space="preserve"> Muscle thickness ultrasound assessment has</w:t>
      </w:r>
      <w:r>
        <w:rPr>
          <w:rFonts w:ascii="Arial Narrow" w:eastAsia="Arial Narrow" w:hAnsi="Arial Narrow" w:cs="Arial Narrow"/>
          <w:color w:val="000000"/>
          <w:sz w:val="24"/>
          <w:szCs w:val="24"/>
        </w:rPr>
        <w:t xml:space="preserve"> been found to be a reproducible surrogate of muscle mass assessment in critically ill children, but the distinction between muscle mass and fat mass loss remains challenging.</w:t>
      </w:r>
      <w:r>
        <w:rPr>
          <w:rFonts w:ascii="Arial Narrow" w:eastAsia="Arial Narrow" w:hAnsi="Arial Narrow" w:cs="Arial Narrow"/>
          <w:color w:val="000000"/>
          <w:sz w:val="24"/>
          <w:szCs w:val="24"/>
          <w:vertAlign w:val="superscript"/>
        </w:rPr>
        <w:t>24,31</w:t>
      </w:r>
      <w:r>
        <w:rPr>
          <w:rFonts w:ascii="Arial Narrow" w:eastAsia="Arial Narrow" w:hAnsi="Arial Narrow" w:cs="Arial Narrow"/>
          <w:color w:val="000000"/>
          <w:sz w:val="24"/>
          <w:szCs w:val="24"/>
        </w:rPr>
        <w:t xml:space="preserve"> No nutritional risk score is validated in critically ill children.</w:t>
      </w:r>
      <w:r>
        <w:rPr>
          <w:rFonts w:ascii="Arial Narrow" w:eastAsia="Arial Narrow" w:hAnsi="Arial Narrow" w:cs="Arial Narrow"/>
          <w:color w:val="000000"/>
          <w:sz w:val="24"/>
          <w:szCs w:val="24"/>
          <w:vertAlign w:val="superscript"/>
        </w:rPr>
        <w:t>32,33</w:t>
      </w:r>
      <w:r>
        <w:rPr>
          <w:rFonts w:ascii="Arial Narrow" w:eastAsia="Arial Narrow" w:hAnsi="Arial Narrow" w:cs="Arial Narrow"/>
          <w:color w:val="000000"/>
          <w:sz w:val="24"/>
          <w:szCs w:val="24"/>
        </w:rPr>
        <w:t xml:space="preserve"> Ant</w:t>
      </w:r>
      <w:r>
        <w:rPr>
          <w:rFonts w:ascii="Arial Narrow" w:eastAsia="Arial Narrow" w:hAnsi="Arial Narrow" w:cs="Arial Narrow"/>
          <w:color w:val="000000"/>
          <w:sz w:val="24"/>
          <w:szCs w:val="24"/>
        </w:rPr>
        <w:t>hropometric measurements can be considered in the PICU setting, while taking into account fluid overload, which impacts the accuracy of weight. Mid upper arm circumference may be a good surrogate to assess nutritional status, as it is less affected by flui</w:t>
      </w:r>
      <w:r>
        <w:rPr>
          <w:rFonts w:ascii="Arial Narrow" w:eastAsia="Arial Narrow" w:hAnsi="Arial Narrow" w:cs="Arial Narrow"/>
          <w:color w:val="000000"/>
          <w:sz w:val="24"/>
          <w:szCs w:val="24"/>
        </w:rPr>
        <w:t>d overload. Height cannot be accurately measured according to World Health Organization guidelines in the critically ill child. However, PICU healthcare training improves nutritional status assessment based on anthropometric measurements.</w:t>
      </w:r>
      <w:r>
        <w:rPr>
          <w:rFonts w:ascii="Arial Narrow" w:eastAsia="Arial Narrow" w:hAnsi="Arial Narrow" w:cs="Arial Narrow"/>
          <w:color w:val="000000"/>
          <w:sz w:val="24"/>
          <w:szCs w:val="24"/>
          <w:vertAlign w:val="superscript"/>
        </w:rPr>
        <w:t>34</w:t>
      </w:r>
      <w:r>
        <w:rPr>
          <w:rFonts w:ascii="Arial Narrow" w:eastAsia="Arial Narrow" w:hAnsi="Arial Narrow" w:cs="Arial Narrow"/>
          <w:color w:val="000000"/>
          <w:sz w:val="24"/>
          <w:szCs w:val="24"/>
        </w:rPr>
        <w:t xml:space="preserve"> Based on expert</w:t>
      </w:r>
      <w:r>
        <w:rPr>
          <w:rFonts w:ascii="Arial Narrow" w:eastAsia="Arial Narrow" w:hAnsi="Arial Narrow" w:cs="Arial Narrow"/>
          <w:color w:val="000000"/>
          <w:sz w:val="24"/>
          <w:szCs w:val="24"/>
        </w:rPr>
        <w:t xml:space="preserve"> opinion and international recommendations, we recommend that anthropometric measurements such as weight for height/length or body mass index, or mid upper arm circumference z-score should be used to assess acute malnutrition, whereas height for age can be</w:t>
      </w:r>
      <w:r>
        <w:rPr>
          <w:rFonts w:ascii="Arial Narrow" w:eastAsia="Arial Narrow" w:hAnsi="Arial Narrow" w:cs="Arial Narrow"/>
          <w:color w:val="000000"/>
          <w:sz w:val="24"/>
          <w:szCs w:val="24"/>
        </w:rPr>
        <w:t xml:space="preserve"> used to diagnose chronic malnutrition. These should all be expressed as z-scores for age and gender, according to validated references and cut off values. </w:t>
      </w:r>
    </w:p>
    <w:p w14:paraId="0000000A" w14:textId="77777777" w:rsidR="009935D5" w:rsidRDefault="009935D5">
      <w:pPr>
        <w:spacing w:after="0" w:line="240" w:lineRule="auto"/>
        <w:rPr>
          <w:rFonts w:ascii="Arial Narrow" w:eastAsia="Arial Narrow" w:hAnsi="Arial Narrow" w:cs="Arial Narrow"/>
          <w:sz w:val="24"/>
          <w:szCs w:val="24"/>
        </w:rPr>
      </w:pPr>
    </w:p>
    <w:p w14:paraId="0000000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1.2: It is recommended to perform anthropometric measurements on admission and regu</w:t>
      </w:r>
      <w:r>
        <w:rPr>
          <w:rFonts w:ascii="Arial Narrow" w:eastAsia="Arial Narrow" w:hAnsi="Arial Narrow" w:cs="Arial Narrow"/>
          <w:b/>
          <w:color w:val="000000"/>
          <w:sz w:val="24"/>
          <w:szCs w:val="24"/>
        </w:rPr>
        <w:t>larly during admission, and to express these measurements in z-scores, including weight, height/length, mid upper arm circumference and in young children head circumference (Strong consensus) SIGN recommendation Grade GCP</w:t>
      </w:r>
    </w:p>
    <w:p w14:paraId="0000000C" w14:textId="77777777" w:rsidR="009935D5" w:rsidRDefault="009935D5">
      <w:pPr>
        <w:spacing w:after="0" w:line="240" w:lineRule="auto"/>
        <w:rPr>
          <w:rFonts w:ascii="Arial Narrow" w:eastAsia="Arial Narrow" w:hAnsi="Arial Narrow" w:cs="Arial Narrow"/>
          <w:sz w:val="24"/>
          <w:szCs w:val="24"/>
        </w:rPr>
      </w:pPr>
    </w:p>
    <w:p w14:paraId="0000000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2</w:t>
      </w:r>
      <w:r>
        <w:rPr>
          <w:rFonts w:ascii="Arial Narrow" w:eastAsia="Arial Narrow" w:hAnsi="Arial Narrow" w:cs="Arial Narrow"/>
          <w:b/>
          <w:color w:val="000000"/>
          <w:sz w:val="24"/>
          <w:szCs w:val="24"/>
        </w:rPr>
        <w:t>: In critically ill chi</w:t>
      </w:r>
      <w:r>
        <w:rPr>
          <w:rFonts w:ascii="Arial Narrow" w:eastAsia="Arial Narrow" w:hAnsi="Arial Narrow" w:cs="Arial Narrow"/>
          <w:b/>
          <w:color w:val="000000"/>
          <w:sz w:val="24"/>
          <w:szCs w:val="24"/>
        </w:rPr>
        <w:t>ldren, when should enteral nutrition be commenced and how should it be increased? </w:t>
      </w:r>
    </w:p>
    <w:p w14:paraId="0000000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lastRenderedPageBreak/>
        <w:t>EN remains the preferred route for feeding the critically ill child. The definition of early EN varies between initiation of EN within 6, 24 or 48 hours of PICU admission.</w:t>
      </w:r>
      <w:r>
        <w:rPr>
          <w:rFonts w:ascii="Arial Narrow" w:eastAsia="Arial Narrow" w:hAnsi="Arial Narrow" w:cs="Arial Narrow"/>
          <w:color w:val="000000"/>
          <w:sz w:val="24"/>
          <w:szCs w:val="24"/>
          <w:vertAlign w:val="superscript"/>
        </w:rPr>
        <w:t>35</w:t>
      </w:r>
      <w:r>
        <w:rPr>
          <w:rFonts w:ascii="Arial Narrow" w:eastAsia="Arial Narrow" w:hAnsi="Arial Narrow" w:cs="Arial Narrow"/>
          <w:color w:val="000000"/>
          <w:sz w:val="24"/>
          <w:szCs w:val="24"/>
          <w:vertAlign w:val="superscript"/>
        </w:rPr>
        <w:t>-39</w:t>
      </w:r>
      <w:r>
        <w:rPr>
          <w:rFonts w:ascii="Arial Narrow" w:eastAsia="Arial Narrow" w:hAnsi="Arial Narrow" w:cs="Arial Narrow"/>
          <w:color w:val="000000"/>
          <w:sz w:val="24"/>
          <w:szCs w:val="24"/>
        </w:rPr>
        <w:t xml:space="preserve"> We identified one RCT and 20 prospective and retrospective observational studies. Overall, ability for early EN was associated with improved outcome.</w:t>
      </w:r>
      <w:r>
        <w:rPr>
          <w:rFonts w:ascii="Arial Narrow" w:eastAsia="Arial Narrow" w:hAnsi="Arial Narrow" w:cs="Arial Narrow"/>
          <w:color w:val="000000"/>
          <w:sz w:val="24"/>
          <w:szCs w:val="24"/>
          <w:vertAlign w:val="superscript"/>
        </w:rPr>
        <w:t>37-42</w:t>
      </w:r>
      <w:r>
        <w:rPr>
          <w:rFonts w:ascii="Arial Narrow" w:eastAsia="Arial Narrow" w:hAnsi="Arial Narrow" w:cs="Arial Narrow"/>
          <w:color w:val="000000"/>
          <w:sz w:val="24"/>
          <w:szCs w:val="24"/>
        </w:rPr>
        <w:t xml:space="preserve"> The small RCT in critically ill children examined early (6-24 hour) vs late EN (&gt;24 hour) on leng</w:t>
      </w:r>
      <w:r>
        <w:rPr>
          <w:rFonts w:ascii="Arial Narrow" w:eastAsia="Arial Narrow" w:hAnsi="Arial Narrow" w:cs="Arial Narrow"/>
          <w:color w:val="000000"/>
          <w:sz w:val="24"/>
          <w:szCs w:val="24"/>
        </w:rPr>
        <w:t>th of PICU stay, and found no statistically significant difference in outcomes, but a trend to improved survival in the early feeding group.</w:t>
      </w:r>
      <w:r>
        <w:rPr>
          <w:rFonts w:ascii="Arial Narrow" w:eastAsia="Arial Narrow" w:hAnsi="Arial Narrow" w:cs="Arial Narrow"/>
          <w:color w:val="000000"/>
          <w:sz w:val="24"/>
          <w:szCs w:val="24"/>
          <w:vertAlign w:val="superscript"/>
        </w:rPr>
        <w:t>43</w:t>
      </w:r>
      <w:r>
        <w:rPr>
          <w:rFonts w:ascii="Arial Narrow" w:eastAsia="Arial Narrow" w:hAnsi="Arial Narrow" w:cs="Arial Narrow"/>
          <w:color w:val="000000"/>
          <w:sz w:val="24"/>
          <w:szCs w:val="24"/>
        </w:rPr>
        <w:t xml:space="preserve"> They did demonstrate it was feasible to feed children within 24 hours of PICU admission with few adverse effects </w:t>
      </w:r>
      <w:r>
        <w:rPr>
          <w:rFonts w:ascii="Arial Narrow" w:eastAsia="Arial Narrow" w:hAnsi="Arial Narrow" w:cs="Arial Narrow"/>
          <w:color w:val="000000"/>
          <w:sz w:val="24"/>
          <w:szCs w:val="24"/>
        </w:rPr>
        <w:t>and feeding complications. A retrospective cohort study found that receiving 25% of the cumulative caloric goal of EN in the first 48 hours in PICU was associated with a reduced mortality.</w:t>
      </w:r>
      <w:r>
        <w:rPr>
          <w:rFonts w:ascii="Arial Narrow" w:eastAsia="Arial Narrow" w:hAnsi="Arial Narrow" w:cs="Arial Narrow"/>
          <w:color w:val="000000"/>
          <w:sz w:val="24"/>
          <w:szCs w:val="24"/>
          <w:vertAlign w:val="superscript"/>
        </w:rPr>
        <w:t>41</w:t>
      </w:r>
      <w:r>
        <w:rPr>
          <w:rFonts w:ascii="Arial Narrow" w:eastAsia="Arial Narrow" w:hAnsi="Arial Narrow" w:cs="Arial Narrow"/>
          <w:color w:val="000000"/>
          <w:sz w:val="24"/>
          <w:szCs w:val="24"/>
        </w:rPr>
        <w:t> </w:t>
      </w:r>
    </w:p>
    <w:p w14:paraId="0000000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Cohort studies show early enteral feeds (&lt;24 hrs) can be safely </w:t>
      </w:r>
      <w:r>
        <w:rPr>
          <w:rFonts w:ascii="Arial Narrow" w:eastAsia="Arial Narrow" w:hAnsi="Arial Narrow" w:cs="Arial Narrow"/>
          <w:color w:val="000000"/>
          <w:sz w:val="24"/>
          <w:szCs w:val="24"/>
        </w:rPr>
        <w:t>initiated within 24 hours in critically ill children, including even those with single ventricle cardiac physiology.</w:t>
      </w:r>
      <w:r>
        <w:rPr>
          <w:rFonts w:ascii="Arial Narrow" w:eastAsia="Arial Narrow" w:hAnsi="Arial Narrow" w:cs="Arial Narrow"/>
          <w:color w:val="000000"/>
          <w:sz w:val="24"/>
          <w:szCs w:val="24"/>
          <w:vertAlign w:val="superscript"/>
        </w:rPr>
        <w:t>5,35,44,45</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Early enteral feeds may improve nutritional delivery particularly when used in conjunction with locally adapted feeding protocols</w:t>
      </w:r>
      <w:r>
        <w:rPr>
          <w:rFonts w:ascii="Arial Narrow" w:eastAsia="Arial Narrow" w:hAnsi="Arial Narrow" w:cs="Arial Narrow"/>
          <w:color w:val="000000"/>
          <w:sz w:val="24"/>
          <w:szCs w:val="24"/>
        </w:rPr>
        <w:t>.</w:t>
      </w:r>
      <w:r>
        <w:rPr>
          <w:rFonts w:ascii="Arial Narrow" w:eastAsia="Arial Narrow" w:hAnsi="Arial Narrow" w:cs="Arial Narrow"/>
          <w:color w:val="000000"/>
          <w:sz w:val="24"/>
          <w:szCs w:val="24"/>
          <w:vertAlign w:val="superscript"/>
        </w:rPr>
        <w:t>44-47</w:t>
      </w:r>
      <w:r>
        <w:rPr>
          <w:rFonts w:ascii="Arial Narrow" w:eastAsia="Arial Narrow" w:hAnsi="Arial Narrow" w:cs="Arial Narrow"/>
          <w:color w:val="000000"/>
          <w:sz w:val="24"/>
          <w:szCs w:val="24"/>
        </w:rPr>
        <w:t xml:space="preserve"> However, in critically ill children, expected impairment of gut perfusion remains a main barrier to early enteral feeding.</w:t>
      </w:r>
      <w:r>
        <w:rPr>
          <w:rFonts w:ascii="Arial Narrow" w:eastAsia="Arial Narrow" w:hAnsi="Arial Narrow" w:cs="Arial Narrow"/>
          <w:color w:val="000000"/>
          <w:sz w:val="24"/>
          <w:szCs w:val="24"/>
          <w:vertAlign w:val="superscript"/>
        </w:rPr>
        <w:t>48-51</w:t>
      </w:r>
      <w:r>
        <w:rPr>
          <w:rFonts w:ascii="Arial Narrow" w:eastAsia="Arial Narrow" w:hAnsi="Arial Narrow" w:cs="Arial Narrow"/>
          <w:color w:val="000000"/>
          <w:sz w:val="24"/>
          <w:szCs w:val="24"/>
        </w:rPr>
        <w:t xml:space="preserve"> In general, in the absence of absolute contraindications (e.g. (suspected) necrotizing enterocolitis (NEC), bowel ischemi</w:t>
      </w:r>
      <w:r>
        <w:rPr>
          <w:rFonts w:ascii="Arial Narrow" w:eastAsia="Arial Narrow" w:hAnsi="Arial Narrow" w:cs="Arial Narrow"/>
          <w:color w:val="000000"/>
          <w:sz w:val="24"/>
          <w:szCs w:val="24"/>
        </w:rPr>
        <w:t>a) we recommend starting EN within 24 hours in PICU. </w:t>
      </w:r>
    </w:p>
    <w:p w14:paraId="00000010" w14:textId="77777777" w:rsidR="009935D5" w:rsidRDefault="009935D5">
      <w:pPr>
        <w:spacing w:after="0" w:line="240" w:lineRule="auto"/>
        <w:rPr>
          <w:rFonts w:ascii="Arial Narrow" w:eastAsia="Arial Narrow" w:hAnsi="Arial Narrow" w:cs="Arial Narrow"/>
          <w:sz w:val="24"/>
          <w:szCs w:val="24"/>
        </w:rPr>
      </w:pPr>
    </w:p>
    <w:p w14:paraId="0000001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2.1:    It is recommended to commence enteral nutrition within 24 hours of admission unless contraindicated (Strong consensus). SIGN recommendation grade D</w:t>
      </w:r>
    </w:p>
    <w:p w14:paraId="00000012" w14:textId="77777777" w:rsidR="009935D5" w:rsidRDefault="009935D5">
      <w:pPr>
        <w:spacing w:after="0" w:line="240" w:lineRule="auto"/>
        <w:rPr>
          <w:rFonts w:ascii="Arial Narrow" w:eastAsia="Arial Narrow" w:hAnsi="Arial Narrow" w:cs="Arial Narrow"/>
          <w:sz w:val="24"/>
          <w:szCs w:val="24"/>
        </w:rPr>
      </w:pPr>
    </w:p>
    <w:p w14:paraId="0000001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Advancing feeds in a stepwise</w:t>
      </w:r>
      <w:r>
        <w:rPr>
          <w:rFonts w:ascii="Arial Narrow" w:eastAsia="Arial Narrow" w:hAnsi="Arial Narrow" w:cs="Arial Narrow"/>
          <w:color w:val="000000"/>
          <w:sz w:val="24"/>
          <w:szCs w:val="24"/>
        </w:rPr>
        <w:t xml:space="preserve"> fashion has been shown to be an effective way to initiate and advance nutritional support until the goal rate of feed or until the goal volume is achieved.</w:t>
      </w:r>
      <w:r>
        <w:rPr>
          <w:rFonts w:ascii="Arial Narrow" w:eastAsia="Arial Narrow" w:hAnsi="Arial Narrow" w:cs="Arial Narrow"/>
          <w:color w:val="000000"/>
          <w:sz w:val="24"/>
          <w:szCs w:val="24"/>
          <w:vertAlign w:val="superscript"/>
        </w:rPr>
        <w:t>5,44,52</w:t>
      </w:r>
      <w:r>
        <w:rPr>
          <w:rFonts w:ascii="Arial Narrow" w:eastAsia="Arial Narrow" w:hAnsi="Arial Narrow" w:cs="Arial Narrow"/>
          <w:color w:val="000000"/>
          <w:sz w:val="24"/>
          <w:szCs w:val="24"/>
        </w:rPr>
        <w:t xml:space="preserve"> This is discussed further in the recommendation around feeding protocols (Question 14: Recom</w:t>
      </w:r>
      <w:r>
        <w:rPr>
          <w:rFonts w:ascii="Arial Narrow" w:eastAsia="Arial Narrow" w:hAnsi="Arial Narrow" w:cs="Arial Narrow"/>
          <w:color w:val="000000"/>
          <w:sz w:val="24"/>
          <w:szCs w:val="24"/>
        </w:rPr>
        <w:t>mendation 14.1) A consistent and formal method of advancing feeds (via a protocol) has been of most value in high risk groups of critically ill children. Based on studies and expert opinion, we recommend using a feeding protocol with a stepwise algorithm t</w:t>
      </w:r>
      <w:r>
        <w:rPr>
          <w:rFonts w:ascii="Arial Narrow" w:eastAsia="Arial Narrow" w:hAnsi="Arial Narrow" w:cs="Arial Narrow"/>
          <w:color w:val="000000"/>
          <w:sz w:val="24"/>
          <w:szCs w:val="24"/>
        </w:rPr>
        <w:t>o advance enteral intake. </w:t>
      </w:r>
    </w:p>
    <w:p w14:paraId="00000014" w14:textId="77777777" w:rsidR="009935D5" w:rsidRDefault="009935D5">
      <w:pPr>
        <w:spacing w:after="0" w:line="240" w:lineRule="auto"/>
        <w:rPr>
          <w:rFonts w:ascii="Arial Narrow" w:eastAsia="Arial Narrow" w:hAnsi="Arial Narrow" w:cs="Arial Narrow"/>
          <w:sz w:val="24"/>
          <w:szCs w:val="24"/>
        </w:rPr>
      </w:pPr>
    </w:p>
    <w:p w14:paraId="0000001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2.2:    It is recommended to increase enteral nutrition in a stepwise fashion until delivery goal is achieved using a feeding protocol or guideline (Strong consensus). SIGN recommendation grade D</w:t>
      </w:r>
    </w:p>
    <w:p w14:paraId="00000016" w14:textId="77777777" w:rsidR="009935D5" w:rsidRDefault="009935D5">
      <w:pPr>
        <w:spacing w:after="0" w:line="240" w:lineRule="auto"/>
        <w:rPr>
          <w:rFonts w:ascii="Arial Narrow" w:eastAsia="Arial Narrow" w:hAnsi="Arial Narrow" w:cs="Arial Narrow"/>
          <w:sz w:val="24"/>
          <w:szCs w:val="24"/>
        </w:rPr>
      </w:pPr>
    </w:p>
    <w:p w14:paraId="0000001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3</w:t>
      </w:r>
      <w:r>
        <w:rPr>
          <w:rFonts w:ascii="Arial Narrow" w:eastAsia="Arial Narrow" w:hAnsi="Arial Narrow" w:cs="Arial Narrow"/>
          <w:b/>
          <w:color w:val="000000"/>
          <w:sz w:val="24"/>
          <w:szCs w:val="24"/>
        </w:rPr>
        <w:t>: In critically ill childre</w:t>
      </w:r>
      <w:r>
        <w:rPr>
          <w:rFonts w:ascii="Arial Narrow" w:eastAsia="Arial Narrow" w:hAnsi="Arial Narrow" w:cs="Arial Narrow"/>
          <w:b/>
          <w:color w:val="000000"/>
          <w:sz w:val="24"/>
          <w:szCs w:val="24"/>
          <w:highlight w:val="white"/>
        </w:rPr>
        <w:t>n on he</w:t>
      </w:r>
      <w:r>
        <w:rPr>
          <w:rFonts w:ascii="Arial Narrow" w:eastAsia="Arial Narrow" w:hAnsi="Arial Narrow" w:cs="Arial Narrow"/>
          <w:b/>
          <w:color w:val="000000"/>
          <w:sz w:val="24"/>
          <w:szCs w:val="24"/>
          <w:highlight w:val="white"/>
        </w:rPr>
        <w:t>modynamic support (vaso</w:t>
      </w:r>
      <w:r>
        <w:rPr>
          <w:rFonts w:ascii="Arial Narrow" w:eastAsia="Arial Narrow" w:hAnsi="Arial Narrow" w:cs="Arial Narrow"/>
          <w:b/>
          <w:color w:val="000000"/>
          <w:sz w:val="24"/>
          <w:szCs w:val="24"/>
        </w:rPr>
        <w:t>active medications, extracorporeal life support ECLS) does enteral feeding compared to no enteral feeding affect outcomes?   </w:t>
      </w:r>
    </w:p>
    <w:p w14:paraId="0000001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Children and infants on hemodynamic support may experience non-severe gastrointestinal complications, but t</w:t>
      </w:r>
      <w:r>
        <w:rPr>
          <w:rFonts w:ascii="Arial Narrow" w:eastAsia="Arial Narrow" w:hAnsi="Arial Narrow" w:cs="Arial Narrow"/>
          <w:color w:val="000000"/>
          <w:sz w:val="24"/>
          <w:szCs w:val="24"/>
        </w:rPr>
        <w:t>his should not necessarily prevent enteral feeding.</w:t>
      </w:r>
      <w:r>
        <w:rPr>
          <w:rFonts w:ascii="Arial Narrow" w:eastAsia="Arial Narrow" w:hAnsi="Arial Narrow" w:cs="Arial Narrow"/>
          <w:color w:val="000000"/>
          <w:sz w:val="24"/>
          <w:szCs w:val="24"/>
          <w:vertAlign w:val="superscript"/>
        </w:rPr>
        <w:t>53</w:t>
      </w:r>
      <w:r>
        <w:rPr>
          <w:rFonts w:ascii="Arial Narrow" w:eastAsia="Arial Narrow" w:hAnsi="Arial Narrow" w:cs="Arial Narrow"/>
          <w:color w:val="000000"/>
          <w:sz w:val="24"/>
          <w:szCs w:val="24"/>
        </w:rPr>
        <w:t xml:space="preserve"> The splanchnic perfusion of hemodynamically unstable critically ill children is at risk, with impaired gut perfusion and impaired intestinal barrier function.</w:t>
      </w:r>
      <w:r>
        <w:rPr>
          <w:rFonts w:ascii="Arial Narrow" w:eastAsia="Arial Narrow" w:hAnsi="Arial Narrow" w:cs="Arial Narrow"/>
          <w:color w:val="000000"/>
          <w:sz w:val="24"/>
          <w:szCs w:val="24"/>
          <w:vertAlign w:val="superscript"/>
        </w:rPr>
        <w:t>54,55</w:t>
      </w:r>
      <w:r>
        <w:rPr>
          <w:rFonts w:ascii="Arial Narrow" w:eastAsia="Arial Narrow" w:hAnsi="Arial Narrow" w:cs="Arial Narrow"/>
          <w:color w:val="000000"/>
          <w:sz w:val="24"/>
          <w:szCs w:val="24"/>
        </w:rPr>
        <w:t xml:space="preserve"> EN under these circumstances may be pe</w:t>
      </w:r>
      <w:r>
        <w:rPr>
          <w:rFonts w:ascii="Arial Narrow" w:eastAsia="Arial Narrow" w:hAnsi="Arial Narrow" w:cs="Arial Narrow"/>
          <w:color w:val="000000"/>
          <w:sz w:val="24"/>
          <w:szCs w:val="24"/>
        </w:rPr>
        <w:t>rceived to be potentially harmful with the risk of intestinal ischemia and bacterial translocation, leading to increased risk of gastrointestinal complications such as bowel ischemia, perforation, NEC and sepsis due to bacterial translocation.</w:t>
      </w:r>
      <w:r>
        <w:rPr>
          <w:rFonts w:ascii="Arial Narrow" w:eastAsia="Arial Narrow" w:hAnsi="Arial Narrow" w:cs="Arial Narrow"/>
          <w:color w:val="000000"/>
          <w:sz w:val="24"/>
          <w:szCs w:val="24"/>
          <w:vertAlign w:val="superscript"/>
        </w:rPr>
        <w:t>56</w:t>
      </w:r>
      <w:r>
        <w:rPr>
          <w:rFonts w:ascii="Arial Narrow" w:eastAsia="Arial Narrow" w:hAnsi="Arial Narrow" w:cs="Arial Narrow"/>
          <w:color w:val="000000"/>
          <w:sz w:val="24"/>
          <w:szCs w:val="24"/>
        </w:rPr>
        <w:t xml:space="preserve"> However, t</w:t>
      </w:r>
      <w:r>
        <w:rPr>
          <w:rFonts w:ascii="Arial Narrow" w:eastAsia="Arial Narrow" w:hAnsi="Arial Narrow" w:cs="Arial Narrow"/>
          <w:color w:val="000000"/>
          <w:sz w:val="24"/>
          <w:szCs w:val="24"/>
        </w:rPr>
        <w:t>he risk in term neonates and children is not as high as that seen in preterm infants, who have extreme gut immaturity, so data from preterm neonates should not be extrapolated to the PICU population. Furthermore, EN may even be protective from gastrointest</w:t>
      </w:r>
      <w:r>
        <w:rPr>
          <w:rFonts w:ascii="Arial Narrow" w:eastAsia="Arial Narrow" w:hAnsi="Arial Narrow" w:cs="Arial Narrow"/>
          <w:color w:val="000000"/>
          <w:sz w:val="24"/>
          <w:szCs w:val="24"/>
        </w:rPr>
        <w:t>inal complications.</w:t>
      </w:r>
      <w:r>
        <w:rPr>
          <w:rFonts w:ascii="Arial Narrow" w:eastAsia="Arial Narrow" w:hAnsi="Arial Narrow" w:cs="Arial Narrow"/>
          <w:color w:val="000000"/>
          <w:sz w:val="24"/>
          <w:szCs w:val="24"/>
          <w:vertAlign w:val="superscript"/>
        </w:rPr>
        <w:t>57</w:t>
      </w:r>
      <w:r>
        <w:rPr>
          <w:rFonts w:ascii="Arial Narrow" w:eastAsia="Arial Narrow" w:hAnsi="Arial Narrow" w:cs="Arial Narrow"/>
          <w:color w:val="000000"/>
          <w:sz w:val="24"/>
          <w:szCs w:val="24"/>
        </w:rPr>
        <w:t xml:space="preserve"> The search identified 19 publications relevant to this question, primarily in neonates on ECLS, infants post-cardiac surgery (Norwood Procedure) and some with circu</w:t>
      </w:r>
      <w:r>
        <w:rPr>
          <w:rFonts w:ascii="Arial Narrow" w:eastAsia="Arial Narrow" w:hAnsi="Arial Narrow" w:cs="Arial Narrow"/>
          <w:color w:val="000000"/>
          <w:sz w:val="24"/>
          <w:szCs w:val="24"/>
          <w:highlight w:val="white"/>
        </w:rPr>
        <w:t>latory shock on vasoactive medications. Most are cohort and retrospect</w:t>
      </w:r>
      <w:r>
        <w:rPr>
          <w:rFonts w:ascii="Arial Narrow" w:eastAsia="Arial Narrow" w:hAnsi="Arial Narrow" w:cs="Arial Narrow"/>
          <w:color w:val="000000"/>
          <w:sz w:val="24"/>
          <w:szCs w:val="24"/>
          <w:highlight w:val="white"/>
        </w:rPr>
        <w:t>ive studies with a high risk of bias. We were able to pool the results on mortality of two observational studies in a meta-analysis</w:t>
      </w:r>
      <w:r>
        <w:rPr>
          <w:rFonts w:ascii="Arial Narrow" w:eastAsia="Arial Narrow" w:hAnsi="Arial Narrow" w:cs="Arial Narrow"/>
          <w:color w:val="000000"/>
          <w:sz w:val="24"/>
          <w:szCs w:val="24"/>
        </w:rPr>
        <w:t>, which showed that the introduction of enteral nutrition, as compared with no enteral nutrition, in children on mechanical a</w:t>
      </w:r>
      <w:r>
        <w:rPr>
          <w:rFonts w:ascii="Arial Narrow" w:eastAsia="Arial Narrow" w:hAnsi="Arial Narrow" w:cs="Arial Narrow"/>
          <w:color w:val="000000"/>
          <w:sz w:val="24"/>
          <w:szCs w:val="24"/>
        </w:rPr>
        <w:t>nd/or pharmaceutical hemodynamic support was associated with lower mortality (OR 0.37, [95%CI 0.17-0.82]) (Metanalysis 1; supplementary file 6).</w:t>
      </w:r>
      <w:r>
        <w:rPr>
          <w:rFonts w:ascii="Arial Narrow" w:eastAsia="Arial Narrow" w:hAnsi="Arial Narrow" w:cs="Arial Narrow"/>
          <w:color w:val="000000"/>
          <w:sz w:val="24"/>
          <w:szCs w:val="24"/>
          <w:vertAlign w:val="superscript"/>
        </w:rPr>
        <w:t>61,64</w:t>
      </w:r>
      <w:r>
        <w:rPr>
          <w:rFonts w:ascii="Arial Narrow" w:eastAsia="Arial Narrow" w:hAnsi="Arial Narrow" w:cs="Arial Narrow"/>
          <w:color w:val="000000"/>
          <w:sz w:val="24"/>
          <w:szCs w:val="24"/>
        </w:rPr>
        <w:t> Two specific higher-risk neonatal groups have been studied more extensively. The first is neonates on ECLS</w:t>
      </w:r>
      <w:r>
        <w:rPr>
          <w:rFonts w:ascii="Arial Narrow" w:eastAsia="Arial Narrow" w:hAnsi="Arial Narrow" w:cs="Arial Narrow"/>
          <w:color w:val="000000"/>
          <w:sz w:val="24"/>
          <w:szCs w:val="24"/>
        </w:rPr>
        <w:t>, the second, neonates before and after congenital heart surgery. Four small single centre studies examined enteral nutrition in neonates on ECLS.</w:t>
      </w:r>
      <w:r>
        <w:rPr>
          <w:rFonts w:ascii="Arial Narrow" w:eastAsia="Arial Narrow" w:hAnsi="Arial Narrow" w:cs="Arial Narrow"/>
          <w:color w:val="000000"/>
          <w:sz w:val="24"/>
          <w:szCs w:val="24"/>
          <w:vertAlign w:val="superscript"/>
        </w:rPr>
        <w:t>58-61</w:t>
      </w:r>
      <w:r>
        <w:rPr>
          <w:rFonts w:ascii="Arial Narrow" w:eastAsia="Arial Narrow" w:hAnsi="Arial Narrow" w:cs="Arial Narrow"/>
          <w:color w:val="000000"/>
          <w:sz w:val="24"/>
          <w:szCs w:val="24"/>
        </w:rPr>
        <w:t xml:space="preserve"> Findings showed that EN improved gut hormone profiles, did not modify the intestinal barrier, and did no</w:t>
      </w:r>
      <w:r>
        <w:rPr>
          <w:rFonts w:ascii="Arial Narrow" w:eastAsia="Arial Narrow" w:hAnsi="Arial Narrow" w:cs="Arial Narrow"/>
          <w:color w:val="000000"/>
          <w:sz w:val="24"/>
          <w:szCs w:val="24"/>
        </w:rPr>
        <w:t xml:space="preserve">t increase adverse outcomes such as sepsis. Two </w:t>
      </w:r>
      <w:r>
        <w:rPr>
          <w:rFonts w:ascii="Arial Narrow" w:eastAsia="Arial Narrow" w:hAnsi="Arial Narrow" w:cs="Arial Narrow"/>
          <w:color w:val="000000"/>
          <w:sz w:val="24"/>
          <w:szCs w:val="24"/>
        </w:rPr>
        <w:lastRenderedPageBreak/>
        <w:t>retrospective studies involving older children on ECLS found no increase in adverse outcomes in children receiving enteral nutrition.</w:t>
      </w:r>
      <w:r>
        <w:rPr>
          <w:rFonts w:ascii="Arial Narrow" w:eastAsia="Arial Narrow" w:hAnsi="Arial Narrow" w:cs="Arial Narrow"/>
          <w:color w:val="000000"/>
          <w:sz w:val="24"/>
          <w:szCs w:val="24"/>
          <w:vertAlign w:val="superscript"/>
        </w:rPr>
        <w:t>62,63</w:t>
      </w:r>
      <w:r>
        <w:rPr>
          <w:rFonts w:ascii="Arial Narrow" w:eastAsia="Arial Narrow" w:hAnsi="Arial Narrow" w:cs="Arial Narrow"/>
          <w:color w:val="000000"/>
          <w:sz w:val="24"/>
          <w:szCs w:val="24"/>
        </w:rPr>
        <w:t xml:space="preserve"> One study found an association towards improved survival in those cap</w:t>
      </w:r>
      <w:r>
        <w:rPr>
          <w:rFonts w:ascii="Arial Narrow" w:eastAsia="Arial Narrow" w:hAnsi="Arial Narrow" w:cs="Arial Narrow"/>
          <w:color w:val="000000"/>
          <w:sz w:val="24"/>
          <w:szCs w:val="24"/>
        </w:rPr>
        <w:t>able to receive more EN.</w:t>
      </w:r>
      <w:r>
        <w:rPr>
          <w:rFonts w:ascii="Arial Narrow" w:eastAsia="Arial Narrow" w:hAnsi="Arial Narrow" w:cs="Arial Narrow"/>
          <w:color w:val="000000"/>
          <w:sz w:val="24"/>
          <w:szCs w:val="24"/>
          <w:vertAlign w:val="superscript"/>
        </w:rPr>
        <w:t>62</w:t>
      </w:r>
      <w:r>
        <w:rPr>
          <w:rFonts w:ascii="Arial Narrow" w:eastAsia="Arial Narrow" w:hAnsi="Arial Narrow" w:cs="Arial Narrow"/>
          <w:color w:val="000000"/>
          <w:sz w:val="24"/>
          <w:szCs w:val="24"/>
        </w:rPr>
        <w:t xml:space="preserve"> Based on these studies and expert opinion, we recommend starting early EN in neonates and children who are stable on ECLS.</w:t>
      </w:r>
    </w:p>
    <w:p w14:paraId="00000019" w14:textId="77777777" w:rsidR="009935D5" w:rsidRDefault="009935D5">
      <w:pPr>
        <w:spacing w:after="0" w:line="240" w:lineRule="auto"/>
        <w:rPr>
          <w:rFonts w:ascii="Arial Narrow" w:eastAsia="Arial Narrow" w:hAnsi="Arial Narrow" w:cs="Arial Narrow"/>
          <w:sz w:val="24"/>
          <w:szCs w:val="24"/>
        </w:rPr>
      </w:pPr>
    </w:p>
    <w:p w14:paraId="0000001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3.1: Early enteral nutrition is recommended in term neonates who are stable on ECLS. (</w:t>
      </w:r>
      <w:r>
        <w:rPr>
          <w:rFonts w:ascii="Arial Narrow" w:eastAsia="Arial Narrow" w:hAnsi="Arial Narrow" w:cs="Arial Narrow"/>
          <w:b/>
          <w:sz w:val="24"/>
          <w:szCs w:val="24"/>
        </w:rPr>
        <w:t>c</w:t>
      </w:r>
      <w:r>
        <w:rPr>
          <w:rFonts w:ascii="Arial Narrow" w:eastAsia="Arial Narrow" w:hAnsi="Arial Narrow" w:cs="Arial Narrow"/>
          <w:b/>
          <w:color w:val="000000"/>
          <w:sz w:val="24"/>
          <w:szCs w:val="24"/>
        </w:rPr>
        <w:t>ons</w:t>
      </w:r>
      <w:r>
        <w:rPr>
          <w:rFonts w:ascii="Arial Narrow" w:eastAsia="Arial Narrow" w:hAnsi="Arial Narrow" w:cs="Arial Narrow"/>
          <w:b/>
          <w:color w:val="000000"/>
          <w:sz w:val="24"/>
          <w:szCs w:val="24"/>
        </w:rPr>
        <w:t>ensus) SIGN recommendation grade D</w:t>
      </w:r>
    </w:p>
    <w:p w14:paraId="0000001B" w14:textId="77777777" w:rsidR="009935D5" w:rsidRDefault="009935D5">
      <w:pPr>
        <w:spacing w:after="0" w:line="240" w:lineRule="auto"/>
        <w:rPr>
          <w:rFonts w:ascii="Arial Narrow" w:eastAsia="Arial Narrow" w:hAnsi="Arial Narrow" w:cs="Arial Narrow"/>
          <w:sz w:val="24"/>
          <w:szCs w:val="24"/>
        </w:rPr>
      </w:pPr>
    </w:p>
    <w:p w14:paraId="0000001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3.2: Early enteral nutrition is recommended in children who are stable on ECLS (strong consensus) SIGN recommendation grade D</w:t>
      </w:r>
    </w:p>
    <w:p w14:paraId="0000001D" w14:textId="77777777" w:rsidR="009935D5" w:rsidRDefault="009935D5">
      <w:pPr>
        <w:spacing w:after="0" w:line="240" w:lineRule="auto"/>
        <w:rPr>
          <w:rFonts w:ascii="Arial Narrow" w:eastAsia="Arial Narrow" w:hAnsi="Arial Narrow" w:cs="Arial Narrow"/>
          <w:sz w:val="24"/>
          <w:szCs w:val="24"/>
        </w:rPr>
      </w:pPr>
    </w:p>
    <w:p w14:paraId="0000001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Three studies evaluated the safety and tolerance of enteral feeding of children receiving vasoactive drugs (inotro</w:t>
      </w:r>
      <w:r>
        <w:rPr>
          <w:rFonts w:ascii="Arial Narrow" w:eastAsia="Arial Narrow" w:hAnsi="Arial Narrow" w:cs="Arial Narrow"/>
          <w:color w:val="000000"/>
          <w:sz w:val="24"/>
          <w:szCs w:val="24"/>
        </w:rPr>
        <w:t>pes/vasopressors).</w:t>
      </w:r>
      <w:r>
        <w:rPr>
          <w:rFonts w:ascii="Arial Narrow" w:eastAsia="Arial Narrow" w:hAnsi="Arial Narrow" w:cs="Arial Narrow"/>
          <w:color w:val="000000"/>
          <w:sz w:val="24"/>
          <w:szCs w:val="24"/>
          <w:vertAlign w:val="superscript"/>
        </w:rPr>
        <w:t>64-66</w:t>
      </w:r>
      <w:r>
        <w:rPr>
          <w:rFonts w:ascii="Arial Narrow" w:eastAsia="Arial Narrow" w:hAnsi="Arial Narrow" w:cs="Arial Narrow"/>
          <w:color w:val="000000"/>
          <w:sz w:val="24"/>
          <w:szCs w:val="24"/>
        </w:rPr>
        <w:t xml:space="preserve"> One study reported gastrointestinal (GI) side effects in 30% of the study population, resulting in interruptions to EN in 70%. A retrospective cohort study of children fed post-pyloric, also found a higher rate of GI complications i</w:t>
      </w:r>
      <w:r>
        <w:rPr>
          <w:rFonts w:ascii="Arial Narrow" w:eastAsia="Arial Narrow" w:hAnsi="Arial Narrow" w:cs="Arial Narrow"/>
          <w:color w:val="000000"/>
          <w:sz w:val="24"/>
          <w:szCs w:val="24"/>
        </w:rPr>
        <w:t>n shocked (30%) vs non-shocked (9.5%) children.</w:t>
      </w:r>
      <w:r>
        <w:rPr>
          <w:rFonts w:ascii="Arial Narrow" w:eastAsia="Arial Narrow" w:hAnsi="Arial Narrow" w:cs="Arial Narrow"/>
          <w:color w:val="000000"/>
          <w:sz w:val="24"/>
          <w:szCs w:val="24"/>
          <w:vertAlign w:val="superscript"/>
        </w:rPr>
        <w:t>66</w:t>
      </w:r>
      <w:r>
        <w:rPr>
          <w:rFonts w:ascii="Arial Narrow" w:eastAsia="Arial Narrow" w:hAnsi="Arial Narrow" w:cs="Arial Narrow"/>
          <w:color w:val="000000"/>
          <w:sz w:val="24"/>
          <w:szCs w:val="24"/>
        </w:rPr>
        <w:t xml:space="preserve"> Another cohort study however found no difference in GI complications in children receiving vasoactive medications.</w:t>
      </w:r>
      <w:r>
        <w:rPr>
          <w:rFonts w:ascii="Arial Narrow" w:eastAsia="Arial Narrow" w:hAnsi="Arial Narrow" w:cs="Arial Narrow"/>
          <w:color w:val="000000"/>
          <w:sz w:val="24"/>
          <w:szCs w:val="24"/>
          <w:vertAlign w:val="superscript"/>
        </w:rPr>
        <w:t>64</w:t>
      </w:r>
    </w:p>
    <w:p w14:paraId="0000001F" w14:textId="77777777" w:rsidR="009935D5" w:rsidRDefault="00522231">
      <w:pPr>
        <w:spacing w:after="0" w:line="240" w:lineRule="auto"/>
        <w:rPr>
          <w:rFonts w:ascii="Arial Narrow" w:eastAsia="Arial Narrow" w:hAnsi="Arial Narrow" w:cs="Arial Narrow"/>
          <w:sz w:val="24"/>
          <w:szCs w:val="24"/>
        </w:rPr>
      </w:pPr>
      <w:bookmarkStart w:id="1" w:name="_heading=h.gjdgxs" w:colFirst="0" w:colLast="0"/>
      <w:bookmarkEnd w:id="1"/>
      <w:r>
        <w:rPr>
          <w:rFonts w:ascii="Arial Narrow" w:eastAsia="Arial Narrow" w:hAnsi="Arial Narrow" w:cs="Arial Narrow"/>
          <w:color w:val="000000"/>
          <w:sz w:val="24"/>
          <w:szCs w:val="24"/>
        </w:rPr>
        <w:t>Ten studies identified were performed with infants prior to or after congenital heart surgery. Four of these studied infants after stage one surgery for hypoplastic heart syndrome (HLHS), although specific use and dosing of inotropes and/or vasopressors we</w:t>
      </w:r>
      <w:r>
        <w:rPr>
          <w:rFonts w:ascii="Arial Narrow" w:eastAsia="Arial Narrow" w:hAnsi="Arial Narrow" w:cs="Arial Narrow"/>
          <w:color w:val="000000"/>
          <w:sz w:val="24"/>
          <w:szCs w:val="24"/>
        </w:rPr>
        <w:t>re not reported in all studies.</w:t>
      </w:r>
      <w:r>
        <w:rPr>
          <w:rFonts w:ascii="Arial Narrow" w:eastAsia="Arial Narrow" w:hAnsi="Arial Narrow" w:cs="Arial Narrow"/>
          <w:color w:val="000000"/>
          <w:sz w:val="24"/>
          <w:szCs w:val="24"/>
          <w:vertAlign w:val="superscript"/>
        </w:rPr>
        <w:t>36,44,67,68</w:t>
      </w:r>
      <w:r>
        <w:rPr>
          <w:rFonts w:ascii="Arial Narrow" w:eastAsia="Arial Narrow" w:hAnsi="Arial Narrow" w:cs="Arial Narrow"/>
          <w:color w:val="000000"/>
          <w:sz w:val="24"/>
          <w:szCs w:val="24"/>
        </w:rPr>
        <w:t xml:space="preserve"> Based on expert opinion, we felt these studies did contribute to the evidence for question 3. One small RCT involving 15 infants was identified, examining early feeding after infant congenital heart surgery. This </w:t>
      </w:r>
      <w:r>
        <w:rPr>
          <w:rFonts w:ascii="Arial Narrow" w:eastAsia="Arial Narrow" w:hAnsi="Arial Narrow" w:cs="Arial Narrow"/>
          <w:color w:val="000000"/>
          <w:sz w:val="24"/>
          <w:szCs w:val="24"/>
        </w:rPr>
        <w:t>trial compared early (within 4-6h) trophic feeds with no enteral feeding for first 48 hours. They reported a shorter duration of mechanical ventilation (p=0.05) without a difference in GI complications in the fed group, concluding that it was both safe and</w:t>
      </w:r>
      <w:r>
        <w:rPr>
          <w:rFonts w:ascii="Arial Narrow" w:eastAsia="Arial Narrow" w:hAnsi="Arial Narrow" w:cs="Arial Narrow"/>
          <w:color w:val="000000"/>
          <w:sz w:val="24"/>
          <w:szCs w:val="24"/>
        </w:rPr>
        <w:t xml:space="preserve"> feasible to enterally feed these infants early with trophic feeds.</w:t>
      </w:r>
      <w:r>
        <w:rPr>
          <w:rFonts w:ascii="Arial Narrow" w:eastAsia="Arial Narrow" w:hAnsi="Arial Narrow" w:cs="Arial Narrow"/>
          <w:color w:val="000000"/>
          <w:sz w:val="24"/>
          <w:szCs w:val="24"/>
          <w:vertAlign w:val="superscript"/>
        </w:rPr>
        <w:t>69</w:t>
      </w:r>
      <w:r>
        <w:rPr>
          <w:rFonts w:ascii="Arial Narrow" w:eastAsia="Arial Narrow" w:hAnsi="Arial Narrow" w:cs="Arial Narrow"/>
          <w:color w:val="000000"/>
          <w:sz w:val="24"/>
          <w:szCs w:val="24"/>
        </w:rPr>
        <w:t xml:space="preserve"> Four studies were identified which investigated the impact of an enteral feeding protocol, predominantly with a before and after design, in infants with single ventricle physiology.</w:t>
      </w:r>
      <w:r>
        <w:rPr>
          <w:rFonts w:ascii="Arial Narrow" w:eastAsia="Arial Narrow" w:hAnsi="Arial Narrow" w:cs="Arial Narrow"/>
          <w:color w:val="000000"/>
          <w:sz w:val="24"/>
          <w:szCs w:val="24"/>
          <w:vertAlign w:val="superscript"/>
        </w:rPr>
        <w:t>36,44</w:t>
      </w:r>
      <w:r>
        <w:rPr>
          <w:rFonts w:ascii="Arial Narrow" w:eastAsia="Arial Narrow" w:hAnsi="Arial Narrow" w:cs="Arial Narrow"/>
          <w:color w:val="000000"/>
          <w:sz w:val="24"/>
          <w:szCs w:val="24"/>
          <w:vertAlign w:val="superscript"/>
        </w:rPr>
        <w:t>,67,70</w:t>
      </w:r>
      <w:r>
        <w:rPr>
          <w:rFonts w:ascii="Arial Narrow" w:eastAsia="Arial Narrow" w:hAnsi="Arial Narrow" w:cs="Arial Narrow"/>
          <w:color w:val="000000"/>
          <w:sz w:val="24"/>
          <w:szCs w:val="24"/>
        </w:rPr>
        <w:t xml:space="preserve"> The discussion regarding the role of feeding protocols can be found in Q14. In these studies identified, enteral feeding did not increase GI complications, mortality or incidence of NEC.</w:t>
      </w:r>
      <w:r>
        <w:rPr>
          <w:rFonts w:ascii="Arial Narrow" w:eastAsia="Arial Narrow" w:hAnsi="Arial Narrow" w:cs="Arial Narrow"/>
          <w:color w:val="000000"/>
          <w:sz w:val="24"/>
          <w:szCs w:val="24"/>
          <w:vertAlign w:val="superscript"/>
        </w:rPr>
        <w:t>68,70-73</w:t>
      </w:r>
      <w:r>
        <w:rPr>
          <w:rFonts w:ascii="Arial Narrow" w:eastAsia="Arial Narrow" w:hAnsi="Arial Narrow" w:cs="Arial Narrow"/>
          <w:color w:val="000000"/>
          <w:sz w:val="24"/>
          <w:szCs w:val="24"/>
        </w:rPr>
        <w:t xml:space="preserve"> All studies used a protocol to guide EN advancement. I</w:t>
      </w:r>
      <w:r>
        <w:rPr>
          <w:rFonts w:ascii="Arial Narrow" w:eastAsia="Arial Narrow" w:hAnsi="Arial Narrow" w:cs="Arial Narrow"/>
          <w:color w:val="000000"/>
          <w:sz w:val="24"/>
          <w:szCs w:val="24"/>
        </w:rPr>
        <w:t>t was suggested that providing EN in these infants may actually be protective for the development of NEC.</w:t>
      </w:r>
      <w:r>
        <w:rPr>
          <w:rFonts w:ascii="Arial Narrow" w:eastAsia="Arial Narrow" w:hAnsi="Arial Narrow" w:cs="Arial Narrow"/>
          <w:color w:val="000000"/>
          <w:sz w:val="24"/>
          <w:szCs w:val="24"/>
          <w:vertAlign w:val="superscript"/>
        </w:rPr>
        <w:t>36,67</w:t>
      </w:r>
      <w:r>
        <w:rPr>
          <w:rFonts w:ascii="Arial Narrow" w:eastAsia="Arial Narrow" w:hAnsi="Arial Narrow" w:cs="Arial Narrow"/>
          <w:color w:val="000000"/>
          <w:sz w:val="24"/>
          <w:szCs w:val="24"/>
        </w:rPr>
        <w:t xml:space="preserve"> Based on expert opinion, we recommend early EN for neonates and children who are stable on vasoactive drugs and/or after cardiac surgery. The rol</w:t>
      </w:r>
      <w:r>
        <w:rPr>
          <w:rFonts w:ascii="Arial Narrow" w:eastAsia="Arial Narrow" w:hAnsi="Arial Narrow" w:cs="Arial Narrow"/>
          <w:color w:val="000000"/>
          <w:sz w:val="24"/>
          <w:szCs w:val="24"/>
        </w:rPr>
        <w:t>e of (trophic) enteral nutrition to protect the intestinal tract (eg. stress ulcer prophylaxis) was beyond the scope of the search. No recommendation however, can currently be made on how best to monitor gastrointestinal perfusion in infants and children o</w:t>
      </w:r>
      <w:r>
        <w:rPr>
          <w:rFonts w:ascii="Arial Narrow" w:eastAsia="Arial Narrow" w:hAnsi="Arial Narrow" w:cs="Arial Narrow"/>
          <w:color w:val="000000"/>
          <w:sz w:val="24"/>
          <w:szCs w:val="24"/>
        </w:rPr>
        <w:t>n hemodynamic support. Limited new research suggests that splanchnic oximetry (gut near infrared spectrometry) may be beneficial in addition to usual clinical and biochemical parameters.</w:t>
      </w:r>
      <w:r>
        <w:rPr>
          <w:rFonts w:ascii="Arial Narrow" w:eastAsia="Arial Narrow" w:hAnsi="Arial Narrow" w:cs="Arial Narrow"/>
          <w:color w:val="000000"/>
          <w:sz w:val="24"/>
          <w:szCs w:val="24"/>
          <w:vertAlign w:val="superscript"/>
        </w:rPr>
        <w:t>74</w:t>
      </w:r>
    </w:p>
    <w:p w14:paraId="00000020" w14:textId="77777777" w:rsidR="009935D5" w:rsidRDefault="009935D5">
      <w:pPr>
        <w:spacing w:after="0" w:line="240" w:lineRule="auto"/>
        <w:rPr>
          <w:rFonts w:ascii="Arial Narrow" w:eastAsia="Arial Narrow" w:hAnsi="Arial Narrow" w:cs="Arial Narrow"/>
          <w:sz w:val="24"/>
          <w:szCs w:val="24"/>
        </w:rPr>
      </w:pPr>
    </w:p>
    <w:p w14:paraId="0000002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3.3: Early enteral nutrition is recommended in term</w:t>
      </w:r>
      <w:r>
        <w:rPr>
          <w:rFonts w:ascii="Arial Narrow" w:eastAsia="Arial Narrow" w:hAnsi="Arial Narrow" w:cs="Arial Narrow"/>
          <w:b/>
          <w:color w:val="000000"/>
          <w:sz w:val="24"/>
          <w:szCs w:val="24"/>
        </w:rPr>
        <w:t xml:space="preserve"> neonates who are stable on pharmaceutical hemodynamic support (consensus) SIGN Grade GCP </w:t>
      </w:r>
    </w:p>
    <w:p w14:paraId="00000022" w14:textId="77777777" w:rsidR="009935D5" w:rsidRDefault="009935D5">
      <w:pPr>
        <w:spacing w:after="0" w:line="240" w:lineRule="auto"/>
        <w:rPr>
          <w:rFonts w:ascii="Arial Narrow" w:eastAsia="Arial Narrow" w:hAnsi="Arial Narrow" w:cs="Arial Narrow"/>
          <w:sz w:val="24"/>
          <w:szCs w:val="24"/>
        </w:rPr>
      </w:pPr>
    </w:p>
    <w:p w14:paraId="0000002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3.4: Early enteral nutrition is recommended in children who are stable on pharmaceutical hemodynamic support (strong consensus) SIGN recommendation G</w:t>
      </w:r>
      <w:r>
        <w:rPr>
          <w:rFonts w:ascii="Arial Narrow" w:eastAsia="Arial Narrow" w:hAnsi="Arial Narrow" w:cs="Arial Narrow"/>
          <w:b/>
          <w:color w:val="000000"/>
          <w:sz w:val="24"/>
          <w:szCs w:val="24"/>
        </w:rPr>
        <w:t>rade D</w:t>
      </w:r>
    </w:p>
    <w:p w14:paraId="00000024" w14:textId="77777777" w:rsidR="009935D5" w:rsidRDefault="009935D5">
      <w:pPr>
        <w:spacing w:after="0" w:line="240" w:lineRule="auto"/>
        <w:rPr>
          <w:rFonts w:ascii="Arial Narrow" w:eastAsia="Arial Narrow" w:hAnsi="Arial Narrow" w:cs="Arial Narrow"/>
          <w:sz w:val="24"/>
          <w:szCs w:val="24"/>
        </w:rPr>
      </w:pPr>
    </w:p>
    <w:p w14:paraId="0000002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3.5: Early enteral nutrition is recommended in children after cardiac surgery (consensus) SIGN recommendation Grade C</w:t>
      </w:r>
    </w:p>
    <w:p w14:paraId="00000026" w14:textId="77777777" w:rsidR="009935D5" w:rsidRDefault="009935D5">
      <w:pPr>
        <w:spacing w:after="0" w:line="240" w:lineRule="auto"/>
        <w:rPr>
          <w:rFonts w:ascii="Arial Narrow" w:eastAsia="Arial Narrow" w:hAnsi="Arial Narrow" w:cs="Arial Narrow"/>
          <w:sz w:val="24"/>
          <w:szCs w:val="24"/>
        </w:rPr>
      </w:pPr>
    </w:p>
    <w:p w14:paraId="0000002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4</w:t>
      </w:r>
      <w:r>
        <w:rPr>
          <w:rFonts w:ascii="Arial Narrow" w:eastAsia="Arial Narrow" w:hAnsi="Arial Narrow" w:cs="Arial Narrow"/>
          <w:b/>
          <w:color w:val="000000"/>
          <w:sz w:val="24"/>
          <w:szCs w:val="24"/>
        </w:rPr>
        <w:t>: In critically ill term neonates with umbilical arterial catheters and/or PGE1 infusions,  does enteral</w:t>
      </w:r>
      <w:r>
        <w:rPr>
          <w:rFonts w:ascii="Arial Narrow" w:eastAsia="Arial Narrow" w:hAnsi="Arial Narrow" w:cs="Arial Narrow"/>
          <w:b/>
          <w:color w:val="000000"/>
          <w:sz w:val="24"/>
          <w:szCs w:val="24"/>
        </w:rPr>
        <w:t xml:space="preserve"> feeding impact on adverse events? </w:t>
      </w:r>
    </w:p>
    <w:p w14:paraId="0000002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As discussed mentioned, term neonates comprise around 32% of the PICU population, and this is higher in cardiac intensive care units.</w:t>
      </w:r>
      <w:r>
        <w:rPr>
          <w:rFonts w:ascii="Arial Narrow" w:eastAsia="Arial Narrow" w:hAnsi="Arial Narrow" w:cs="Arial Narrow"/>
          <w:color w:val="000000"/>
          <w:sz w:val="24"/>
          <w:szCs w:val="24"/>
          <w:vertAlign w:val="superscript"/>
        </w:rPr>
        <w:t>75</w:t>
      </w:r>
      <w:r>
        <w:rPr>
          <w:rFonts w:ascii="Arial Narrow" w:eastAsia="Arial Narrow" w:hAnsi="Arial Narrow" w:cs="Arial Narrow"/>
          <w:color w:val="000000"/>
          <w:sz w:val="24"/>
          <w:szCs w:val="24"/>
        </w:rPr>
        <w:t xml:space="preserve"> The use of umbilical arterial (UAC)  is related to organisational practice, yet havi</w:t>
      </w:r>
      <w:r>
        <w:rPr>
          <w:rFonts w:ascii="Arial Narrow" w:eastAsia="Arial Narrow" w:hAnsi="Arial Narrow" w:cs="Arial Narrow"/>
          <w:color w:val="000000"/>
          <w:sz w:val="24"/>
          <w:szCs w:val="24"/>
        </w:rPr>
        <w:t>ng these lines in situ impacts on clinicians’ willingness to feed enterally.</w:t>
      </w:r>
      <w:r>
        <w:rPr>
          <w:rFonts w:ascii="Arial Narrow" w:eastAsia="Arial Narrow" w:hAnsi="Arial Narrow" w:cs="Arial Narrow"/>
          <w:color w:val="000000"/>
          <w:sz w:val="24"/>
          <w:szCs w:val="24"/>
          <w:vertAlign w:val="superscript"/>
        </w:rPr>
        <w:t>76</w:t>
      </w:r>
      <w:r>
        <w:rPr>
          <w:rFonts w:ascii="Arial Narrow" w:eastAsia="Arial Narrow" w:hAnsi="Arial Narrow" w:cs="Arial Narrow"/>
          <w:color w:val="000000"/>
          <w:sz w:val="24"/>
          <w:szCs w:val="24"/>
        </w:rPr>
        <w:t xml:space="preserve"> There is no research in term infants with venous catheters, but a randomised trial and a prospective observational study in preterm infants showed that the presence of a UAC did</w:t>
      </w:r>
      <w:r>
        <w:rPr>
          <w:rFonts w:ascii="Arial Narrow" w:eastAsia="Arial Narrow" w:hAnsi="Arial Narrow" w:cs="Arial Narrow"/>
          <w:color w:val="000000"/>
          <w:sz w:val="24"/>
          <w:szCs w:val="24"/>
        </w:rPr>
        <w:t xml:space="preserve"> not negatively affect mesenteric blood flow during feeding or the risk of NEC.</w:t>
      </w:r>
      <w:r>
        <w:rPr>
          <w:rFonts w:ascii="Arial Narrow" w:eastAsia="Arial Narrow" w:hAnsi="Arial Narrow" w:cs="Arial Narrow"/>
          <w:color w:val="000000"/>
          <w:sz w:val="24"/>
          <w:szCs w:val="24"/>
          <w:vertAlign w:val="superscript"/>
        </w:rPr>
        <w:t xml:space="preserve">77,78 </w:t>
      </w:r>
      <w:r>
        <w:rPr>
          <w:rFonts w:ascii="Arial Narrow" w:eastAsia="Arial Narrow" w:hAnsi="Arial Narrow" w:cs="Arial Narrow"/>
          <w:color w:val="000000"/>
          <w:sz w:val="24"/>
          <w:szCs w:val="24"/>
        </w:rPr>
        <w:t>Therefore, as it is unlikely that enteral feeding in term neonates with a UAC would pose more risk than in a preterm infant, based on these studies and expert opinion we r</w:t>
      </w:r>
      <w:r>
        <w:rPr>
          <w:rFonts w:ascii="Arial Narrow" w:eastAsia="Arial Narrow" w:hAnsi="Arial Narrow" w:cs="Arial Narrow"/>
          <w:color w:val="000000"/>
          <w:sz w:val="24"/>
          <w:szCs w:val="24"/>
        </w:rPr>
        <w:t>ecommend considering EN in critically ill term neonates with umbili</w:t>
      </w:r>
      <w:r>
        <w:rPr>
          <w:rFonts w:ascii="Arial Narrow" w:eastAsia="Arial Narrow" w:hAnsi="Arial Narrow" w:cs="Arial Narrow"/>
          <w:color w:val="000000"/>
          <w:sz w:val="24"/>
          <w:szCs w:val="24"/>
          <w:highlight w:val="white"/>
        </w:rPr>
        <w:t>cal arterial c</w:t>
      </w:r>
      <w:r>
        <w:rPr>
          <w:rFonts w:ascii="Arial Narrow" w:eastAsia="Arial Narrow" w:hAnsi="Arial Narrow" w:cs="Arial Narrow"/>
          <w:color w:val="000000"/>
          <w:sz w:val="24"/>
          <w:szCs w:val="24"/>
        </w:rPr>
        <w:t>atheters. </w:t>
      </w:r>
    </w:p>
    <w:p w14:paraId="00000029" w14:textId="77777777" w:rsidR="009935D5" w:rsidRDefault="009935D5">
      <w:pPr>
        <w:spacing w:after="0" w:line="240" w:lineRule="auto"/>
        <w:rPr>
          <w:rFonts w:ascii="Arial Narrow" w:eastAsia="Arial Narrow" w:hAnsi="Arial Narrow" w:cs="Arial Narrow"/>
          <w:sz w:val="24"/>
          <w:szCs w:val="24"/>
        </w:rPr>
      </w:pPr>
    </w:p>
    <w:p w14:paraId="0000002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 xml:space="preserve">Recommendation 4.1: Enteral nutrition should be considered in term neonates with umbilical </w:t>
      </w:r>
      <w:r>
        <w:rPr>
          <w:rFonts w:ascii="Arial Narrow" w:eastAsia="Arial Narrow" w:hAnsi="Arial Narrow" w:cs="Arial Narrow"/>
          <w:b/>
          <w:color w:val="000000"/>
          <w:sz w:val="24"/>
          <w:szCs w:val="24"/>
          <w:highlight w:val="white"/>
        </w:rPr>
        <w:t>arterial catheters (stron</w:t>
      </w:r>
      <w:r>
        <w:rPr>
          <w:rFonts w:ascii="Arial Narrow" w:eastAsia="Arial Narrow" w:hAnsi="Arial Narrow" w:cs="Arial Narrow"/>
          <w:b/>
          <w:color w:val="000000"/>
          <w:sz w:val="24"/>
          <w:szCs w:val="24"/>
        </w:rPr>
        <w:t>g consensus) SIGN recommendation gra</w:t>
      </w:r>
      <w:r>
        <w:rPr>
          <w:rFonts w:ascii="Arial Narrow" w:eastAsia="Arial Narrow" w:hAnsi="Arial Narrow" w:cs="Arial Narrow"/>
          <w:b/>
          <w:color w:val="000000"/>
          <w:sz w:val="24"/>
          <w:szCs w:val="24"/>
          <w:highlight w:val="white"/>
        </w:rPr>
        <w:t>de GCP </w:t>
      </w:r>
    </w:p>
    <w:p w14:paraId="0000002B" w14:textId="77777777" w:rsidR="009935D5" w:rsidRDefault="009935D5">
      <w:pPr>
        <w:spacing w:after="0" w:line="240" w:lineRule="auto"/>
        <w:rPr>
          <w:rFonts w:ascii="Arial Narrow" w:eastAsia="Arial Narrow" w:hAnsi="Arial Narrow" w:cs="Arial Narrow"/>
          <w:sz w:val="24"/>
          <w:szCs w:val="24"/>
        </w:rPr>
      </w:pPr>
    </w:p>
    <w:p w14:paraId="0000002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Ha</w:t>
      </w:r>
      <w:r>
        <w:rPr>
          <w:rFonts w:ascii="Arial Narrow" w:eastAsia="Arial Narrow" w:hAnsi="Arial Narrow" w:cs="Arial Narrow"/>
          <w:color w:val="000000"/>
          <w:sz w:val="24"/>
          <w:szCs w:val="24"/>
        </w:rPr>
        <w:t>ving an open ductus arteriosus (DA), causes run off to the lower pressure pulmonary circulation, thus reducing the amount of blood perfusion of the gut and increasing the risk of intestinal ischemia.</w:t>
      </w:r>
      <w:r>
        <w:rPr>
          <w:rFonts w:ascii="Arial Narrow" w:eastAsia="Arial Narrow" w:hAnsi="Arial Narrow" w:cs="Arial Narrow"/>
          <w:color w:val="000000"/>
          <w:sz w:val="24"/>
          <w:szCs w:val="24"/>
          <w:vertAlign w:val="superscript"/>
        </w:rPr>
        <w:t>80</w:t>
      </w:r>
      <w:r>
        <w:rPr>
          <w:rFonts w:ascii="Arial Narrow" w:eastAsia="Arial Narrow" w:hAnsi="Arial Narrow" w:cs="Arial Narrow"/>
          <w:color w:val="000000"/>
          <w:sz w:val="24"/>
          <w:szCs w:val="24"/>
        </w:rPr>
        <w:t xml:space="preserve"> Prostaglandin infusion (PGE1) is used to maintain pate</w:t>
      </w:r>
      <w:r>
        <w:rPr>
          <w:rFonts w:ascii="Arial Narrow" w:eastAsia="Arial Narrow" w:hAnsi="Arial Narrow" w:cs="Arial Narrow"/>
          <w:color w:val="000000"/>
          <w:sz w:val="24"/>
          <w:szCs w:val="24"/>
        </w:rPr>
        <w:t>ncy of the DA, in neonates with critical duct-dependant congenital heart disease and is perceived to increase the risk of GI complications.</w:t>
      </w:r>
      <w:r>
        <w:rPr>
          <w:rFonts w:ascii="Arial Narrow" w:eastAsia="Arial Narrow" w:hAnsi="Arial Narrow" w:cs="Arial Narrow"/>
          <w:color w:val="000000"/>
          <w:sz w:val="24"/>
          <w:szCs w:val="24"/>
          <w:vertAlign w:val="superscript"/>
        </w:rPr>
        <w:t>81</w:t>
      </w:r>
      <w:r>
        <w:rPr>
          <w:rFonts w:ascii="Arial Narrow" w:eastAsia="Arial Narrow" w:hAnsi="Arial Narrow" w:cs="Arial Narrow"/>
          <w:color w:val="000000"/>
          <w:sz w:val="24"/>
          <w:szCs w:val="24"/>
        </w:rPr>
        <w:t xml:space="preserve"> There are no trials comparing enteral feeding to not feeding in neonates receiving therapeutic PGE1, but a number </w:t>
      </w:r>
      <w:r>
        <w:rPr>
          <w:rFonts w:ascii="Arial Narrow" w:eastAsia="Arial Narrow" w:hAnsi="Arial Narrow" w:cs="Arial Narrow"/>
          <w:color w:val="000000"/>
          <w:sz w:val="24"/>
          <w:szCs w:val="24"/>
        </w:rPr>
        <w:t>of cohort studies, including a very large study of 6710 neonates, have shown it to be feasible and safe, without increased risk of NEC.</w:t>
      </w:r>
      <w:r>
        <w:rPr>
          <w:rFonts w:ascii="Arial Narrow" w:eastAsia="Arial Narrow" w:hAnsi="Arial Narrow" w:cs="Arial Narrow"/>
          <w:color w:val="000000"/>
          <w:sz w:val="24"/>
          <w:szCs w:val="24"/>
          <w:vertAlign w:val="superscript"/>
        </w:rPr>
        <w:t>82</w:t>
      </w:r>
      <w:r>
        <w:rPr>
          <w:rFonts w:ascii="Arial Narrow" w:eastAsia="Arial Narrow" w:hAnsi="Arial Narrow" w:cs="Arial Narrow"/>
          <w:color w:val="000000"/>
          <w:sz w:val="24"/>
          <w:szCs w:val="24"/>
        </w:rPr>
        <w:t xml:space="preserve"> We recommend to consider EN in these term neonates, if they can be managed in a critical care unit with access to adeq</w:t>
      </w:r>
      <w:r>
        <w:rPr>
          <w:rFonts w:ascii="Arial Narrow" w:eastAsia="Arial Narrow" w:hAnsi="Arial Narrow" w:cs="Arial Narrow"/>
          <w:color w:val="000000"/>
          <w:sz w:val="24"/>
          <w:szCs w:val="24"/>
        </w:rPr>
        <w:t>uate observation and monitoring of systemic and gut perfusion to detect GI complications early.</w:t>
      </w:r>
    </w:p>
    <w:p w14:paraId="0000002D" w14:textId="77777777" w:rsidR="009935D5" w:rsidRDefault="009935D5">
      <w:pPr>
        <w:spacing w:after="0" w:line="240" w:lineRule="auto"/>
        <w:rPr>
          <w:rFonts w:ascii="Arial Narrow" w:eastAsia="Arial Narrow" w:hAnsi="Arial Narrow" w:cs="Arial Narrow"/>
          <w:sz w:val="24"/>
          <w:szCs w:val="24"/>
        </w:rPr>
      </w:pPr>
    </w:p>
    <w:p w14:paraId="0000002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4.2: Enteral nutrition should be considered in critically ill term neonates on PGE1 infusion if managed in a critical care unit with adequate observation and monitoring (strong consensus) SIGN recommendation grade D</w:t>
      </w:r>
    </w:p>
    <w:p w14:paraId="0000002F" w14:textId="77777777" w:rsidR="009935D5" w:rsidRDefault="009935D5">
      <w:pPr>
        <w:spacing w:after="0" w:line="240" w:lineRule="auto"/>
        <w:rPr>
          <w:rFonts w:ascii="Arial Narrow" w:eastAsia="Arial Narrow" w:hAnsi="Arial Narrow" w:cs="Arial Narrow"/>
          <w:sz w:val="24"/>
          <w:szCs w:val="24"/>
        </w:rPr>
      </w:pPr>
    </w:p>
    <w:p w14:paraId="0000003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5</w:t>
      </w:r>
      <w:r>
        <w:rPr>
          <w:rFonts w:ascii="Arial Narrow" w:eastAsia="Arial Narrow" w:hAnsi="Arial Narrow" w:cs="Arial Narrow"/>
          <w:b/>
          <w:color w:val="000000"/>
          <w:sz w:val="24"/>
          <w:szCs w:val="24"/>
        </w:rPr>
        <w:t>: In criticall</w:t>
      </w:r>
      <w:r>
        <w:rPr>
          <w:rFonts w:ascii="Arial Narrow" w:eastAsia="Arial Narrow" w:hAnsi="Arial Narrow" w:cs="Arial Narrow"/>
          <w:b/>
          <w:color w:val="000000"/>
          <w:sz w:val="24"/>
          <w:szCs w:val="24"/>
        </w:rPr>
        <w:t>y ill children what are their energy requirements?</w:t>
      </w:r>
    </w:p>
    <w:p w14:paraId="0000003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During the different phases of critical illness there is a considerable risk for an energy imbalance. Critically ill children can present with a variety of metabolic states categorized as hypometabolic (me</w:t>
      </w:r>
      <w:r>
        <w:rPr>
          <w:rFonts w:ascii="Arial Narrow" w:eastAsia="Arial Narrow" w:hAnsi="Arial Narrow" w:cs="Arial Narrow"/>
          <w:color w:val="000000"/>
          <w:sz w:val="24"/>
          <w:szCs w:val="24"/>
        </w:rPr>
        <w:t>asured resting energy expenditure [MREE], &lt;90% of predicted), normal metabolic (MREE, 90%–110% predicted), and hypermetabolic (MREE, &gt;110% predicted). Both under and over nutrition are associated with worse outcomes.</w:t>
      </w:r>
      <w:r>
        <w:rPr>
          <w:rFonts w:ascii="Arial Narrow" w:eastAsia="Arial Narrow" w:hAnsi="Arial Narrow" w:cs="Arial Narrow"/>
          <w:color w:val="000000"/>
          <w:sz w:val="24"/>
          <w:szCs w:val="24"/>
          <w:vertAlign w:val="superscript"/>
        </w:rPr>
        <w:t>83,84</w:t>
      </w:r>
      <w:r>
        <w:rPr>
          <w:rFonts w:ascii="Arial Narrow" w:eastAsia="Arial Narrow" w:hAnsi="Arial Narrow" w:cs="Arial Narrow"/>
          <w:color w:val="000000"/>
          <w:sz w:val="24"/>
          <w:szCs w:val="24"/>
        </w:rPr>
        <w:t xml:space="preserve"> Currently, studies investigating e</w:t>
      </w:r>
      <w:r>
        <w:rPr>
          <w:rFonts w:ascii="Arial Narrow" w:eastAsia="Arial Narrow" w:hAnsi="Arial Narrow" w:cs="Arial Narrow"/>
          <w:color w:val="000000"/>
          <w:sz w:val="24"/>
          <w:szCs w:val="24"/>
        </w:rPr>
        <w:t>nergy intake in critically ill children have focused primarily on the achievement of a positive nitrogen balance as outcome measure.</w:t>
      </w:r>
      <w:r>
        <w:rPr>
          <w:rFonts w:ascii="Arial Narrow" w:eastAsia="Arial Narrow" w:hAnsi="Arial Narrow" w:cs="Arial Narrow"/>
          <w:color w:val="000000"/>
          <w:sz w:val="24"/>
          <w:szCs w:val="24"/>
          <w:vertAlign w:val="superscript"/>
        </w:rPr>
        <w:t>85-88</w:t>
      </w:r>
      <w:r>
        <w:rPr>
          <w:rFonts w:ascii="Arial Narrow" w:eastAsia="Arial Narrow" w:hAnsi="Arial Narrow" w:cs="Arial Narrow"/>
          <w:color w:val="000000"/>
          <w:sz w:val="24"/>
          <w:szCs w:val="24"/>
        </w:rPr>
        <w:t xml:space="preserve"> A systematic review, which included nine studies on enteral and parenteral energy intake, and a longitudinal observati</w:t>
      </w:r>
      <w:r>
        <w:rPr>
          <w:rFonts w:ascii="Arial Narrow" w:eastAsia="Arial Narrow" w:hAnsi="Arial Narrow" w:cs="Arial Narrow"/>
          <w:color w:val="000000"/>
          <w:sz w:val="24"/>
          <w:szCs w:val="24"/>
        </w:rPr>
        <w:t>onal study with 74 ventilated critically ill children on EN found a similar amount of minimum energy intake (±57 kcal/kg/d) to equilibrate nitrogen balance.</w:t>
      </w:r>
      <w:r>
        <w:rPr>
          <w:rFonts w:ascii="Arial Narrow" w:eastAsia="Arial Narrow" w:hAnsi="Arial Narrow" w:cs="Arial Narrow"/>
          <w:color w:val="000000"/>
          <w:sz w:val="24"/>
          <w:szCs w:val="24"/>
          <w:vertAlign w:val="superscript"/>
        </w:rPr>
        <w:t>89,90</w:t>
      </w:r>
      <w:r>
        <w:rPr>
          <w:rFonts w:ascii="Arial Narrow" w:eastAsia="Arial Narrow" w:hAnsi="Arial Narrow" w:cs="Arial Narrow"/>
          <w:color w:val="000000"/>
          <w:sz w:val="24"/>
          <w:szCs w:val="24"/>
        </w:rPr>
        <w:t xml:space="preserve"> Another observational study found a slightly higher intake of 66 kcal/kg/d on day 5 to be asso</w:t>
      </w:r>
      <w:r>
        <w:rPr>
          <w:rFonts w:ascii="Arial Narrow" w:eastAsia="Arial Narrow" w:hAnsi="Arial Narrow" w:cs="Arial Narrow"/>
          <w:color w:val="000000"/>
          <w:sz w:val="24"/>
          <w:szCs w:val="24"/>
        </w:rPr>
        <w:t>ciated with a positive nitrogen balance.</w:t>
      </w:r>
      <w:r>
        <w:rPr>
          <w:rFonts w:ascii="Arial Narrow" w:eastAsia="Arial Narrow" w:hAnsi="Arial Narrow" w:cs="Arial Narrow"/>
          <w:color w:val="000000"/>
          <w:sz w:val="24"/>
          <w:szCs w:val="24"/>
          <w:vertAlign w:val="superscript"/>
        </w:rPr>
        <w:t>91</w:t>
      </w:r>
      <w:r>
        <w:rPr>
          <w:rFonts w:ascii="Arial Narrow" w:eastAsia="Arial Narrow" w:hAnsi="Arial Narrow" w:cs="Arial Narrow"/>
          <w:color w:val="000000"/>
          <w:sz w:val="24"/>
          <w:szCs w:val="24"/>
        </w:rPr>
        <w:t xml:space="preserve"> However, currently no studies have investigated whether a positive nitrogen balance impacts outcome in PICU. Observational studies do suggest a positive association between the adequacy of energy intake and improv</w:t>
      </w:r>
      <w:r>
        <w:rPr>
          <w:rFonts w:ascii="Arial Narrow" w:eastAsia="Arial Narrow" w:hAnsi="Arial Narrow" w:cs="Arial Narrow"/>
          <w:color w:val="000000"/>
          <w:sz w:val="24"/>
          <w:szCs w:val="24"/>
        </w:rPr>
        <w:t>ed outcomes in the PICU population.</w:t>
      </w:r>
      <w:r>
        <w:rPr>
          <w:rFonts w:ascii="Arial Narrow" w:eastAsia="Arial Narrow" w:hAnsi="Arial Narrow" w:cs="Arial Narrow"/>
          <w:color w:val="000000"/>
          <w:sz w:val="24"/>
          <w:szCs w:val="24"/>
          <w:vertAlign w:val="superscript"/>
        </w:rPr>
        <w:t>41,83,84</w:t>
      </w:r>
      <w:r>
        <w:rPr>
          <w:rFonts w:ascii="Arial Narrow" w:eastAsia="Arial Narrow" w:hAnsi="Arial Narrow" w:cs="Arial Narrow"/>
          <w:color w:val="000000"/>
          <w:sz w:val="24"/>
          <w:szCs w:val="24"/>
        </w:rPr>
        <w:t xml:space="preserve"> Two studies found that an intake respectively of more than 66.7% and 80% of the estimated energy goal were significantly associated with a reduced mortality in critically ill children receiving mechanical ventila</w:t>
      </w:r>
      <w:r>
        <w:rPr>
          <w:rFonts w:ascii="Arial Narrow" w:eastAsia="Arial Narrow" w:hAnsi="Arial Narrow" w:cs="Arial Narrow"/>
          <w:color w:val="000000"/>
          <w:sz w:val="24"/>
          <w:szCs w:val="24"/>
        </w:rPr>
        <w:t>tion.</w:t>
      </w:r>
      <w:r>
        <w:rPr>
          <w:rFonts w:ascii="Arial Narrow" w:eastAsia="Arial Narrow" w:hAnsi="Arial Narrow" w:cs="Arial Narrow"/>
          <w:color w:val="000000"/>
          <w:sz w:val="24"/>
          <w:szCs w:val="24"/>
          <w:vertAlign w:val="superscript"/>
        </w:rPr>
        <w:t>41,84</w:t>
      </w:r>
      <w:r>
        <w:rPr>
          <w:rFonts w:ascii="Arial Narrow" w:eastAsia="Arial Narrow" w:hAnsi="Arial Narrow" w:cs="Arial Narrow"/>
          <w:color w:val="000000"/>
          <w:sz w:val="24"/>
          <w:szCs w:val="24"/>
        </w:rPr>
        <w:t xml:space="preserve"> A multicentre observational study in critically ill children showed an association between a higher enteral achievement of caloric goals (&gt;66.7%) and a reduced 60-day mortality.</w:t>
      </w:r>
      <w:r>
        <w:rPr>
          <w:rFonts w:ascii="Arial Narrow" w:eastAsia="Arial Narrow" w:hAnsi="Arial Narrow" w:cs="Arial Narrow"/>
          <w:color w:val="000000"/>
          <w:sz w:val="24"/>
          <w:szCs w:val="24"/>
          <w:vertAlign w:val="superscript"/>
        </w:rPr>
        <w:t>84</w:t>
      </w:r>
      <w:r>
        <w:rPr>
          <w:rFonts w:ascii="Arial Narrow" w:eastAsia="Arial Narrow" w:hAnsi="Arial Narrow" w:cs="Arial Narrow"/>
          <w:color w:val="000000"/>
          <w:sz w:val="24"/>
          <w:szCs w:val="24"/>
        </w:rPr>
        <w:t xml:space="preserve"> These studies did not take the phase of illness into account. In </w:t>
      </w:r>
      <w:r>
        <w:rPr>
          <w:rFonts w:ascii="Arial Narrow" w:eastAsia="Arial Narrow" w:hAnsi="Arial Narrow" w:cs="Arial Narrow"/>
          <w:color w:val="000000"/>
          <w:sz w:val="24"/>
          <w:szCs w:val="24"/>
        </w:rPr>
        <w:t>the acute phase, energy production pathways are altered and alternative substrates are used, with endogenous energy production providing a substantial part of requirements. In this period, therefore, the risk of caloric overfeeding is increased, which is i</w:t>
      </w:r>
      <w:r>
        <w:rPr>
          <w:rFonts w:ascii="Arial Narrow" w:eastAsia="Arial Narrow" w:hAnsi="Arial Narrow" w:cs="Arial Narrow"/>
          <w:color w:val="000000"/>
          <w:sz w:val="24"/>
          <w:szCs w:val="24"/>
        </w:rPr>
        <w:t>ncreasingly being recognized to impair clinical outcome. A retrospective cohort reported a prolonged PICU and hospital length of stay in children who received more calories than their measured REE (&gt;110% of MREE) as compared with children who received a ca</w:t>
      </w:r>
      <w:r>
        <w:rPr>
          <w:rFonts w:ascii="Arial Narrow" w:eastAsia="Arial Narrow" w:hAnsi="Arial Narrow" w:cs="Arial Narrow"/>
          <w:color w:val="000000"/>
          <w:sz w:val="24"/>
          <w:szCs w:val="24"/>
        </w:rPr>
        <w:t>loric intake 90-110% of MREE.</w:t>
      </w:r>
      <w:r>
        <w:rPr>
          <w:rFonts w:ascii="Arial Narrow" w:eastAsia="Arial Narrow" w:hAnsi="Arial Narrow" w:cs="Arial Narrow"/>
          <w:color w:val="000000"/>
          <w:sz w:val="24"/>
          <w:szCs w:val="24"/>
          <w:vertAlign w:val="superscript"/>
        </w:rPr>
        <w:t>83</w:t>
      </w:r>
      <w:r>
        <w:rPr>
          <w:rFonts w:ascii="Arial Narrow" w:eastAsia="Arial Narrow" w:hAnsi="Arial Narrow" w:cs="Arial Narrow"/>
          <w:color w:val="000000"/>
          <w:sz w:val="24"/>
          <w:szCs w:val="24"/>
        </w:rPr>
        <w:t xml:space="preserve"> In a large international, multicentre PEPaNIC (Paediatric Early versus Late Parenteral Nutrition in Critically Illness) RCT withholding parenteral nutrition (PN) until day eight, as compared with starting PN early (&lt;24 hrs) </w:t>
      </w:r>
      <w:r>
        <w:rPr>
          <w:rFonts w:ascii="Arial Narrow" w:eastAsia="Arial Narrow" w:hAnsi="Arial Narrow" w:cs="Arial Narrow"/>
          <w:color w:val="000000"/>
          <w:sz w:val="24"/>
          <w:szCs w:val="24"/>
        </w:rPr>
        <w:t>when EN was insufficient, and thus accepting significantly lower caloric intakes during the first week, decreased nosocomial infections and accelerated recovery.</w:t>
      </w:r>
      <w:r>
        <w:rPr>
          <w:rFonts w:ascii="Arial Narrow" w:eastAsia="Arial Narrow" w:hAnsi="Arial Narrow" w:cs="Arial Narrow"/>
          <w:color w:val="000000"/>
          <w:sz w:val="24"/>
          <w:szCs w:val="24"/>
          <w:vertAlign w:val="superscript"/>
        </w:rPr>
        <w:t>92</w:t>
      </w:r>
      <w:r>
        <w:rPr>
          <w:rFonts w:ascii="Arial Narrow" w:eastAsia="Arial Narrow" w:hAnsi="Arial Narrow" w:cs="Arial Narrow"/>
          <w:color w:val="000000"/>
          <w:sz w:val="24"/>
          <w:szCs w:val="24"/>
        </w:rPr>
        <w:t xml:space="preserve"> Current evidence does not support achievement of 100% or more of energy goals during the acu</w:t>
      </w:r>
      <w:r>
        <w:rPr>
          <w:rFonts w:ascii="Arial Narrow" w:eastAsia="Arial Narrow" w:hAnsi="Arial Narrow" w:cs="Arial Narrow"/>
          <w:color w:val="000000"/>
          <w:sz w:val="24"/>
          <w:szCs w:val="24"/>
        </w:rPr>
        <w:t>te phase of critical illness. Based on strong consensus of expert opinion, we recommend once the child is past the acute phase of critical illness, clinicians should take into account the energy debt accumulated during the first phase, the energy needed fo</w:t>
      </w:r>
      <w:r>
        <w:rPr>
          <w:rFonts w:ascii="Arial Narrow" w:eastAsia="Arial Narrow" w:hAnsi="Arial Narrow" w:cs="Arial Narrow"/>
          <w:color w:val="000000"/>
          <w:sz w:val="24"/>
          <w:szCs w:val="24"/>
        </w:rPr>
        <w:t>r physical activity, rehabilitation and growth and energy requirements increase.</w:t>
      </w:r>
      <w:r>
        <w:rPr>
          <w:rFonts w:ascii="Arial Narrow" w:eastAsia="Arial Narrow" w:hAnsi="Arial Narrow" w:cs="Arial Narrow"/>
          <w:color w:val="000000"/>
          <w:sz w:val="24"/>
          <w:szCs w:val="24"/>
          <w:vertAlign w:val="superscript"/>
        </w:rPr>
        <w:t>93</w:t>
      </w:r>
    </w:p>
    <w:p w14:paraId="00000032" w14:textId="77777777" w:rsidR="009935D5" w:rsidRDefault="009935D5">
      <w:pPr>
        <w:spacing w:after="0" w:line="240" w:lineRule="auto"/>
        <w:rPr>
          <w:rFonts w:ascii="Arial Narrow" w:eastAsia="Arial Narrow" w:hAnsi="Arial Narrow" w:cs="Arial Narrow"/>
          <w:sz w:val="24"/>
          <w:szCs w:val="24"/>
        </w:rPr>
      </w:pPr>
    </w:p>
    <w:p w14:paraId="0000003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5.1. In the acute phase, energy intake provided to critically ill children should not exceed resting energy expenditure (strong consensus) SIGN recommendation Grade C</w:t>
      </w:r>
    </w:p>
    <w:p w14:paraId="00000034" w14:textId="77777777" w:rsidR="009935D5" w:rsidRDefault="009935D5">
      <w:pPr>
        <w:spacing w:after="0" w:line="240" w:lineRule="auto"/>
        <w:rPr>
          <w:rFonts w:ascii="Arial Narrow" w:eastAsia="Arial Narrow" w:hAnsi="Arial Narrow" w:cs="Arial Narrow"/>
          <w:sz w:val="24"/>
          <w:szCs w:val="24"/>
        </w:rPr>
      </w:pPr>
    </w:p>
    <w:p w14:paraId="0000003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5.2.</w:t>
      </w:r>
      <w:r>
        <w:rPr>
          <w:rFonts w:ascii="Arial Narrow" w:eastAsia="Arial Narrow" w:hAnsi="Arial Narrow" w:cs="Arial Narrow"/>
          <w:b/>
          <w:color w:val="000000"/>
          <w:sz w:val="24"/>
          <w:szCs w:val="24"/>
        </w:rPr>
        <w:t xml:space="preserve"> After the acute phase, energy intake provided to critically ill children should account for energy debt, physical activity, rehabilitation and growth (strong consensus) SIGN recommendation Grade GCP</w:t>
      </w:r>
    </w:p>
    <w:p w14:paraId="00000036" w14:textId="77777777" w:rsidR="009935D5" w:rsidRDefault="009935D5">
      <w:pPr>
        <w:spacing w:after="240" w:line="240" w:lineRule="auto"/>
        <w:rPr>
          <w:rFonts w:ascii="Arial Narrow" w:eastAsia="Arial Narrow" w:hAnsi="Arial Narrow" w:cs="Arial Narrow"/>
          <w:sz w:val="24"/>
          <w:szCs w:val="24"/>
        </w:rPr>
      </w:pPr>
    </w:p>
    <w:p w14:paraId="0000003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6</w:t>
      </w:r>
      <w:r>
        <w:rPr>
          <w:rFonts w:ascii="Arial Narrow" w:eastAsia="Arial Narrow" w:hAnsi="Arial Narrow" w:cs="Arial Narrow"/>
          <w:b/>
          <w:color w:val="000000"/>
          <w:sz w:val="24"/>
          <w:szCs w:val="24"/>
        </w:rPr>
        <w:t>: In</w:t>
      </w:r>
      <w:r>
        <w:rPr>
          <w:rFonts w:ascii="Arial Narrow" w:eastAsia="Arial Narrow" w:hAnsi="Arial Narrow" w:cs="Arial Narrow"/>
          <w:b/>
          <w:color w:val="000000"/>
          <w:sz w:val="24"/>
          <w:szCs w:val="24"/>
          <w:highlight w:val="white"/>
        </w:rPr>
        <w:t xml:space="preserve"> critic</w:t>
      </w:r>
      <w:r>
        <w:rPr>
          <w:rFonts w:ascii="Arial Narrow" w:eastAsia="Arial Narrow" w:hAnsi="Arial Narrow" w:cs="Arial Narrow"/>
          <w:b/>
          <w:color w:val="000000"/>
          <w:sz w:val="24"/>
          <w:szCs w:val="24"/>
        </w:rPr>
        <w:t>ally ill children, what is the mos</w:t>
      </w:r>
      <w:r>
        <w:rPr>
          <w:rFonts w:ascii="Arial Narrow" w:eastAsia="Arial Narrow" w:hAnsi="Arial Narrow" w:cs="Arial Narrow"/>
          <w:b/>
          <w:color w:val="000000"/>
          <w:sz w:val="24"/>
          <w:szCs w:val="24"/>
        </w:rPr>
        <w:t>t accurate method of determining or predicting energy expenditure?</w:t>
      </w:r>
    </w:p>
    <w:p w14:paraId="0000003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highlight w:val="white"/>
        </w:rPr>
        <w:t>In criti</w:t>
      </w:r>
      <w:r>
        <w:rPr>
          <w:rFonts w:ascii="Arial Narrow" w:eastAsia="Arial Narrow" w:hAnsi="Arial Narrow" w:cs="Arial Narrow"/>
          <w:color w:val="000000"/>
          <w:sz w:val="24"/>
          <w:szCs w:val="24"/>
        </w:rPr>
        <w:t>cally ill children, determining their accurate energy expenditure is important in order to be able to prescribe an optimal energy intake in the different phases of illness. Estimating energy expenditure by equations still lack accuracy.</w:t>
      </w:r>
      <w:r>
        <w:rPr>
          <w:rFonts w:ascii="Arial Narrow" w:eastAsia="Arial Narrow" w:hAnsi="Arial Narrow" w:cs="Arial Narrow"/>
          <w:color w:val="000000"/>
          <w:sz w:val="24"/>
          <w:szCs w:val="24"/>
          <w:vertAlign w:val="superscript"/>
        </w:rPr>
        <w:t>85,94-105</w:t>
      </w:r>
      <w:r>
        <w:rPr>
          <w:rFonts w:ascii="Arial Narrow" w:eastAsia="Arial Narrow" w:hAnsi="Arial Narrow" w:cs="Arial Narrow"/>
          <w:color w:val="000000"/>
          <w:sz w:val="24"/>
          <w:szCs w:val="24"/>
        </w:rPr>
        <w:t xml:space="preserve"> MREE by in</w:t>
      </w:r>
      <w:r>
        <w:rPr>
          <w:rFonts w:ascii="Arial Narrow" w:eastAsia="Arial Narrow" w:hAnsi="Arial Narrow" w:cs="Arial Narrow"/>
          <w:color w:val="000000"/>
          <w:sz w:val="24"/>
          <w:szCs w:val="24"/>
        </w:rPr>
        <w:t>direct calorimetry (IC) remains the most accurate method. However, it is time-consuming, only available in a minority of PICUs and feasible in a limited number of critically ill patients.</w:t>
      </w:r>
      <w:r>
        <w:rPr>
          <w:rFonts w:ascii="Arial Narrow" w:eastAsia="Arial Narrow" w:hAnsi="Arial Narrow" w:cs="Arial Narrow"/>
          <w:color w:val="000000"/>
          <w:sz w:val="24"/>
          <w:szCs w:val="24"/>
          <w:vertAlign w:val="superscript"/>
        </w:rPr>
        <w:t>106,107</w:t>
      </w:r>
      <w:r>
        <w:rPr>
          <w:rFonts w:ascii="Arial Narrow" w:eastAsia="Arial Narrow" w:hAnsi="Arial Narrow" w:cs="Arial Narrow"/>
          <w:color w:val="000000"/>
          <w:sz w:val="24"/>
          <w:szCs w:val="24"/>
        </w:rPr>
        <w:t xml:space="preserve"> Despite these practical constraints and the instability of re</w:t>
      </w:r>
      <w:r>
        <w:rPr>
          <w:rFonts w:ascii="Arial Narrow" w:eastAsia="Arial Narrow" w:hAnsi="Arial Narrow" w:cs="Arial Narrow"/>
          <w:color w:val="000000"/>
          <w:sz w:val="24"/>
          <w:szCs w:val="24"/>
        </w:rPr>
        <w:t>sting energy expenditure (REE) in mechanically ventilated patients, it seems reasonable to consider IC measurements beyond the acute phase of illness. </w:t>
      </w:r>
    </w:p>
    <w:p w14:paraId="00000039" w14:textId="77777777" w:rsidR="009935D5" w:rsidRDefault="009935D5">
      <w:pPr>
        <w:spacing w:after="0" w:line="240" w:lineRule="auto"/>
        <w:rPr>
          <w:rFonts w:ascii="Arial Narrow" w:eastAsia="Arial Narrow" w:hAnsi="Arial Narrow" w:cs="Arial Narrow"/>
          <w:sz w:val="24"/>
          <w:szCs w:val="24"/>
        </w:rPr>
      </w:pPr>
    </w:p>
    <w:p w14:paraId="0000003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6.1 Measuring resting energy expenditure using a validated indirect calorimeter should be considered to</w:t>
      </w:r>
      <w:r>
        <w:rPr>
          <w:rFonts w:ascii="Arial Narrow" w:eastAsia="Arial Narrow" w:hAnsi="Arial Narrow" w:cs="Arial Narrow"/>
          <w:b/>
          <w:color w:val="000000"/>
          <w:sz w:val="24"/>
          <w:szCs w:val="24"/>
        </w:rPr>
        <w:t xml:space="preserve"> guide nutritional support in critically ill infants and children after the acute phase (strong consensus) SIGN Grade GCP</w:t>
      </w:r>
    </w:p>
    <w:p w14:paraId="0000003B" w14:textId="77777777" w:rsidR="009935D5" w:rsidRDefault="009935D5">
      <w:pPr>
        <w:spacing w:after="0" w:line="240" w:lineRule="auto"/>
        <w:rPr>
          <w:rFonts w:ascii="Arial Narrow" w:eastAsia="Arial Narrow" w:hAnsi="Arial Narrow" w:cs="Arial Narrow"/>
          <w:sz w:val="24"/>
          <w:szCs w:val="24"/>
        </w:rPr>
      </w:pPr>
    </w:p>
    <w:p w14:paraId="0000003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In the absence of IC measurement, clinicians frequently estimate REE by using predictive equations. Numerous equations are published </w:t>
      </w:r>
      <w:r>
        <w:rPr>
          <w:rFonts w:ascii="Arial Narrow" w:eastAsia="Arial Narrow" w:hAnsi="Arial Narrow" w:cs="Arial Narrow"/>
          <w:color w:val="000000"/>
          <w:sz w:val="24"/>
          <w:szCs w:val="24"/>
        </w:rPr>
        <w:t>for critically ill children but, as mentioned above, still lack accuracy.</w:t>
      </w:r>
      <w:r>
        <w:rPr>
          <w:rFonts w:ascii="Arial Narrow" w:eastAsia="Arial Narrow" w:hAnsi="Arial Narrow" w:cs="Arial Narrow"/>
          <w:color w:val="000000"/>
          <w:sz w:val="24"/>
          <w:szCs w:val="24"/>
          <w:vertAlign w:val="superscript"/>
        </w:rPr>
        <w:t>94,108,109</w:t>
      </w:r>
      <w:r>
        <w:rPr>
          <w:rFonts w:ascii="Arial Narrow" w:eastAsia="Arial Narrow" w:hAnsi="Arial Narrow" w:cs="Arial Narrow"/>
          <w:color w:val="000000"/>
          <w:sz w:val="24"/>
          <w:szCs w:val="24"/>
        </w:rPr>
        <w:t xml:space="preserve"> Multicentre surveys demonstrate that the equations most commonly used in PICUs are the equations of Schofield using weight</w:t>
      </w:r>
      <w:r>
        <w:rPr>
          <w:rFonts w:ascii="Arial Narrow" w:eastAsia="Arial Narrow" w:hAnsi="Arial Narrow" w:cs="Arial Narrow"/>
          <w:color w:val="000000"/>
          <w:sz w:val="24"/>
          <w:szCs w:val="24"/>
          <w:vertAlign w:val="superscript"/>
        </w:rPr>
        <w:t>110</w:t>
      </w:r>
      <w:r>
        <w:rPr>
          <w:rFonts w:ascii="Arial Narrow" w:eastAsia="Arial Narrow" w:hAnsi="Arial Narrow" w:cs="Arial Narrow"/>
          <w:color w:val="000000"/>
          <w:sz w:val="24"/>
          <w:szCs w:val="24"/>
        </w:rPr>
        <w:t xml:space="preserve"> and the equation of the World Health Organisation developed</w:t>
      </w:r>
      <w:r>
        <w:rPr>
          <w:rFonts w:ascii="Arial Narrow" w:eastAsia="Arial Narrow" w:hAnsi="Arial Narrow" w:cs="Arial Narrow"/>
          <w:color w:val="000000"/>
          <w:sz w:val="24"/>
          <w:szCs w:val="24"/>
          <w:vertAlign w:val="superscript"/>
        </w:rPr>
        <w:t>111</w:t>
      </w:r>
      <w:r>
        <w:rPr>
          <w:rFonts w:ascii="Arial Narrow" w:eastAsia="Arial Narrow" w:hAnsi="Arial Narrow" w:cs="Arial Narrow"/>
          <w:color w:val="000000"/>
          <w:sz w:val="24"/>
          <w:szCs w:val="24"/>
        </w:rPr>
        <w:t xml:space="preserve"> for healthy children.</w:t>
      </w:r>
      <w:r>
        <w:rPr>
          <w:rFonts w:ascii="Arial Narrow" w:eastAsia="Arial Narrow" w:hAnsi="Arial Narrow" w:cs="Arial Narrow"/>
          <w:color w:val="000000"/>
          <w:sz w:val="24"/>
          <w:szCs w:val="24"/>
          <w:vertAlign w:val="superscript"/>
        </w:rPr>
        <w:t>112,113</w:t>
      </w:r>
      <w:r>
        <w:rPr>
          <w:rFonts w:ascii="Arial Narrow" w:eastAsia="Arial Narrow" w:hAnsi="Arial Narrow" w:cs="Arial Narrow"/>
          <w:color w:val="000000"/>
          <w:sz w:val="24"/>
          <w:szCs w:val="24"/>
        </w:rPr>
        <w:t xml:space="preserve"> A recent systematic review analysed 2</w:t>
      </w:r>
      <w:r>
        <w:rPr>
          <w:rFonts w:ascii="Arial Narrow" w:eastAsia="Arial Narrow" w:hAnsi="Arial Narrow" w:cs="Arial Narrow"/>
          <w:color w:val="000000"/>
          <w:sz w:val="24"/>
          <w:szCs w:val="24"/>
        </w:rPr>
        <w:t>2 observational studies that compared REE estimated by predictive equations with MREE by IC in critically ill children on mechanical ventilation.</w:t>
      </w:r>
      <w:r>
        <w:rPr>
          <w:rFonts w:ascii="Arial Narrow" w:eastAsia="Arial Narrow" w:hAnsi="Arial Narrow" w:cs="Arial Narrow"/>
          <w:color w:val="000000"/>
          <w:sz w:val="24"/>
          <w:szCs w:val="24"/>
          <w:vertAlign w:val="superscript"/>
        </w:rPr>
        <w:t>114</w:t>
      </w:r>
      <w:r>
        <w:rPr>
          <w:rFonts w:ascii="Arial Narrow" w:eastAsia="Arial Narrow" w:hAnsi="Arial Narrow" w:cs="Arial Narrow"/>
          <w:color w:val="000000"/>
          <w:sz w:val="24"/>
          <w:szCs w:val="24"/>
        </w:rPr>
        <w:t xml:space="preserve"> The majority of equations underestimated and/or overestimated MREE. The equations of Schofield and the tabl</w:t>
      </w:r>
      <w:r>
        <w:rPr>
          <w:rFonts w:ascii="Arial Narrow" w:eastAsia="Arial Narrow" w:hAnsi="Arial Narrow" w:cs="Arial Narrow"/>
          <w:color w:val="000000"/>
          <w:sz w:val="24"/>
          <w:szCs w:val="24"/>
        </w:rPr>
        <w:t>es of Talbot were the least inaccurate although they predicted REE within ±15% of MREE in only approximately 50% of cases. Based on these data we currently recommend using the Schofield equation using weight. A simplified equation which uses the measured v</w:t>
      </w:r>
      <w:r>
        <w:rPr>
          <w:rFonts w:ascii="Arial Narrow" w:eastAsia="Arial Narrow" w:hAnsi="Arial Narrow" w:cs="Arial Narrow"/>
          <w:color w:val="000000"/>
          <w:sz w:val="24"/>
          <w:szCs w:val="24"/>
        </w:rPr>
        <w:t>olumetric carbon dioxide production was developed in critically ill children on mechanical ventilation.</w:t>
      </w:r>
      <w:r>
        <w:rPr>
          <w:rFonts w:ascii="Arial Narrow" w:eastAsia="Arial Narrow" w:hAnsi="Arial Narrow" w:cs="Arial Narrow"/>
          <w:color w:val="000000"/>
          <w:sz w:val="24"/>
          <w:szCs w:val="24"/>
          <w:vertAlign w:val="superscript"/>
        </w:rPr>
        <w:t>109</w:t>
      </w:r>
      <w:r>
        <w:rPr>
          <w:rFonts w:ascii="Arial Narrow" w:eastAsia="Arial Narrow" w:hAnsi="Arial Narrow" w:cs="Arial Narrow"/>
          <w:color w:val="000000"/>
          <w:sz w:val="24"/>
          <w:szCs w:val="24"/>
        </w:rPr>
        <w:t xml:space="preserve"> Currently, this method has been found to be accurate only in children weighing more than 15kg but might be able to replace prediction equations.</w:t>
      </w:r>
      <w:r>
        <w:rPr>
          <w:rFonts w:ascii="Arial Narrow" w:eastAsia="Arial Narrow" w:hAnsi="Arial Narrow" w:cs="Arial Narrow"/>
          <w:color w:val="000000"/>
          <w:sz w:val="24"/>
          <w:szCs w:val="24"/>
          <w:vertAlign w:val="superscript"/>
        </w:rPr>
        <w:t>115-1</w:t>
      </w:r>
      <w:r>
        <w:rPr>
          <w:rFonts w:ascii="Arial Narrow" w:eastAsia="Arial Narrow" w:hAnsi="Arial Narrow" w:cs="Arial Narrow"/>
          <w:color w:val="000000"/>
          <w:sz w:val="24"/>
          <w:szCs w:val="24"/>
          <w:vertAlign w:val="superscript"/>
        </w:rPr>
        <w:t>17</w:t>
      </w:r>
    </w:p>
    <w:p w14:paraId="0000003D" w14:textId="77777777" w:rsidR="009935D5" w:rsidRDefault="009935D5">
      <w:pPr>
        <w:spacing w:after="0" w:line="240" w:lineRule="auto"/>
        <w:rPr>
          <w:rFonts w:ascii="Arial Narrow" w:eastAsia="Arial Narrow" w:hAnsi="Arial Narrow" w:cs="Arial Narrow"/>
          <w:sz w:val="24"/>
          <w:szCs w:val="24"/>
        </w:rPr>
      </w:pPr>
    </w:p>
    <w:p w14:paraId="0000003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6.2 The Schofield equation (for age and gender and using an accurate weight) is recommended to estimate resting energy expenditure (strong consensus) SIGN recommendation Grade C</w:t>
      </w:r>
    </w:p>
    <w:p w14:paraId="0000003F" w14:textId="77777777" w:rsidR="009935D5" w:rsidRDefault="009935D5">
      <w:pPr>
        <w:spacing w:after="240" w:line="240" w:lineRule="auto"/>
        <w:rPr>
          <w:rFonts w:ascii="Arial Narrow" w:eastAsia="Arial Narrow" w:hAnsi="Arial Narrow" w:cs="Arial Narrow"/>
          <w:sz w:val="24"/>
          <w:szCs w:val="24"/>
        </w:rPr>
      </w:pPr>
    </w:p>
    <w:p w14:paraId="0000004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7</w:t>
      </w:r>
      <w:r>
        <w:rPr>
          <w:rFonts w:ascii="Arial Narrow" w:eastAsia="Arial Narrow" w:hAnsi="Arial Narrow" w:cs="Arial Narrow"/>
          <w:b/>
          <w:color w:val="000000"/>
          <w:sz w:val="24"/>
          <w:szCs w:val="24"/>
        </w:rPr>
        <w:t>: In critically ill children, what are the macronutrient requir</w:t>
      </w:r>
      <w:r>
        <w:rPr>
          <w:rFonts w:ascii="Arial Narrow" w:eastAsia="Arial Narrow" w:hAnsi="Arial Narrow" w:cs="Arial Narrow"/>
          <w:b/>
          <w:color w:val="000000"/>
          <w:sz w:val="24"/>
          <w:szCs w:val="24"/>
        </w:rPr>
        <w:t>ements?</w:t>
      </w:r>
    </w:p>
    <w:p w14:paraId="0000004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The macronutrients (carbohydrates, lipids, proteins/amino acids) are the building blocks of cells and organs and have specific functions during health and disease. However, they also contribute to the energy intake and thus cannot be described with</w:t>
      </w:r>
      <w:r>
        <w:rPr>
          <w:rFonts w:ascii="Arial Narrow" w:eastAsia="Arial Narrow" w:hAnsi="Arial Narrow" w:cs="Arial Narrow"/>
          <w:color w:val="000000"/>
          <w:sz w:val="24"/>
          <w:szCs w:val="24"/>
        </w:rPr>
        <w:t>out taking into account the role of energy during critical illness which was described in Q6. It is now accepted that during critical illness, the caloric and macronutrient requirements evolve with the patients’ phase of illness. The effect on clinical out</w:t>
      </w:r>
      <w:r>
        <w:rPr>
          <w:rFonts w:ascii="Arial Narrow" w:eastAsia="Arial Narrow" w:hAnsi="Arial Narrow" w:cs="Arial Narrow"/>
          <w:color w:val="000000"/>
          <w:sz w:val="24"/>
          <w:szCs w:val="24"/>
        </w:rPr>
        <w:t>come of timing, dosing target and route of these individual macronutrients as well as the optimal balance in which they should be provided have not been studied extensively. </w:t>
      </w:r>
    </w:p>
    <w:p w14:paraId="00000042" w14:textId="77777777" w:rsidR="009935D5" w:rsidRDefault="009935D5">
      <w:pPr>
        <w:spacing w:after="0" w:line="240" w:lineRule="auto"/>
        <w:rPr>
          <w:rFonts w:ascii="Arial Narrow" w:eastAsia="Arial Narrow" w:hAnsi="Arial Narrow" w:cs="Arial Narrow"/>
          <w:sz w:val="24"/>
          <w:szCs w:val="24"/>
        </w:rPr>
      </w:pPr>
    </w:p>
    <w:p w14:paraId="0000004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7.1 What is the recommended glucose intake?</w:t>
      </w:r>
    </w:p>
    <w:p w14:paraId="0000004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Carbohydrates provide approximately </w:t>
      </w:r>
      <w:r>
        <w:rPr>
          <w:rFonts w:ascii="Arial Narrow" w:eastAsia="Arial Narrow" w:hAnsi="Arial Narrow" w:cs="Arial Narrow"/>
          <w:color w:val="000000"/>
          <w:sz w:val="24"/>
          <w:szCs w:val="24"/>
        </w:rPr>
        <w:t>half (40-60%) of the caloric intake in normal diets. Glucose, as the main representative of the carbohydrates, is utilized by all cells. Based on observational studies and expert consensus the recommended glucose intake should take into account 1) the evol</w:t>
      </w:r>
      <w:r>
        <w:rPr>
          <w:rFonts w:ascii="Arial Narrow" w:eastAsia="Arial Narrow" w:hAnsi="Arial Narrow" w:cs="Arial Narrow"/>
          <w:color w:val="000000"/>
          <w:sz w:val="24"/>
          <w:szCs w:val="24"/>
        </w:rPr>
        <w:t>ving energy requirements dependent on the phase of illness, 2) the balance between avoiding hypo- and hyperglycemia as well as glucose variability, and 3) glucose administered outside nutrition (e.g. with medication). There is no literature on different le</w:t>
      </w:r>
      <w:r>
        <w:rPr>
          <w:rFonts w:ascii="Arial Narrow" w:eastAsia="Arial Narrow" w:hAnsi="Arial Narrow" w:cs="Arial Narrow"/>
          <w:color w:val="000000"/>
          <w:sz w:val="24"/>
          <w:szCs w:val="24"/>
        </w:rPr>
        <w:t>vels of enteral glucose intake in relation with outcome in the PICU. Data on the timing and dosing therefore are primarily based on studies with parenteral glucose intake. During the acute phase the patient is most at risk of energy overfeeding and endogen</w:t>
      </w:r>
      <w:r>
        <w:rPr>
          <w:rFonts w:ascii="Arial Narrow" w:eastAsia="Arial Narrow" w:hAnsi="Arial Narrow" w:cs="Arial Narrow"/>
          <w:color w:val="000000"/>
          <w:sz w:val="24"/>
          <w:szCs w:val="24"/>
        </w:rPr>
        <w:t>ous glucose production can cover a substantial part of energy requirements and maintain glucose levels.</w:t>
      </w:r>
      <w:r>
        <w:rPr>
          <w:rFonts w:ascii="Arial Narrow" w:eastAsia="Arial Narrow" w:hAnsi="Arial Narrow" w:cs="Arial Narrow"/>
          <w:color w:val="000000"/>
          <w:sz w:val="24"/>
          <w:szCs w:val="24"/>
          <w:vertAlign w:val="superscript"/>
        </w:rPr>
        <w:t>118</w:t>
      </w:r>
      <w:r>
        <w:rPr>
          <w:rFonts w:ascii="Arial Narrow" w:eastAsia="Arial Narrow" w:hAnsi="Arial Narrow" w:cs="Arial Narrow"/>
          <w:color w:val="000000"/>
          <w:sz w:val="24"/>
          <w:szCs w:val="24"/>
        </w:rPr>
        <w:t xml:space="preserve"> Moreover, critically ill children often develop insulin resistance during the acute phase, which increases the risk of hyperglycemia.</w:t>
      </w:r>
      <w:r>
        <w:rPr>
          <w:rFonts w:ascii="Arial Narrow" w:eastAsia="Arial Narrow" w:hAnsi="Arial Narrow" w:cs="Arial Narrow"/>
          <w:color w:val="000000"/>
          <w:sz w:val="24"/>
          <w:szCs w:val="24"/>
          <w:vertAlign w:val="superscript"/>
        </w:rPr>
        <w:t>119</w:t>
      </w:r>
      <w:r>
        <w:rPr>
          <w:rFonts w:ascii="Arial Narrow" w:eastAsia="Arial Narrow" w:hAnsi="Arial Narrow" w:cs="Arial Narrow"/>
          <w:color w:val="000000"/>
          <w:sz w:val="24"/>
          <w:szCs w:val="24"/>
        </w:rPr>
        <w:t xml:space="preserve"> During the f</w:t>
      </w:r>
      <w:r>
        <w:rPr>
          <w:rFonts w:ascii="Arial Narrow" w:eastAsia="Arial Narrow" w:hAnsi="Arial Narrow" w:cs="Arial Narrow"/>
          <w:color w:val="000000"/>
          <w:sz w:val="24"/>
          <w:szCs w:val="24"/>
        </w:rPr>
        <w:t>ollowing stable and recovery phases, these issues will resolve and more glucose intake can be provided. </w:t>
      </w:r>
    </w:p>
    <w:p w14:paraId="0000004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Hyperglycemia during paediatric critical illness has been consistently associated with impaired outcome.</w:t>
      </w:r>
      <w:r>
        <w:rPr>
          <w:rFonts w:ascii="Arial Narrow" w:eastAsia="Arial Narrow" w:hAnsi="Arial Narrow" w:cs="Arial Narrow"/>
          <w:color w:val="000000"/>
          <w:sz w:val="24"/>
          <w:szCs w:val="24"/>
          <w:vertAlign w:val="superscript"/>
        </w:rPr>
        <w:t>120-122</w:t>
      </w:r>
      <w:r>
        <w:rPr>
          <w:rFonts w:ascii="Arial Narrow" w:eastAsia="Arial Narrow" w:hAnsi="Arial Narrow" w:cs="Arial Narrow"/>
          <w:color w:val="000000"/>
          <w:sz w:val="24"/>
          <w:szCs w:val="24"/>
        </w:rPr>
        <w:t xml:space="preserve"> Both the definitions of normoglycaemia,</w:t>
      </w:r>
      <w:r>
        <w:rPr>
          <w:rFonts w:ascii="Arial Narrow" w:eastAsia="Arial Narrow" w:hAnsi="Arial Narrow" w:cs="Arial Narrow"/>
          <w:color w:val="000000"/>
          <w:sz w:val="24"/>
          <w:szCs w:val="24"/>
        </w:rPr>
        <w:t xml:space="preserve"> and the role of insulin therapy and tight glucose control fall outside these current recommendations. Two RCTs using stable isotope techniques showed that a parenteral glucose intake of 2.5 mg/kg/min (3.6 g/kg/day) versus 5.0 mg/kg/min (7.2 g/kg/day) in c</w:t>
      </w:r>
      <w:r>
        <w:rPr>
          <w:rFonts w:ascii="Arial Narrow" w:eastAsia="Arial Narrow" w:hAnsi="Arial Narrow" w:cs="Arial Narrow"/>
          <w:color w:val="000000"/>
          <w:sz w:val="24"/>
          <w:szCs w:val="24"/>
        </w:rPr>
        <w:t>ritically ill post-surgical infants safely lowered high glucose levels, without causing hypoglycemia or affecting protein metabolism.</w:t>
      </w:r>
      <w:r>
        <w:rPr>
          <w:rFonts w:ascii="Arial Narrow" w:eastAsia="Arial Narrow" w:hAnsi="Arial Narrow" w:cs="Arial Narrow"/>
          <w:color w:val="000000"/>
          <w:sz w:val="24"/>
          <w:szCs w:val="24"/>
          <w:vertAlign w:val="superscript"/>
        </w:rPr>
        <w:t>123,124</w:t>
      </w:r>
      <w:r>
        <w:rPr>
          <w:rFonts w:ascii="Arial Narrow" w:eastAsia="Arial Narrow" w:hAnsi="Arial Narrow" w:cs="Arial Narrow"/>
          <w:color w:val="000000"/>
          <w:sz w:val="24"/>
          <w:szCs w:val="24"/>
        </w:rPr>
        <w:t xml:space="preserve"> In the PEPaNIC (Paediatric Early versus Late Parenteral Nutrition in Critically Illness) RCT, withholding PN during</w:t>
      </w:r>
      <w:r>
        <w:rPr>
          <w:rFonts w:ascii="Arial Narrow" w:eastAsia="Arial Narrow" w:hAnsi="Arial Narrow" w:cs="Arial Narrow"/>
          <w:color w:val="000000"/>
          <w:sz w:val="24"/>
          <w:szCs w:val="24"/>
        </w:rPr>
        <w:t xml:space="preserve"> the first week was clinically superior, but increased the incidence of hypoglycaemia (9.1% in Late-PN group versus 4.8% in Early-PN group).</w:t>
      </w:r>
      <w:r>
        <w:rPr>
          <w:rFonts w:ascii="Arial Narrow" w:eastAsia="Arial Narrow" w:hAnsi="Arial Narrow" w:cs="Arial Narrow"/>
          <w:color w:val="000000"/>
          <w:sz w:val="24"/>
          <w:szCs w:val="24"/>
          <w:vertAlign w:val="superscript"/>
        </w:rPr>
        <w:t>92</w:t>
      </w:r>
      <w:r>
        <w:rPr>
          <w:rFonts w:ascii="Arial Narrow" w:eastAsia="Arial Narrow" w:hAnsi="Arial Narrow" w:cs="Arial Narrow"/>
          <w:color w:val="000000"/>
          <w:sz w:val="24"/>
          <w:szCs w:val="24"/>
        </w:rPr>
        <w:t xml:space="preserve"> Two year follow-up of this RCT found that withholding PN did not negatively affect survival, health status, anthr</w:t>
      </w:r>
      <w:r>
        <w:rPr>
          <w:rFonts w:ascii="Arial Narrow" w:eastAsia="Arial Narrow" w:hAnsi="Arial Narrow" w:cs="Arial Narrow"/>
          <w:color w:val="000000"/>
          <w:sz w:val="24"/>
          <w:szCs w:val="24"/>
        </w:rPr>
        <w:t>opometrics and neurocognitive development, and actually showed improvement in certain areas of neurocognitive development.</w:t>
      </w:r>
      <w:r>
        <w:rPr>
          <w:rFonts w:ascii="Arial Narrow" w:eastAsia="Arial Narrow" w:hAnsi="Arial Narrow" w:cs="Arial Narrow"/>
          <w:color w:val="000000"/>
          <w:sz w:val="24"/>
          <w:szCs w:val="24"/>
          <w:vertAlign w:val="superscript"/>
        </w:rPr>
        <w:t>125</w:t>
      </w:r>
      <w:r>
        <w:rPr>
          <w:rFonts w:ascii="Arial Narrow" w:eastAsia="Arial Narrow" w:hAnsi="Arial Narrow" w:cs="Arial Narrow"/>
          <w:color w:val="000000"/>
          <w:sz w:val="24"/>
          <w:szCs w:val="24"/>
        </w:rPr>
        <w:t xml:space="preserve"> Nonetheless, a secondary analysis of this trial found that a higher daily glucose intake up to day 3 was associated with a lower l</w:t>
      </w:r>
      <w:r>
        <w:rPr>
          <w:rFonts w:ascii="Arial Narrow" w:eastAsia="Arial Narrow" w:hAnsi="Arial Narrow" w:cs="Arial Narrow"/>
          <w:color w:val="000000"/>
          <w:sz w:val="24"/>
          <w:szCs w:val="24"/>
        </w:rPr>
        <w:t>ikelihood of acquiring new infections.</w:t>
      </w:r>
      <w:r>
        <w:rPr>
          <w:rFonts w:ascii="Arial Narrow" w:eastAsia="Arial Narrow" w:hAnsi="Arial Narrow" w:cs="Arial Narrow"/>
          <w:color w:val="000000"/>
          <w:sz w:val="24"/>
          <w:szCs w:val="24"/>
          <w:vertAlign w:val="superscript"/>
        </w:rPr>
        <w:t>126</w:t>
      </w:r>
      <w:r>
        <w:rPr>
          <w:rFonts w:ascii="Arial Narrow" w:eastAsia="Arial Narrow" w:hAnsi="Arial Narrow" w:cs="Arial Narrow"/>
          <w:color w:val="000000"/>
          <w:sz w:val="24"/>
          <w:szCs w:val="24"/>
        </w:rPr>
        <w:t xml:space="preserve"> Although a higher intake of glucose was associated with a protective effect, a higher blood glucose level was an independent risk factor for new infections. This apparent discrepancy might be explained by a role fo</w:t>
      </w:r>
      <w:r>
        <w:rPr>
          <w:rFonts w:ascii="Arial Narrow" w:eastAsia="Arial Narrow" w:hAnsi="Arial Narrow" w:cs="Arial Narrow"/>
          <w:color w:val="000000"/>
          <w:sz w:val="24"/>
          <w:szCs w:val="24"/>
        </w:rPr>
        <w:t>r insulin sensitivity in relation with outcome. Based on these studies and on expert consensus we recommend the titration of glucose intake to avoid both hypo- as well as hyperglycaemia, and to provide lower glucose intake during the acute phase of critica</w:t>
      </w:r>
      <w:r>
        <w:rPr>
          <w:rFonts w:ascii="Arial Narrow" w:eastAsia="Arial Narrow" w:hAnsi="Arial Narrow" w:cs="Arial Narrow"/>
          <w:color w:val="000000"/>
          <w:sz w:val="24"/>
          <w:szCs w:val="24"/>
        </w:rPr>
        <w:t>l illness.</w:t>
      </w:r>
    </w:p>
    <w:p w14:paraId="00000046" w14:textId="77777777" w:rsidR="009935D5" w:rsidRDefault="009935D5">
      <w:pPr>
        <w:spacing w:after="0" w:line="240" w:lineRule="auto"/>
        <w:rPr>
          <w:rFonts w:ascii="Arial Narrow" w:eastAsia="Arial Narrow" w:hAnsi="Arial Narrow" w:cs="Arial Narrow"/>
          <w:sz w:val="24"/>
          <w:szCs w:val="24"/>
        </w:rPr>
      </w:pPr>
    </w:p>
    <w:p w14:paraId="0000004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7.1: (Parenteral) glucose provision should be sufficient to avoid hypoglycemia but not excessive to prevent hyperglycemia (strong consensus) SIGN recommendation Grade D</w:t>
      </w:r>
    </w:p>
    <w:p w14:paraId="00000048" w14:textId="77777777" w:rsidR="009935D5" w:rsidRDefault="009935D5">
      <w:pPr>
        <w:spacing w:after="0" w:line="240" w:lineRule="auto"/>
        <w:rPr>
          <w:rFonts w:ascii="Arial Narrow" w:eastAsia="Arial Narrow" w:hAnsi="Arial Narrow" w:cs="Arial Narrow"/>
          <w:sz w:val="24"/>
          <w:szCs w:val="24"/>
        </w:rPr>
      </w:pPr>
    </w:p>
    <w:p w14:paraId="0000004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7.2 What is the recommended lipid intake?</w:t>
      </w:r>
    </w:p>
    <w:p w14:paraId="0000004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Currently no stud</w:t>
      </w:r>
      <w:r>
        <w:rPr>
          <w:rFonts w:ascii="Arial Narrow" w:eastAsia="Arial Narrow" w:hAnsi="Arial Narrow" w:cs="Arial Narrow"/>
          <w:color w:val="000000"/>
          <w:sz w:val="24"/>
          <w:szCs w:val="24"/>
        </w:rPr>
        <w:t>ies exist looking at different amounts of (par)enteral lipids and the effect on the outcomes of critically ill children. There is insufficient evidence to make any recommendations on the optimal timing and dosing of lipid intake in the PICU. No studies hav</w:t>
      </w:r>
      <w:r>
        <w:rPr>
          <w:rFonts w:ascii="Arial Narrow" w:eastAsia="Arial Narrow" w:hAnsi="Arial Narrow" w:cs="Arial Narrow"/>
          <w:color w:val="000000"/>
          <w:sz w:val="24"/>
          <w:szCs w:val="24"/>
        </w:rPr>
        <w:t>e investigated the effect of different amounts of enteral lipid intakes, and therefore all recommendations are based on studies with parenteral lipid intake. Generally, lipids contribute to 25 to 50% of non-protein calories to the recommended nutritional i</w:t>
      </w:r>
      <w:r>
        <w:rPr>
          <w:rFonts w:ascii="Arial Narrow" w:eastAsia="Arial Narrow" w:hAnsi="Arial Narrow" w:cs="Arial Narrow"/>
          <w:color w:val="000000"/>
          <w:sz w:val="24"/>
          <w:szCs w:val="24"/>
        </w:rPr>
        <w:t>ntake. Furthermore, lipids provide essential fatty acids (EFAs) and help with the delivery of the lipid soluble vitamins A, D, E, and K. Deficiency in essentially free fatty acids is avoided by providing enough energy intake coming from lipid sources. A de</w:t>
      </w:r>
      <w:r>
        <w:rPr>
          <w:rFonts w:ascii="Arial Narrow" w:eastAsia="Arial Narrow" w:hAnsi="Arial Narrow" w:cs="Arial Narrow"/>
          <w:color w:val="000000"/>
          <w:sz w:val="24"/>
          <w:szCs w:val="24"/>
        </w:rPr>
        <w:t>ficit of EFAs can occur within 10 days without any intake of lipids, or without long chain fatty acids and just medium chain triglycerides. In the PEPaNIC RCT, withholding PN, and thus parenteral lipid intake, during the first week reduced the incidence of</w:t>
      </w:r>
      <w:r>
        <w:rPr>
          <w:rFonts w:ascii="Arial Narrow" w:eastAsia="Arial Narrow" w:hAnsi="Arial Narrow" w:cs="Arial Narrow"/>
          <w:color w:val="000000"/>
          <w:sz w:val="24"/>
          <w:szCs w:val="24"/>
        </w:rPr>
        <w:t xml:space="preserve"> new infections and the duration of PICU dependency.</w:t>
      </w:r>
      <w:r>
        <w:rPr>
          <w:rFonts w:ascii="Arial Narrow" w:eastAsia="Arial Narrow" w:hAnsi="Arial Narrow" w:cs="Arial Narrow"/>
          <w:color w:val="000000"/>
          <w:sz w:val="24"/>
          <w:szCs w:val="24"/>
          <w:vertAlign w:val="superscript"/>
        </w:rPr>
        <w:t>92</w:t>
      </w:r>
      <w:r>
        <w:rPr>
          <w:rFonts w:ascii="Arial Narrow" w:eastAsia="Arial Narrow" w:hAnsi="Arial Narrow" w:cs="Arial Narrow"/>
          <w:color w:val="000000"/>
          <w:sz w:val="24"/>
          <w:szCs w:val="24"/>
        </w:rPr>
        <w:t xml:space="preserve"> However, a secondary analysis of this trial showed that a higher daily lipid intake from day 4 to day 7 in the PICU was associated with earlier live PICU discharge.</w:t>
      </w:r>
      <w:r>
        <w:rPr>
          <w:rFonts w:ascii="Arial Narrow" w:eastAsia="Arial Narrow" w:hAnsi="Arial Narrow" w:cs="Arial Narrow"/>
          <w:color w:val="000000"/>
          <w:sz w:val="24"/>
          <w:szCs w:val="24"/>
          <w:vertAlign w:val="superscript"/>
        </w:rPr>
        <w:t>126</w:t>
      </w:r>
      <w:r>
        <w:rPr>
          <w:rFonts w:ascii="Arial Narrow" w:eastAsia="Arial Narrow" w:hAnsi="Arial Narrow" w:cs="Arial Narrow"/>
          <w:color w:val="000000"/>
          <w:sz w:val="24"/>
          <w:szCs w:val="24"/>
        </w:rPr>
        <w:t xml:space="preserve"> No significant associations were </w:t>
      </w:r>
      <w:r>
        <w:rPr>
          <w:rFonts w:ascii="Arial Narrow" w:eastAsia="Arial Narrow" w:hAnsi="Arial Narrow" w:cs="Arial Narrow"/>
          <w:color w:val="000000"/>
          <w:sz w:val="24"/>
          <w:szCs w:val="24"/>
        </w:rPr>
        <w:t>found between lipid intake and the likelihood of acquiring new infections, or the likelihood of earlier (live) weaning from mechanical ventilation. This secondary analysis did not separate the effects of enteral versus parenteral lipid intake. Once critica</w:t>
      </w:r>
      <w:r>
        <w:rPr>
          <w:rFonts w:ascii="Arial Narrow" w:eastAsia="Arial Narrow" w:hAnsi="Arial Narrow" w:cs="Arial Narrow"/>
          <w:color w:val="000000"/>
          <w:sz w:val="24"/>
          <w:szCs w:val="24"/>
        </w:rPr>
        <w:t>lly ill children require (supplemental) PN, intravenous lipid emulsions should be an integral part of PN.</w:t>
      </w:r>
      <w:r>
        <w:rPr>
          <w:rFonts w:ascii="Arial Narrow" w:eastAsia="Arial Narrow" w:hAnsi="Arial Narrow" w:cs="Arial Narrow"/>
          <w:color w:val="000000"/>
          <w:sz w:val="24"/>
          <w:szCs w:val="24"/>
          <w:vertAlign w:val="superscript"/>
        </w:rPr>
        <w:t>127</w:t>
      </w:r>
      <w:r>
        <w:rPr>
          <w:rFonts w:ascii="Arial Narrow" w:eastAsia="Arial Narrow" w:hAnsi="Arial Narrow" w:cs="Arial Narrow"/>
          <w:color w:val="000000"/>
          <w:sz w:val="24"/>
          <w:szCs w:val="24"/>
        </w:rPr>
        <w:t xml:space="preserve"> Based on the maximal lipid oxidation in infants the (parenteral) lipid intake should not exceed 3 g/kg/day.</w:t>
      </w:r>
      <w:r>
        <w:rPr>
          <w:rFonts w:ascii="Arial Narrow" w:eastAsia="Arial Narrow" w:hAnsi="Arial Narrow" w:cs="Arial Narrow"/>
          <w:color w:val="000000"/>
          <w:sz w:val="24"/>
          <w:szCs w:val="24"/>
          <w:vertAlign w:val="superscript"/>
        </w:rPr>
        <w:t>127</w:t>
      </w:r>
      <w:r>
        <w:rPr>
          <w:rFonts w:ascii="Arial Narrow" w:eastAsia="Arial Narrow" w:hAnsi="Arial Narrow" w:cs="Arial Narrow"/>
          <w:color w:val="000000"/>
          <w:sz w:val="24"/>
          <w:szCs w:val="24"/>
        </w:rPr>
        <w:t xml:space="preserve"> Whether lipid clearance during criti</w:t>
      </w:r>
      <w:r>
        <w:rPr>
          <w:rFonts w:ascii="Arial Narrow" w:eastAsia="Arial Narrow" w:hAnsi="Arial Narrow" w:cs="Arial Narrow"/>
          <w:color w:val="000000"/>
          <w:sz w:val="24"/>
          <w:szCs w:val="24"/>
        </w:rPr>
        <w:t>cal illness is reduced is not clear, but monitoring triglycerides with adjustment of lipid intake is argumentative. </w:t>
      </w:r>
    </w:p>
    <w:p w14:paraId="0000004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Most studies concerning the composition of lipid emulsions have been performed in populations outside the PICU, mainly in (preterm) infants</w:t>
      </w:r>
      <w:r>
        <w:rPr>
          <w:rFonts w:ascii="Arial Narrow" w:eastAsia="Arial Narrow" w:hAnsi="Arial Narrow" w:cs="Arial Narrow"/>
          <w:color w:val="000000"/>
          <w:sz w:val="24"/>
          <w:szCs w:val="24"/>
        </w:rPr>
        <w:t xml:space="preserve"> and neonates, children with intestinal failure on long-term PN, and in adults. Only one small RCT has examined the effect of different lipid emulsions in PICU patients, which showed no difference in clinical outcomes, except lower TNFα levels with composi</w:t>
      </w:r>
      <w:r>
        <w:rPr>
          <w:rFonts w:ascii="Arial Narrow" w:eastAsia="Arial Narrow" w:hAnsi="Arial Narrow" w:cs="Arial Narrow"/>
          <w:color w:val="000000"/>
          <w:sz w:val="24"/>
          <w:szCs w:val="24"/>
        </w:rPr>
        <w:t>te lipid emulsions compared with a pure soy oil lipid emulsion.</w:t>
      </w:r>
      <w:r>
        <w:rPr>
          <w:rFonts w:ascii="Arial Narrow" w:eastAsia="Arial Narrow" w:hAnsi="Arial Narrow" w:cs="Arial Narrow"/>
          <w:color w:val="000000"/>
          <w:sz w:val="24"/>
          <w:szCs w:val="24"/>
          <w:vertAlign w:val="superscript"/>
        </w:rPr>
        <w:t>128</w:t>
      </w:r>
      <w:r>
        <w:rPr>
          <w:rFonts w:ascii="Arial Narrow" w:eastAsia="Arial Narrow" w:hAnsi="Arial Narrow" w:cs="Arial Narrow"/>
          <w:color w:val="000000"/>
          <w:sz w:val="24"/>
          <w:szCs w:val="24"/>
        </w:rPr>
        <w:t xml:space="preserve"> Composite lipids emulsions have more inflammation modulatory properties and anti-oxidative effects than pure soy oil lipid emulsions, and may be more suitable for critically ill patients.</w:t>
      </w:r>
      <w:r>
        <w:rPr>
          <w:rFonts w:ascii="Arial Narrow" w:eastAsia="Arial Narrow" w:hAnsi="Arial Narrow" w:cs="Arial Narrow"/>
          <w:color w:val="000000"/>
          <w:sz w:val="24"/>
          <w:szCs w:val="24"/>
          <w:vertAlign w:val="superscript"/>
        </w:rPr>
        <w:t>12</w:t>
      </w:r>
      <w:r>
        <w:rPr>
          <w:rFonts w:ascii="Arial Narrow" w:eastAsia="Arial Narrow" w:hAnsi="Arial Narrow" w:cs="Arial Narrow"/>
          <w:color w:val="000000"/>
          <w:sz w:val="24"/>
          <w:szCs w:val="24"/>
          <w:vertAlign w:val="superscript"/>
        </w:rPr>
        <w:t>7</w:t>
      </w:r>
      <w:r>
        <w:rPr>
          <w:rFonts w:ascii="Arial Narrow" w:eastAsia="Arial Narrow" w:hAnsi="Arial Narrow" w:cs="Arial Narrow"/>
          <w:color w:val="000000"/>
          <w:sz w:val="24"/>
          <w:szCs w:val="24"/>
        </w:rPr>
        <w:t xml:space="preserve"> They are reported to reduce cholestasis and liver dysfunction, reduce mortality and liver transplantation. Recent adult guidelines recommend the use of mixed lipids emulsion with olive, fish oil and MCT particularly for surgical patients.</w:t>
      </w:r>
      <w:r>
        <w:rPr>
          <w:rFonts w:ascii="Arial Narrow" w:eastAsia="Arial Narrow" w:hAnsi="Arial Narrow" w:cs="Arial Narrow"/>
          <w:color w:val="000000"/>
          <w:sz w:val="24"/>
          <w:szCs w:val="24"/>
          <w:vertAlign w:val="superscript"/>
        </w:rPr>
        <w:t>129,130</w:t>
      </w:r>
      <w:r>
        <w:rPr>
          <w:rFonts w:ascii="Arial Narrow" w:eastAsia="Arial Narrow" w:hAnsi="Arial Narrow" w:cs="Arial Narrow"/>
          <w:color w:val="000000"/>
          <w:sz w:val="24"/>
          <w:szCs w:val="24"/>
        </w:rPr>
        <w:t xml:space="preserve"> Given th</w:t>
      </w:r>
      <w:r>
        <w:rPr>
          <w:rFonts w:ascii="Arial Narrow" w:eastAsia="Arial Narrow" w:hAnsi="Arial Narrow" w:cs="Arial Narrow"/>
          <w:color w:val="000000"/>
          <w:sz w:val="24"/>
          <w:szCs w:val="24"/>
        </w:rPr>
        <w:t>at a lipid is required as part of PN, and based on research in adults, neonates and children with long term PN outside of the PICU, our expert opinion is that the use of composite lipid emulsions (soybean oil and fish oil, and/or MCT and/or olive oil) in c</w:t>
      </w:r>
      <w:r>
        <w:rPr>
          <w:rFonts w:ascii="Arial Narrow" w:eastAsia="Arial Narrow" w:hAnsi="Arial Narrow" w:cs="Arial Narrow"/>
          <w:color w:val="000000"/>
          <w:sz w:val="24"/>
          <w:szCs w:val="24"/>
        </w:rPr>
        <w:t>ritically ill children is recommended. </w:t>
      </w:r>
    </w:p>
    <w:p w14:paraId="0000004C" w14:textId="77777777" w:rsidR="009935D5" w:rsidRDefault="009935D5">
      <w:pPr>
        <w:spacing w:after="0" w:line="240" w:lineRule="auto"/>
        <w:rPr>
          <w:rFonts w:ascii="Arial Narrow" w:eastAsia="Arial Narrow" w:hAnsi="Arial Narrow" w:cs="Arial Narrow"/>
          <w:sz w:val="24"/>
          <w:szCs w:val="24"/>
        </w:rPr>
      </w:pPr>
    </w:p>
    <w:p w14:paraId="0000004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w:t>
      </w:r>
      <w:r>
        <w:rPr>
          <w:rFonts w:ascii="Arial Narrow" w:eastAsia="Arial Narrow" w:hAnsi="Arial Narrow" w:cs="Arial Narrow"/>
          <w:b/>
          <w:color w:val="000000"/>
          <w:sz w:val="24"/>
          <w:szCs w:val="24"/>
        </w:rPr>
        <w:t>Recommendation 7.2: When parenteral nutrition is used, composite lipid emulsions with or without fish oil should be considered as the first-choice treatment (consensus) SIGN recommendation Grade GCP</w:t>
      </w:r>
    </w:p>
    <w:p w14:paraId="0000004E" w14:textId="77777777" w:rsidR="009935D5" w:rsidRDefault="009935D5">
      <w:pPr>
        <w:spacing w:after="0" w:line="240" w:lineRule="auto"/>
        <w:rPr>
          <w:rFonts w:ascii="Arial Narrow" w:eastAsia="Arial Narrow" w:hAnsi="Arial Narrow" w:cs="Arial Narrow"/>
          <w:sz w:val="24"/>
          <w:szCs w:val="24"/>
        </w:rPr>
      </w:pPr>
    </w:p>
    <w:p w14:paraId="0000004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7.3 What is the recommended protein/amino acid intake?</w:t>
      </w:r>
    </w:p>
    <w:p w14:paraId="0000005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P</w:t>
      </w:r>
      <w:r>
        <w:rPr>
          <w:rFonts w:ascii="Arial Narrow" w:eastAsia="Arial Narrow" w:hAnsi="Arial Narrow" w:cs="Arial Narrow"/>
          <w:color w:val="000000"/>
          <w:sz w:val="24"/>
          <w:szCs w:val="24"/>
        </w:rPr>
        <w:t>roteins consist of chains of amino acid, which composition is the most important aspect from a nutritional perspective. Amino acids are the main structural and functional building blocks for all cells and organs. When amino acids cannot be utilized, they a</w:t>
      </w:r>
      <w:r>
        <w:rPr>
          <w:rFonts w:ascii="Arial Narrow" w:eastAsia="Arial Narrow" w:hAnsi="Arial Narrow" w:cs="Arial Narrow"/>
          <w:color w:val="000000"/>
          <w:sz w:val="24"/>
          <w:szCs w:val="24"/>
        </w:rPr>
        <w:t>re oxidized, protein has a definite but small part in energy supply. The gut utilises a significant amount of amino acids (splanchnic uptake) which varies in between the different amino acids and with age.</w:t>
      </w:r>
      <w:r>
        <w:rPr>
          <w:rFonts w:ascii="Arial Narrow" w:eastAsia="Arial Narrow" w:hAnsi="Arial Narrow" w:cs="Arial Narrow"/>
          <w:color w:val="000000"/>
          <w:sz w:val="24"/>
          <w:szCs w:val="24"/>
          <w:vertAlign w:val="superscript"/>
        </w:rPr>
        <w:t>131</w:t>
      </w:r>
      <w:r>
        <w:rPr>
          <w:rFonts w:ascii="Arial Narrow" w:eastAsia="Arial Narrow" w:hAnsi="Arial Narrow" w:cs="Arial Narrow"/>
          <w:color w:val="000000"/>
          <w:sz w:val="24"/>
          <w:szCs w:val="24"/>
        </w:rPr>
        <w:t xml:space="preserve"> Thus, parenteral amino acid requirements are lo</w:t>
      </w:r>
      <w:r>
        <w:rPr>
          <w:rFonts w:ascii="Arial Narrow" w:eastAsia="Arial Narrow" w:hAnsi="Arial Narrow" w:cs="Arial Narrow"/>
          <w:color w:val="000000"/>
          <w:sz w:val="24"/>
          <w:szCs w:val="24"/>
        </w:rPr>
        <w:t>wer than those in children being enterally fed. Protein/amino acid requirements are currently not possible to determine at the patient bedside. During physiological circumstances, protein intake which avoids a negative protein balance can be considered a m</w:t>
      </w:r>
      <w:r>
        <w:rPr>
          <w:rFonts w:ascii="Arial Narrow" w:eastAsia="Arial Narrow" w:hAnsi="Arial Narrow" w:cs="Arial Narrow"/>
          <w:color w:val="000000"/>
          <w:sz w:val="24"/>
          <w:szCs w:val="24"/>
        </w:rPr>
        <w:t>inimal requirement. During critical illness, protein synthesis and breakdown are both increased several folds, with a negative whole body protein balance. Furthermore, several pathways and signalling functions, outside the protein building function of amin</w:t>
      </w:r>
      <w:r>
        <w:rPr>
          <w:rFonts w:ascii="Arial Narrow" w:eastAsia="Arial Narrow" w:hAnsi="Arial Narrow" w:cs="Arial Narrow"/>
          <w:color w:val="000000"/>
          <w:sz w:val="24"/>
          <w:szCs w:val="24"/>
        </w:rPr>
        <w:t>o acids, might be upregulated, whereas clearance mechanisms (e.g. renal function) may be impaired. Thus, protein/amino acid requirements in critically ill children should not be deduced from healthy children. Currently no studies exist looking at different</w:t>
      </w:r>
      <w:r>
        <w:rPr>
          <w:rFonts w:ascii="Arial Narrow" w:eastAsia="Arial Narrow" w:hAnsi="Arial Narrow" w:cs="Arial Narrow"/>
          <w:color w:val="000000"/>
          <w:sz w:val="24"/>
          <w:szCs w:val="24"/>
        </w:rPr>
        <w:t xml:space="preserve"> amounts of protein/amino acid intake in relation with (functional) outcome in critically ill children. There are, however, several studies using protein balance as an outcome.</w:t>
      </w:r>
      <w:r>
        <w:rPr>
          <w:rFonts w:ascii="Arial Narrow" w:eastAsia="Arial Narrow" w:hAnsi="Arial Narrow" w:cs="Arial Narrow"/>
          <w:color w:val="000000"/>
          <w:sz w:val="24"/>
          <w:szCs w:val="24"/>
          <w:vertAlign w:val="superscript"/>
        </w:rPr>
        <w:t>87,132-135</w:t>
      </w:r>
      <w:r>
        <w:rPr>
          <w:rFonts w:ascii="Arial Narrow" w:eastAsia="Arial Narrow" w:hAnsi="Arial Narrow" w:cs="Arial Narrow"/>
          <w:color w:val="000000"/>
          <w:sz w:val="24"/>
          <w:szCs w:val="24"/>
        </w:rPr>
        <w:t xml:space="preserve"> These studies show that higher protein/amino acid intakes improved pr</w:t>
      </w:r>
      <w:r>
        <w:rPr>
          <w:rFonts w:ascii="Arial Narrow" w:eastAsia="Arial Narrow" w:hAnsi="Arial Narrow" w:cs="Arial Narrow"/>
          <w:color w:val="000000"/>
          <w:sz w:val="24"/>
          <w:szCs w:val="24"/>
        </w:rPr>
        <w:t>otein/nitrogen balance in critically ill children. High protein intake studies (up to 3.1 g/kg/day) found that despite the protein balance being more positive, protein breakdown was also increased.</w:t>
      </w:r>
      <w:r>
        <w:rPr>
          <w:rFonts w:ascii="Arial Narrow" w:eastAsia="Arial Narrow" w:hAnsi="Arial Narrow" w:cs="Arial Narrow"/>
          <w:color w:val="000000"/>
          <w:sz w:val="24"/>
          <w:szCs w:val="24"/>
          <w:vertAlign w:val="superscript"/>
        </w:rPr>
        <w:t>132,136,137</w:t>
      </w:r>
      <w:r>
        <w:rPr>
          <w:rFonts w:ascii="Arial Narrow" w:eastAsia="Arial Narrow" w:hAnsi="Arial Narrow" w:cs="Arial Narrow"/>
          <w:color w:val="000000"/>
          <w:sz w:val="24"/>
          <w:szCs w:val="24"/>
        </w:rPr>
        <w:t xml:space="preserve"> Furthermore, one RCT showed that with such high</w:t>
      </w:r>
      <w:r>
        <w:rPr>
          <w:rFonts w:ascii="Arial Narrow" w:eastAsia="Arial Narrow" w:hAnsi="Arial Narrow" w:cs="Arial Narrow"/>
          <w:color w:val="000000"/>
          <w:sz w:val="24"/>
          <w:szCs w:val="24"/>
        </w:rPr>
        <w:t xml:space="preserve"> protein intakes, lipolysis and endogenous glucose production also increased.</w:t>
      </w:r>
      <w:r>
        <w:rPr>
          <w:rFonts w:ascii="Arial Narrow" w:eastAsia="Arial Narrow" w:hAnsi="Arial Narrow" w:cs="Arial Narrow"/>
          <w:color w:val="000000"/>
          <w:sz w:val="24"/>
          <w:szCs w:val="24"/>
          <w:vertAlign w:val="superscript"/>
        </w:rPr>
        <w:t>133</w:t>
      </w:r>
      <w:r>
        <w:rPr>
          <w:rFonts w:ascii="Arial Narrow" w:eastAsia="Arial Narrow" w:hAnsi="Arial Narrow" w:cs="Arial Narrow"/>
          <w:color w:val="000000"/>
          <w:sz w:val="24"/>
          <w:szCs w:val="24"/>
        </w:rPr>
        <w:t xml:space="preserve"> A systematic review showed that a protein intake of 1.5 g/kg/day (with the provision of 57 kcal/kg/day) was required to achieve a positive protein balance.</w:t>
      </w:r>
      <w:r>
        <w:rPr>
          <w:rFonts w:ascii="Arial Narrow" w:eastAsia="Arial Narrow" w:hAnsi="Arial Narrow" w:cs="Arial Narrow"/>
          <w:color w:val="000000"/>
          <w:sz w:val="24"/>
          <w:szCs w:val="24"/>
          <w:vertAlign w:val="superscript"/>
        </w:rPr>
        <w:t>89</w:t>
      </w:r>
      <w:r>
        <w:rPr>
          <w:rFonts w:ascii="Arial Narrow" w:eastAsia="Arial Narrow" w:hAnsi="Arial Narrow" w:cs="Arial Narrow"/>
          <w:color w:val="000000"/>
          <w:sz w:val="24"/>
          <w:szCs w:val="24"/>
        </w:rPr>
        <w:t xml:space="preserve"> Interestingly, th</w:t>
      </w:r>
      <w:r>
        <w:rPr>
          <w:rFonts w:ascii="Arial Narrow" w:eastAsia="Arial Narrow" w:hAnsi="Arial Narrow" w:cs="Arial Narrow"/>
          <w:color w:val="000000"/>
          <w:sz w:val="24"/>
          <w:szCs w:val="24"/>
        </w:rPr>
        <w:t>is intake corroborated the findings of a cohort study in critically ill children who were ventilated for more than 72 hours.</w:t>
      </w:r>
      <w:r>
        <w:rPr>
          <w:rFonts w:ascii="Arial Narrow" w:eastAsia="Arial Narrow" w:hAnsi="Arial Narrow" w:cs="Arial Narrow"/>
          <w:color w:val="000000"/>
          <w:sz w:val="24"/>
          <w:szCs w:val="24"/>
          <w:vertAlign w:val="superscript"/>
        </w:rPr>
        <w:t>90</w:t>
      </w:r>
      <w:r>
        <w:rPr>
          <w:rFonts w:ascii="Arial Narrow" w:eastAsia="Arial Narrow" w:hAnsi="Arial Narrow" w:cs="Arial Narrow"/>
          <w:color w:val="000000"/>
          <w:sz w:val="24"/>
          <w:szCs w:val="24"/>
        </w:rPr>
        <w:t> </w:t>
      </w:r>
    </w:p>
    <w:p w14:paraId="00000051" w14:textId="77777777" w:rsidR="009935D5" w:rsidRDefault="009935D5">
      <w:pPr>
        <w:spacing w:after="0" w:line="240" w:lineRule="auto"/>
        <w:rPr>
          <w:rFonts w:ascii="Arial Narrow" w:eastAsia="Arial Narrow" w:hAnsi="Arial Narrow" w:cs="Arial Narrow"/>
          <w:sz w:val="24"/>
          <w:szCs w:val="24"/>
        </w:rPr>
      </w:pPr>
    </w:p>
    <w:p w14:paraId="0000005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7.3a: For critically ill infants and children on enteral nutrition a minimum enteral protein intake of 1.5 g/kg/</w:t>
      </w:r>
      <w:r>
        <w:rPr>
          <w:rFonts w:ascii="Arial Narrow" w:eastAsia="Arial Narrow" w:hAnsi="Arial Narrow" w:cs="Arial Narrow"/>
          <w:b/>
          <w:color w:val="000000"/>
          <w:sz w:val="24"/>
          <w:szCs w:val="24"/>
        </w:rPr>
        <w:t>d can be considered to avoid negative protein balance (consensus)  SIGN grade B</w:t>
      </w:r>
    </w:p>
    <w:p w14:paraId="00000053" w14:textId="77777777" w:rsidR="009935D5" w:rsidRDefault="009935D5">
      <w:pPr>
        <w:spacing w:after="0" w:line="240" w:lineRule="auto"/>
        <w:rPr>
          <w:rFonts w:ascii="Arial Narrow" w:eastAsia="Arial Narrow" w:hAnsi="Arial Narrow" w:cs="Arial Narrow"/>
          <w:sz w:val="24"/>
          <w:szCs w:val="24"/>
        </w:rPr>
      </w:pPr>
    </w:p>
    <w:p w14:paraId="0000005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During physiological circumstances an optimal protein intake with sufficient amounts of energy, in combination with exercise are essential prerequisites for muscle protein anabolism. The loss of lean body mass with its associated worse outcomes, are hallma</w:t>
      </w:r>
      <w:r>
        <w:rPr>
          <w:rFonts w:ascii="Arial Narrow" w:eastAsia="Arial Narrow" w:hAnsi="Arial Narrow" w:cs="Arial Narrow"/>
          <w:color w:val="000000"/>
          <w:sz w:val="24"/>
          <w:szCs w:val="24"/>
        </w:rPr>
        <w:t>rks of critical illness and caused by increased protein breakdown.</w:t>
      </w:r>
      <w:r>
        <w:rPr>
          <w:rFonts w:ascii="Arial Narrow" w:eastAsia="Arial Narrow" w:hAnsi="Arial Narrow" w:cs="Arial Narrow"/>
          <w:color w:val="000000"/>
          <w:sz w:val="24"/>
          <w:szCs w:val="24"/>
          <w:vertAlign w:val="superscript"/>
        </w:rPr>
        <w:t>138</w:t>
      </w:r>
      <w:r>
        <w:rPr>
          <w:rFonts w:ascii="Arial Narrow" w:eastAsia="Arial Narrow" w:hAnsi="Arial Narrow" w:cs="Arial Narrow"/>
          <w:color w:val="000000"/>
          <w:sz w:val="24"/>
          <w:szCs w:val="24"/>
        </w:rPr>
        <w:t xml:space="preserve"> However, increasing amounts of protein intake do not increase muscle synthesis rates due to anabolic resistance, and have not shown to be able to prevent or treat loss of lean body mass </w:t>
      </w:r>
      <w:r>
        <w:rPr>
          <w:rFonts w:ascii="Arial Narrow" w:eastAsia="Arial Narrow" w:hAnsi="Arial Narrow" w:cs="Arial Narrow"/>
          <w:color w:val="000000"/>
          <w:sz w:val="24"/>
          <w:szCs w:val="24"/>
        </w:rPr>
        <w:t>during critical illness.</w:t>
      </w:r>
      <w:r>
        <w:rPr>
          <w:rFonts w:ascii="Arial Narrow" w:eastAsia="Arial Narrow" w:hAnsi="Arial Narrow" w:cs="Arial Narrow"/>
          <w:color w:val="000000"/>
          <w:sz w:val="24"/>
          <w:szCs w:val="24"/>
          <w:vertAlign w:val="superscript"/>
        </w:rPr>
        <w:t>139</w:t>
      </w:r>
      <w:r>
        <w:rPr>
          <w:rFonts w:ascii="Arial Narrow" w:eastAsia="Arial Narrow" w:hAnsi="Arial Narrow" w:cs="Arial Narrow"/>
          <w:color w:val="000000"/>
          <w:sz w:val="24"/>
          <w:szCs w:val="24"/>
        </w:rPr>
        <w:t xml:space="preserve"> Currently, no studies have shown that early or high protein/amino acid intakes, or the achievement of positive protein balance, improve clinical outcomes in the PICU. A small pilot trial has recently shown safety and feasibility</w:t>
      </w:r>
      <w:r>
        <w:rPr>
          <w:rFonts w:ascii="Arial Narrow" w:eastAsia="Arial Narrow" w:hAnsi="Arial Narrow" w:cs="Arial Narrow"/>
          <w:color w:val="000000"/>
          <w:sz w:val="24"/>
          <w:szCs w:val="24"/>
        </w:rPr>
        <w:t xml:space="preserve"> of such trial.</w:t>
      </w:r>
      <w:r>
        <w:rPr>
          <w:rFonts w:ascii="Arial Narrow" w:eastAsia="Arial Narrow" w:hAnsi="Arial Narrow" w:cs="Arial Narrow"/>
          <w:color w:val="000000"/>
          <w:sz w:val="24"/>
          <w:szCs w:val="24"/>
          <w:vertAlign w:val="superscript"/>
        </w:rPr>
        <w:t>140</w:t>
      </w:r>
      <w:r>
        <w:rPr>
          <w:rFonts w:ascii="Arial Narrow" w:eastAsia="Arial Narrow" w:hAnsi="Arial Narrow" w:cs="Arial Narrow"/>
          <w:color w:val="000000"/>
          <w:sz w:val="24"/>
          <w:szCs w:val="24"/>
        </w:rPr>
        <w:t xml:space="preserve"> Observational studies suggested that a higher protein intake is associated with improved outcome in PICU.</w:t>
      </w:r>
      <w:r>
        <w:rPr>
          <w:rFonts w:ascii="Arial Narrow" w:eastAsia="Arial Narrow" w:hAnsi="Arial Narrow" w:cs="Arial Narrow"/>
          <w:color w:val="000000"/>
          <w:sz w:val="24"/>
          <w:szCs w:val="24"/>
          <w:vertAlign w:val="superscript"/>
        </w:rPr>
        <w:t>141,142</w:t>
      </w:r>
      <w:r>
        <w:rPr>
          <w:rFonts w:ascii="Arial Narrow" w:eastAsia="Arial Narrow" w:hAnsi="Arial Narrow" w:cs="Arial Narrow"/>
          <w:color w:val="000000"/>
          <w:sz w:val="24"/>
          <w:szCs w:val="24"/>
        </w:rPr>
        <w:t xml:space="preserve"> The largest study found an association between insufficient protein intake (intake &lt;60% adequacy of prescribed; 1.14 g/kg/da</w:t>
      </w:r>
      <w:r>
        <w:rPr>
          <w:rFonts w:ascii="Arial Narrow" w:eastAsia="Arial Narrow" w:hAnsi="Arial Narrow" w:cs="Arial Narrow"/>
          <w:color w:val="000000"/>
          <w:sz w:val="24"/>
          <w:szCs w:val="24"/>
        </w:rPr>
        <w:t>y) in the PICU and increased mortality.</w:t>
      </w:r>
      <w:r>
        <w:rPr>
          <w:rFonts w:ascii="Arial Narrow" w:eastAsia="Arial Narrow" w:hAnsi="Arial Narrow" w:cs="Arial Narrow"/>
          <w:color w:val="000000"/>
          <w:sz w:val="24"/>
          <w:szCs w:val="24"/>
          <w:vertAlign w:val="superscript"/>
        </w:rPr>
        <w:t>141</w:t>
      </w:r>
      <w:r>
        <w:rPr>
          <w:rFonts w:ascii="Arial Narrow" w:eastAsia="Arial Narrow" w:hAnsi="Arial Narrow" w:cs="Arial Narrow"/>
          <w:color w:val="000000"/>
          <w:sz w:val="24"/>
          <w:szCs w:val="24"/>
        </w:rPr>
        <w:t xml:space="preserve"> However, lower nutritional intake was associated with higher severity of illness.</w:t>
      </w:r>
      <w:r>
        <w:rPr>
          <w:rFonts w:ascii="Arial Narrow" w:eastAsia="Arial Narrow" w:hAnsi="Arial Narrow" w:cs="Arial Narrow"/>
          <w:color w:val="000000"/>
          <w:sz w:val="24"/>
          <w:szCs w:val="24"/>
          <w:vertAlign w:val="superscript"/>
        </w:rPr>
        <w:t>141</w:t>
      </w:r>
      <w:r>
        <w:rPr>
          <w:rFonts w:ascii="Arial Narrow" w:eastAsia="Arial Narrow" w:hAnsi="Arial Narrow" w:cs="Arial Narrow"/>
          <w:color w:val="000000"/>
          <w:sz w:val="24"/>
          <w:szCs w:val="24"/>
        </w:rPr>
        <w:t xml:space="preserve"> A secondary analysis of the PEPaNIC study reported that a higher total daily amino acid intake up to day 5 in PICU was associate</w:t>
      </w:r>
      <w:r>
        <w:rPr>
          <w:rFonts w:ascii="Arial Narrow" w:eastAsia="Arial Narrow" w:hAnsi="Arial Narrow" w:cs="Arial Narrow"/>
          <w:color w:val="000000"/>
          <w:sz w:val="24"/>
          <w:szCs w:val="24"/>
        </w:rPr>
        <w:t>d with an increased likelihood of acquiring new infections, and higher total amino acid intakes during the first week were also associated with a lower likelihood of earlier live weaning from mechanical ventilation and a lower likelihood of early live PICU</w:t>
      </w:r>
      <w:r>
        <w:rPr>
          <w:rFonts w:ascii="Arial Narrow" w:eastAsia="Arial Narrow" w:hAnsi="Arial Narrow" w:cs="Arial Narrow"/>
          <w:color w:val="000000"/>
          <w:sz w:val="24"/>
          <w:szCs w:val="24"/>
        </w:rPr>
        <w:t xml:space="preserve"> discharge.</w:t>
      </w:r>
      <w:r>
        <w:rPr>
          <w:rFonts w:ascii="Arial Narrow" w:eastAsia="Arial Narrow" w:hAnsi="Arial Narrow" w:cs="Arial Narrow"/>
          <w:color w:val="000000"/>
          <w:sz w:val="24"/>
          <w:szCs w:val="24"/>
          <w:vertAlign w:val="superscript"/>
        </w:rPr>
        <w:t>126</w:t>
      </w:r>
      <w:r>
        <w:rPr>
          <w:rFonts w:ascii="Arial Narrow" w:eastAsia="Arial Narrow" w:hAnsi="Arial Narrow" w:cs="Arial Narrow"/>
          <w:color w:val="000000"/>
          <w:sz w:val="24"/>
          <w:szCs w:val="24"/>
        </w:rPr>
        <w:t xml:space="preserve"> Sensitivity analyses also showed that higher enteral amino acid intakes increased the likelihood of acquiring new infections. An increased risk of harm was associated with early amino acid administration, even at low doses and gradually incr</w:t>
      </w:r>
      <w:r>
        <w:rPr>
          <w:rFonts w:ascii="Arial Narrow" w:eastAsia="Arial Narrow" w:hAnsi="Arial Narrow" w:cs="Arial Narrow"/>
          <w:color w:val="000000"/>
          <w:sz w:val="24"/>
          <w:szCs w:val="24"/>
        </w:rPr>
        <w:t>eased up to a median of 1.15 g/kg/day for patients weighing up to 10 kg, 0.83 g/kg/day for patients weighing 10–20 kg, and 0.75 g/kg/day for patients weighing more than 20 kg.</w:t>
      </w:r>
      <w:r>
        <w:rPr>
          <w:rFonts w:ascii="Arial Narrow" w:eastAsia="Arial Narrow" w:hAnsi="Arial Narrow" w:cs="Arial Narrow"/>
          <w:color w:val="000000"/>
          <w:sz w:val="24"/>
          <w:szCs w:val="24"/>
          <w:vertAlign w:val="superscript"/>
        </w:rPr>
        <w:t>126</w:t>
      </w:r>
      <w:r>
        <w:rPr>
          <w:rFonts w:ascii="Arial Narrow" w:eastAsia="Arial Narrow" w:hAnsi="Arial Narrow" w:cs="Arial Narrow"/>
          <w:color w:val="000000"/>
          <w:sz w:val="24"/>
          <w:szCs w:val="24"/>
        </w:rPr>
        <w:t xml:space="preserve"> Thus the optimal timing, dose and composition of an optimal amino acid mixtur</w:t>
      </w:r>
      <w:r>
        <w:rPr>
          <w:rFonts w:ascii="Arial Narrow" w:eastAsia="Arial Narrow" w:hAnsi="Arial Narrow" w:cs="Arial Narrow"/>
          <w:color w:val="000000"/>
          <w:sz w:val="24"/>
          <w:szCs w:val="24"/>
        </w:rPr>
        <w:t>e for critically ill children remains unclear, but high doses appear harmful during the acute phase of critical illness. This requires future trials to investigate no or low protein intakes.  </w:t>
      </w:r>
    </w:p>
    <w:p w14:paraId="0000005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Regarding enteral amino acid intake there are some consideratio</w:t>
      </w:r>
      <w:r>
        <w:rPr>
          <w:rFonts w:ascii="Arial Narrow" w:eastAsia="Arial Narrow" w:hAnsi="Arial Narrow" w:cs="Arial Narrow"/>
          <w:color w:val="000000"/>
          <w:sz w:val="24"/>
          <w:szCs w:val="24"/>
        </w:rPr>
        <w:t>ns to take into account. Whereas enteral protein intake in critically ill children is highly influenced by the digestion rate and absorption, parenteral amino acid intake is directly available. Bypassing the intestines and liver, and thus the splanchnic up</w:t>
      </w:r>
      <w:r>
        <w:rPr>
          <w:rFonts w:ascii="Arial Narrow" w:eastAsia="Arial Narrow" w:hAnsi="Arial Narrow" w:cs="Arial Narrow"/>
          <w:color w:val="000000"/>
          <w:sz w:val="24"/>
          <w:szCs w:val="24"/>
        </w:rPr>
        <w:t>take, lowers the total amino acid requirement in parenterally fed children, but can cause significant differences in the availability of specific amino acids.</w:t>
      </w:r>
      <w:r>
        <w:rPr>
          <w:rFonts w:ascii="Arial Narrow" w:eastAsia="Arial Narrow" w:hAnsi="Arial Narrow" w:cs="Arial Narrow"/>
          <w:color w:val="000000"/>
          <w:sz w:val="24"/>
          <w:szCs w:val="24"/>
          <w:vertAlign w:val="superscript"/>
        </w:rPr>
        <w:t>131</w:t>
      </w:r>
      <w:r>
        <w:rPr>
          <w:rFonts w:ascii="Arial Narrow" w:eastAsia="Arial Narrow" w:hAnsi="Arial Narrow" w:cs="Arial Narrow"/>
          <w:color w:val="000000"/>
          <w:sz w:val="24"/>
          <w:szCs w:val="24"/>
        </w:rPr>
        <w:t xml:space="preserve"> Furthermore, the intake of the individual parenteral amino acids is rather variable depending </w:t>
      </w:r>
      <w:r>
        <w:rPr>
          <w:rFonts w:ascii="Arial Narrow" w:eastAsia="Arial Narrow" w:hAnsi="Arial Narrow" w:cs="Arial Narrow"/>
          <w:color w:val="000000"/>
          <w:sz w:val="24"/>
          <w:szCs w:val="24"/>
        </w:rPr>
        <w:t>on the amino acid solutions used. Amino acid solutions are based on the convenience of adequate solubility and stability.</w:t>
      </w:r>
      <w:r>
        <w:rPr>
          <w:rFonts w:ascii="Arial Narrow" w:eastAsia="Arial Narrow" w:hAnsi="Arial Narrow" w:cs="Arial Narrow"/>
          <w:color w:val="000000"/>
          <w:sz w:val="24"/>
          <w:szCs w:val="24"/>
          <w:vertAlign w:val="superscript"/>
        </w:rPr>
        <w:t>143</w:t>
      </w:r>
      <w:r>
        <w:rPr>
          <w:rFonts w:ascii="Arial Narrow" w:eastAsia="Arial Narrow" w:hAnsi="Arial Narrow" w:cs="Arial Narrow"/>
          <w:color w:val="000000"/>
          <w:sz w:val="24"/>
          <w:szCs w:val="24"/>
        </w:rPr>
        <w:t xml:space="preserve"> Although the optimal amino acid composition for PN is uncertain, specific paediatric amino acid solutions are recommended.</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No recom</w:t>
      </w:r>
      <w:r>
        <w:rPr>
          <w:rFonts w:ascii="Arial Narrow" w:eastAsia="Arial Narrow" w:hAnsi="Arial Narrow" w:cs="Arial Narrow"/>
          <w:color w:val="000000"/>
          <w:sz w:val="24"/>
          <w:szCs w:val="24"/>
        </w:rPr>
        <w:t>mendation on the quality and type of enteral protein in critically ill children can be made. </w:t>
      </w:r>
    </w:p>
    <w:p w14:paraId="00000056" w14:textId="77777777" w:rsidR="009935D5" w:rsidRDefault="009935D5">
      <w:pPr>
        <w:spacing w:after="0" w:line="240" w:lineRule="auto"/>
        <w:rPr>
          <w:rFonts w:ascii="Arial Narrow" w:eastAsia="Arial Narrow" w:hAnsi="Arial Narrow" w:cs="Arial Narrow"/>
          <w:sz w:val="24"/>
          <w:szCs w:val="24"/>
        </w:rPr>
      </w:pPr>
    </w:p>
    <w:p w14:paraId="0000005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7.3b: There is insufficient evidence available to support the use of additional protein/amino acid intake during the acute phase of illness (conse</w:t>
      </w:r>
      <w:r>
        <w:rPr>
          <w:rFonts w:ascii="Arial Narrow" w:eastAsia="Arial Narrow" w:hAnsi="Arial Narrow" w:cs="Arial Narrow"/>
          <w:b/>
          <w:color w:val="000000"/>
          <w:sz w:val="24"/>
          <w:szCs w:val="24"/>
        </w:rPr>
        <w:t>nsus)  SIGN grade D</w:t>
      </w:r>
    </w:p>
    <w:p w14:paraId="00000058" w14:textId="77777777" w:rsidR="009935D5" w:rsidRDefault="009935D5">
      <w:pPr>
        <w:spacing w:after="0" w:line="240" w:lineRule="auto"/>
        <w:rPr>
          <w:rFonts w:ascii="Arial Narrow" w:eastAsia="Arial Narrow" w:hAnsi="Arial Narrow" w:cs="Arial Narrow"/>
          <w:sz w:val="24"/>
          <w:szCs w:val="24"/>
        </w:rPr>
      </w:pPr>
    </w:p>
    <w:p w14:paraId="0000005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8</w:t>
      </w:r>
      <w:r>
        <w:rPr>
          <w:rFonts w:ascii="Arial Narrow" w:eastAsia="Arial Narrow" w:hAnsi="Arial Narrow" w:cs="Arial Narrow"/>
          <w:b/>
          <w:color w:val="000000"/>
          <w:sz w:val="24"/>
          <w:szCs w:val="24"/>
        </w:rPr>
        <w:t>: In critically ill children, do different feed formulas (polymeric vs. semi-elemental feed, standard vs. enriched formula) impact on clinical outcomes?</w:t>
      </w:r>
    </w:p>
    <w:p w14:paraId="0000005A" w14:textId="77777777" w:rsidR="009935D5" w:rsidRDefault="009935D5">
      <w:pPr>
        <w:spacing w:after="0" w:line="240" w:lineRule="auto"/>
        <w:rPr>
          <w:rFonts w:ascii="Arial Narrow" w:eastAsia="Arial Narrow" w:hAnsi="Arial Narrow" w:cs="Arial Narrow"/>
          <w:sz w:val="24"/>
          <w:szCs w:val="24"/>
        </w:rPr>
      </w:pPr>
    </w:p>
    <w:p w14:paraId="0000005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E0E0E"/>
          <w:sz w:val="24"/>
          <w:szCs w:val="24"/>
        </w:rPr>
        <w:t>There is a paucity of evidence comparing different feed formulations in</w:t>
      </w:r>
      <w:r>
        <w:rPr>
          <w:rFonts w:ascii="Arial Narrow" w:eastAsia="Arial Narrow" w:hAnsi="Arial Narrow" w:cs="Arial Narrow"/>
          <w:color w:val="0E0E0E"/>
          <w:sz w:val="24"/>
          <w:szCs w:val="24"/>
        </w:rPr>
        <w:t xml:space="preserve"> critically ill children.  Despite the lack of evidence, based on expert opinion, we recommend to use human milk as first choice if available in neonates and infants. If not, a standard polymeric formula should be used. In older children, a standard polyme</w:t>
      </w:r>
      <w:r>
        <w:rPr>
          <w:rFonts w:ascii="Arial Narrow" w:eastAsia="Arial Narrow" w:hAnsi="Arial Narrow" w:cs="Arial Narrow"/>
          <w:color w:val="0E0E0E"/>
          <w:sz w:val="24"/>
          <w:szCs w:val="24"/>
        </w:rPr>
        <w:t xml:space="preserve">ric feed is first choice, again based on expert opinion. </w:t>
      </w:r>
      <w:r>
        <w:rPr>
          <w:rFonts w:ascii="Arial Narrow" w:eastAsia="Arial Narrow" w:hAnsi="Arial Narrow" w:cs="Arial Narrow"/>
          <w:color w:val="000000"/>
          <w:sz w:val="24"/>
          <w:szCs w:val="24"/>
        </w:rPr>
        <w:t>In infants and children who are intolerant of breast milk or conventional formulations, specialised formula milk may be indicated. </w:t>
      </w:r>
    </w:p>
    <w:p w14:paraId="0000005C" w14:textId="77777777" w:rsidR="009935D5" w:rsidRDefault="009935D5">
      <w:pPr>
        <w:spacing w:after="0" w:line="240" w:lineRule="auto"/>
        <w:rPr>
          <w:rFonts w:ascii="Arial Narrow" w:eastAsia="Arial Narrow" w:hAnsi="Arial Narrow" w:cs="Arial Narrow"/>
          <w:sz w:val="24"/>
          <w:szCs w:val="24"/>
        </w:rPr>
      </w:pPr>
    </w:p>
    <w:p w14:paraId="0000005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8.1 Polymeric feeds should be considered as first choice for enteral nutrition in most critically ill children, unless there are contraindications (Strong consensus). SIGN recommendation Grade GCP</w:t>
      </w:r>
    </w:p>
    <w:p w14:paraId="0000005E" w14:textId="77777777" w:rsidR="009935D5" w:rsidRDefault="009935D5">
      <w:pPr>
        <w:spacing w:after="240" w:line="240" w:lineRule="auto"/>
        <w:rPr>
          <w:rFonts w:ascii="Arial Narrow" w:eastAsia="Arial Narrow" w:hAnsi="Arial Narrow" w:cs="Arial Narrow"/>
          <w:sz w:val="24"/>
          <w:szCs w:val="24"/>
        </w:rPr>
      </w:pPr>
    </w:p>
    <w:p w14:paraId="0000005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E0E0E"/>
          <w:sz w:val="24"/>
          <w:szCs w:val="24"/>
          <w:highlight w:val="white"/>
        </w:rPr>
        <w:t>It is often challenging for critically ill children to rec</w:t>
      </w:r>
      <w:r>
        <w:rPr>
          <w:rFonts w:ascii="Arial Narrow" w:eastAsia="Arial Narrow" w:hAnsi="Arial Narrow" w:cs="Arial Narrow"/>
          <w:color w:val="0E0E0E"/>
          <w:sz w:val="24"/>
          <w:szCs w:val="24"/>
          <w:highlight w:val="white"/>
        </w:rPr>
        <w:t>eive their predicted nutritional requirements. Aside from the inability to deliver sufficient amounts of enteral intake to these children, they are often fluid restricted, exacerbating this.</w:t>
      </w:r>
      <w:r>
        <w:rPr>
          <w:rFonts w:ascii="Arial Narrow" w:eastAsia="Arial Narrow" w:hAnsi="Arial Narrow" w:cs="Arial Narrow"/>
          <w:color w:val="0E0E0E"/>
          <w:sz w:val="24"/>
          <w:szCs w:val="24"/>
          <w:highlight w:val="white"/>
          <w:vertAlign w:val="superscript"/>
        </w:rPr>
        <w:t>144-146</w:t>
      </w:r>
      <w:r>
        <w:rPr>
          <w:rFonts w:ascii="Arial Narrow" w:eastAsia="Arial Narrow" w:hAnsi="Arial Narrow" w:cs="Arial Narrow"/>
          <w:color w:val="0E0E0E"/>
          <w:sz w:val="24"/>
          <w:szCs w:val="24"/>
          <w:highlight w:val="white"/>
        </w:rPr>
        <w:t xml:space="preserve"> Furthermore, their critical illness often requires signifi</w:t>
      </w:r>
      <w:r>
        <w:rPr>
          <w:rFonts w:ascii="Arial Narrow" w:eastAsia="Arial Narrow" w:hAnsi="Arial Narrow" w:cs="Arial Narrow"/>
          <w:color w:val="0E0E0E"/>
          <w:sz w:val="24"/>
          <w:szCs w:val="24"/>
          <w:highlight w:val="white"/>
        </w:rPr>
        <w:t xml:space="preserve">cant amounts of medications (adding to their fluid volume load) and further reducing the amounts of nutrition able to be delivered. The use of ready to use nutrient-energy dense formula </w:t>
      </w:r>
      <w:r>
        <w:rPr>
          <w:rFonts w:ascii="Arial Narrow" w:eastAsia="Arial Narrow" w:hAnsi="Arial Narrow" w:cs="Arial Narrow"/>
          <w:color w:val="000000"/>
          <w:sz w:val="24"/>
          <w:szCs w:val="24"/>
        </w:rPr>
        <w:t xml:space="preserve">can improve caloric and protein intake in fluid restricted patients. </w:t>
      </w:r>
      <w:r>
        <w:rPr>
          <w:rFonts w:ascii="Arial Narrow" w:eastAsia="Arial Narrow" w:hAnsi="Arial Narrow" w:cs="Arial Narrow"/>
          <w:color w:val="0E0E0E"/>
          <w:sz w:val="24"/>
          <w:szCs w:val="24"/>
          <w:highlight w:val="white"/>
        </w:rPr>
        <w:t>A</w:t>
      </w:r>
      <w:r>
        <w:rPr>
          <w:rFonts w:ascii="Arial Narrow" w:eastAsia="Arial Narrow" w:hAnsi="Arial Narrow" w:cs="Arial Narrow"/>
          <w:color w:val="0E0E0E"/>
          <w:sz w:val="24"/>
          <w:szCs w:val="24"/>
          <w:highlight w:val="white"/>
        </w:rPr>
        <w:t xml:space="preserve"> protein and energy dense formula might provide larger amounts of nutrients, however the osmotic load of energy enhanced feeds should not exceed 400-450 mOsm/kg water as there is otherwise a risk of osmotic diarrhoea. Two RCTs in infants after congenital h</w:t>
      </w:r>
      <w:r>
        <w:rPr>
          <w:rFonts w:ascii="Arial Narrow" w:eastAsia="Arial Narrow" w:hAnsi="Arial Narrow" w:cs="Arial Narrow"/>
          <w:color w:val="0E0E0E"/>
          <w:sz w:val="24"/>
          <w:szCs w:val="24"/>
          <w:highlight w:val="white"/>
        </w:rPr>
        <w:t>eart surgery were reviewed which compared enriched with standard enteral nutrition.</w:t>
      </w:r>
      <w:r>
        <w:rPr>
          <w:rFonts w:ascii="Arial Narrow" w:eastAsia="Arial Narrow" w:hAnsi="Arial Narrow" w:cs="Arial Narrow"/>
          <w:color w:val="0E0E0E"/>
          <w:sz w:val="24"/>
          <w:szCs w:val="24"/>
          <w:highlight w:val="white"/>
          <w:vertAlign w:val="superscript"/>
        </w:rPr>
        <w:t>147,148</w:t>
      </w:r>
      <w:r>
        <w:rPr>
          <w:rFonts w:ascii="Arial Narrow" w:eastAsia="Arial Narrow" w:hAnsi="Arial Narrow" w:cs="Arial Narrow"/>
          <w:color w:val="0E0E0E"/>
          <w:sz w:val="24"/>
          <w:szCs w:val="24"/>
          <w:highlight w:val="white"/>
        </w:rPr>
        <w:t xml:space="preserve"> One RCT described more weight gain in infants who received energy and protein enriched formula (1 kcal/ml) in comparison with standard formula (0.67 kcal/ml) despite</w:t>
      </w:r>
      <w:r>
        <w:rPr>
          <w:rFonts w:ascii="Arial Narrow" w:eastAsia="Arial Narrow" w:hAnsi="Arial Narrow" w:cs="Arial Narrow"/>
          <w:color w:val="0E0E0E"/>
          <w:sz w:val="24"/>
          <w:szCs w:val="24"/>
          <w:highlight w:val="white"/>
        </w:rPr>
        <w:t xml:space="preserve"> a higher incidence of gastrointestinal intolerance.</w:t>
      </w:r>
      <w:r>
        <w:rPr>
          <w:rFonts w:ascii="Arial Narrow" w:eastAsia="Arial Narrow" w:hAnsi="Arial Narrow" w:cs="Arial Narrow"/>
          <w:color w:val="0E0E0E"/>
          <w:sz w:val="24"/>
          <w:szCs w:val="24"/>
          <w:highlight w:val="white"/>
          <w:vertAlign w:val="superscript"/>
        </w:rPr>
        <w:t>147</w:t>
      </w:r>
      <w:r>
        <w:rPr>
          <w:rFonts w:ascii="Arial Narrow" w:eastAsia="Arial Narrow" w:hAnsi="Arial Narrow" w:cs="Arial Narrow"/>
          <w:color w:val="0E0E0E"/>
          <w:sz w:val="24"/>
          <w:szCs w:val="24"/>
          <w:highlight w:val="white"/>
        </w:rPr>
        <w:t xml:space="preserve"> The other found no differences in length of stay, duration of ventilation, mortality or infection in infants who received enriched breast milk as compared with standard breast milk.</w:t>
      </w:r>
      <w:r>
        <w:rPr>
          <w:rFonts w:ascii="Arial Narrow" w:eastAsia="Arial Narrow" w:hAnsi="Arial Narrow" w:cs="Arial Narrow"/>
          <w:color w:val="0E0E0E"/>
          <w:sz w:val="24"/>
          <w:szCs w:val="24"/>
          <w:highlight w:val="white"/>
          <w:vertAlign w:val="superscript"/>
        </w:rPr>
        <w:t>148</w:t>
      </w:r>
      <w:r>
        <w:rPr>
          <w:rFonts w:ascii="Arial Narrow" w:eastAsia="Arial Narrow" w:hAnsi="Arial Narrow" w:cs="Arial Narrow"/>
          <w:color w:val="0E0E0E"/>
          <w:sz w:val="24"/>
          <w:szCs w:val="24"/>
          <w:highlight w:val="white"/>
        </w:rPr>
        <w:t xml:space="preserve"> No meta-analysi</w:t>
      </w:r>
      <w:r>
        <w:rPr>
          <w:rFonts w:ascii="Arial Narrow" w:eastAsia="Arial Narrow" w:hAnsi="Arial Narrow" w:cs="Arial Narrow"/>
          <w:color w:val="0E0E0E"/>
          <w:sz w:val="24"/>
          <w:szCs w:val="24"/>
          <w:highlight w:val="white"/>
        </w:rPr>
        <w:t>s was possible on these two studies because of the different baseline feeding regiment (infant formula versus breast milk) but also because of insufficient reporting of the data distribution (missing confidence intervals of continuous value outcomes such a</w:t>
      </w:r>
      <w:r>
        <w:rPr>
          <w:rFonts w:ascii="Arial Narrow" w:eastAsia="Arial Narrow" w:hAnsi="Arial Narrow" w:cs="Arial Narrow"/>
          <w:color w:val="0E0E0E"/>
          <w:sz w:val="24"/>
          <w:szCs w:val="24"/>
          <w:highlight w:val="white"/>
        </w:rPr>
        <w:t>s length of stay). Based on these studies and expert opinion we recommend consideration of the use of energy and protein enriched formula in children unable to receive nutritional targets due to fluid restrictions.</w:t>
      </w:r>
    </w:p>
    <w:p w14:paraId="00000060" w14:textId="77777777" w:rsidR="009935D5" w:rsidRDefault="009935D5">
      <w:pPr>
        <w:spacing w:after="0" w:line="240" w:lineRule="auto"/>
        <w:rPr>
          <w:rFonts w:ascii="Arial Narrow" w:eastAsia="Arial Narrow" w:hAnsi="Arial Narrow" w:cs="Arial Narrow"/>
          <w:sz w:val="24"/>
          <w:szCs w:val="24"/>
        </w:rPr>
      </w:pPr>
    </w:p>
    <w:p w14:paraId="0000006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8.2 Protein and energy-dense formulation</w:t>
      </w:r>
      <w:r>
        <w:rPr>
          <w:rFonts w:ascii="Arial Narrow" w:eastAsia="Arial Narrow" w:hAnsi="Arial Narrow" w:cs="Arial Narrow"/>
          <w:b/>
          <w:color w:val="000000"/>
          <w:sz w:val="24"/>
          <w:szCs w:val="24"/>
        </w:rPr>
        <w:t>s may be considered to support achievement of nutritional requirements in fluid-restricted critically ill children (Strong consensus). SIGN recommendation Grade B</w:t>
      </w:r>
    </w:p>
    <w:p w14:paraId="00000062" w14:textId="77777777" w:rsidR="009935D5" w:rsidRDefault="009935D5">
      <w:pPr>
        <w:spacing w:after="0" w:line="240" w:lineRule="auto"/>
        <w:rPr>
          <w:rFonts w:ascii="Arial Narrow" w:eastAsia="Arial Narrow" w:hAnsi="Arial Narrow" w:cs="Arial Narrow"/>
          <w:sz w:val="24"/>
          <w:szCs w:val="24"/>
        </w:rPr>
      </w:pPr>
    </w:p>
    <w:p w14:paraId="0000006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E0E0E"/>
          <w:sz w:val="24"/>
          <w:szCs w:val="24"/>
        </w:rPr>
        <w:t>Although no clear definition of nutritional intolerance exists, it is a widely used argument</w:t>
      </w:r>
      <w:r>
        <w:rPr>
          <w:rFonts w:ascii="Arial Narrow" w:eastAsia="Arial Narrow" w:hAnsi="Arial Narrow" w:cs="Arial Narrow"/>
          <w:color w:val="0E0E0E"/>
          <w:sz w:val="24"/>
          <w:szCs w:val="24"/>
        </w:rPr>
        <w:t xml:space="preserve"> for the difficulties in feeding critically ill children.</w:t>
      </w:r>
      <w:r>
        <w:rPr>
          <w:rFonts w:ascii="Arial Narrow" w:eastAsia="Arial Narrow" w:hAnsi="Arial Narrow" w:cs="Arial Narrow"/>
          <w:color w:val="0E0E0E"/>
          <w:sz w:val="24"/>
          <w:szCs w:val="24"/>
          <w:vertAlign w:val="superscript"/>
        </w:rPr>
        <w:t>149</w:t>
      </w:r>
      <w:r>
        <w:rPr>
          <w:rFonts w:ascii="Arial Narrow" w:eastAsia="Arial Narrow" w:hAnsi="Arial Narrow" w:cs="Arial Narrow"/>
          <w:color w:val="0E0E0E"/>
          <w:sz w:val="24"/>
          <w:szCs w:val="24"/>
        </w:rPr>
        <w:t xml:space="preserve"> Hydrolysed peptide formulations,</w:t>
      </w:r>
      <w:r>
        <w:rPr>
          <w:rFonts w:ascii="Arial Narrow" w:eastAsia="Arial Narrow" w:hAnsi="Arial Narrow" w:cs="Arial Narrow"/>
          <w:b/>
          <w:color w:val="0E0E0E"/>
          <w:sz w:val="24"/>
          <w:szCs w:val="24"/>
        </w:rPr>
        <w:t xml:space="preserve"> </w:t>
      </w:r>
      <w:r>
        <w:rPr>
          <w:rFonts w:ascii="Arial Narrow" w:eastAsia="Arial Narrow" w:hAnsi="Arial Narrow" w:cs="Arial Narrow"/>
          <w:color w:val="0E0E0E"/>
          <w:sz w:val="24"/>
          <w:szCs w:val="24"/>
        </w:rPr>
        <w:t xml:space="preserve">containing casein, whey and soya protein hydrolysates may be useful for infants with disaccharide or whole protein intolerance. Elemental formulations containing </w:t>
      </w:r>
      <w:r>
        <w:rPr>
          <w:rFonts w:ascii="Arial Narrow" w:eastAsia="Arial Narrow" w:hAnsi="Arial Narrow" w:cs="Arial Narrow"/>
          <w:color w:val="0E0E0E"/>
          <w:sz w:val="24"/>
          <w:szCs w:val="24"/>
        </w:rPr>
        <w:t>essential and nonessential amino acids may also be used in infants and children with whole protein intolerance. These feeds have a high osmolality, and a gradual introduction with monitoring of electrolyte and micronutrient status might be considered.</w:t>
      </w:r>
    </w:p>
    <w:p w14:paraId="0000006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One </w:t>
      </w:r>
      <w:r>
        <w:rPr>
          <w:rFonts w:ascii="Arial Narrow" w:eastAsia="Arial Narrow" w:hAnsi="Arial Narrow" w:cs="Arial Narrow"/>
          <w:color w:val="000000"/>
          <w:sz w:val="24"/>
          <w:szCs w:val="24"/>
        </w:rPr>
        <w:t>prospective cohort study evaluated factors associated with the use of peptide-based formulations as first-line enteral feed prescription in critically ill children where enteral feeds were commenced within the first 48 hours of PICU admission.</w:t>
      </w:r>
      <w:r>
        <w:rPr>
          <w:rFonts w:ascii="Arial Narrow" w:eastAsia="Arial Narrow" w:hAnsi="Arial Narrow" w:cs="Arial Narrow"/>
          <w:color w:val="000000"/>
          <w:sz w:val="24"/>
          <w:szCs w:val="24"/>
          <w:vertAlign w:val="superscript"/>
        </w:rPr>
        <w:t>150</w:t>
      </w:r>
      <w:r>
        <w:rPr>
          <w:rFonts w:ascii="Arial Narrow" w:eastAsia="Arial Narrow" w:hAnsi="Arial Narrow" w:cs="Arial Narrow"/>
          <w:color w:val="000000"/>
          <w:sz w:val="24"/>
          <w:szCs w:val="24"/>
        </w:rPr>
        <w:t xml:space="preserve"> They foun</w:t>
      </w:r>
      <w:r>
        <w:rPr>
          <w:rFonts w:ascii="Arial Narrow" w:eastAsia="Arial Narrow" w:hAnsi="Arial Narrow" w:cs="Arial Narrow"/>
          <w:color w:val="000000"/>
          <w:sz w:val="24"/>
          <w:szCs w:val="24"/>
        </w:rPr>
        <w:t>d that physicians’ decision to use peptide-based formulation was greater in malnourished children, children who required fasting for more than 48h and children on α-adrenergic drugs. The use of peptide-based formulation was also associated with higher mort</w:t>
      </w:r>
      <w:r>
        <w:rPr>
          <w:rFonts w:ascii="Arial Narrow" w:eastAsia="Arial Narrow" w:hAnsi="Arial Narrow" w:cs="Arial Narrow"/>
          <w:color w:val="000000"/>
          <w:sz w:val="24"/>
          <w:szCs w:val="24"/>
        </w:rPr>
        <w:t>ality and prolonged duration of invasive ventilation and intensive care stay, which might indicate the use in the more severely ill patient. Thus, a high selection bias in this study prevents strong conclusions. Based on expert opinion, we recommend consid</w:t>
      </w:r>
      <w:r>
        <w:rPr>
          <w:rFonts w:ascii="Arial Narrow" w:eastAsia="Arial Narrow" w:hAnsi="Arial Narrow" w:cs="Arial Narrow"/>
          <w:color w:val="000000"/>
          <w:sz w:val="24"/>
          <w:szCs w:val="24"/>
        </w:rPr>
        <w:t>ering peptide-based formulas in children for whom polymeric formulation is contra-indicated or poorly tolerated.</w:t>
      </w:r>
    </w:p>
    <w:p w14:paraId="00000065" w14:textId="77777777" w:rsidR="009935D5" w:rsidRDefault="009935D5">
      <w:pPr>
        <w:spacing w:after="0" w:line="240" w:lineRule="auto"/>
        <w:rPr>
          <w:rFonts w:ascii="Arial Narrow" w:eastAsia="Arial Narrow" w:hAnsi="Arial Narrow" w:cs="Arial Narrow"/>
          <w:sz w:val="24"/>
          <w:szCs w:val="24"/>
        </w:rPr>
      </w:pPr>
    </w:p>
    <w:p w14:paraId="0000006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8.3 Peptide-based formulations may be considered to improve tolerance and progression of enteral feeding in children for whom polymeric formul</w:t>
      </w:r>
      <w:r>
        <w:rPr>
          <w:rFonts w:ascii="Arial Narrow" w:eastAsia="Arial Narrow" w:hAnsi="Arial Narrow" w:cs="Arial Narrow"/>
          <w:b/>
          <w:color w:val="000000"/>
          <w:sz w:val="24"/>
          <w:szCs w:val="24"/>
        </w:rPr>
        <w:t>ation is contra-indicated or poorly tolerated (Strong consensus). SIGN recommendation Grade GCP</w:t>
      </w:r>
    </w:p>
    <w:p w14:paraId="00000067" w14:textId="77777777" w:rsidR="009935D5" w:rsidRDefault="009935D5">
      <w:pPr>
        <w:spacing w:after="0" w:line="240" w:lineRule="auto"/>
        <w:rPr>
          <w:rFonts w:ascii="Arial Narrow" w:eastAsia="Arial Narrow" w:hAnsi="Arial Narrow" w:cs="Arial Narrow"/>
          <w:sz w:val="24"/>
          <w:szCs w:val="24"/>
        </w:rPr>
      </w:pPr>
    </w:p>
    <w:p w14:paraId="0000006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9</w:t>
      </w:r>
      <w:r>
        <w:rPr>
          <w:rFonts w:ascii="Arial Narrow" w:eastAsia="Arial Narrow" w:hAnsi="Arial Narrow" w:cs="Arial Narrow"/>
          <w:b/>
          <w:color w:val="000000"/>
          <w:sz w:val="24"/>
          <w:szCs w:val="24"/>
        </w:rPr>
        <w:t>: In critically ill children, does pharmaconutrition (glutamine, lipids and/or micronutrients) impact on clinical outcomes?</w:t>
      </w:r>
    </w:p>
    <w:p w14:paraId="0000006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highlight w:val="white"/>
        </w:rPr>
        <w:t>Pharmaconutrition is defined as the use of nutrients in supraphysiological amounts to impact on metabolic pathways such as immunomodulation. Although</w:t>
      </w:r>
      <w:r>
        <w:rPr>
          <w:rFonts w:ascii="Arial Narrow" w:eastAsia="Arial Narrow" w:hAnsi="Arial Narrow" w:cs="Arial Narrow"/>
          <w:color w:val="000000"/>
          <w:sz w:val="24"/>
          <w:szCs w:val="24"/>
        </w:rPr>
        <w:t xml:space="preserve"> there has been considerable interest in the immune modulating effects of specific nutrients, there remains</w:t>
      </w:r>
      <w:r>
        <w:rPr>
          <w:rFonts w:ascii="Arial Narrow" w:eastAsia="Arial Narrow" w:hAnsi="Arial Narrow" w:cs="Arial Narrow"/>
          <w:color w:val="000000"/>
          <w:sz w:val="24"/>
          <w:szCs w:val="24"/>
        </w:rPr>
        <w:t xml:space="preserve"> a paucity of data in critically ill children.</w:t>
      </w:r>
      <w:r>
        <w:rPr>
          <w:rFonts w:ascii="Arial Narrow" w:eastAsia="Arial Narrow" w:hAnsi="Arial Narrow" w:cs="Arial Narrow"/>
          <w:color w:val="000000"/>
          <w:sz w:val="24"/>
          <w:szCs w:val="24"/>
          <w:vertAlign w:val="superscript"/>
        </w:rPr>
        <w:t>151-1</w:t>
      </w:r>
      <w:r>
        <w:rPr>
          <w:rFonts w:ascii="Arial Narrow" w:eastAsia="Arial Narrow" w:hAnsi="Arial Narrow" w:cs="Arial Narrow"/>
          <w:color w:val="000000"/>
          <w:sz w:val="24"/>
          <w:szCs w:val="24"/>
          <w:highlight w:val="white"/>
          <w:vertAlign w:val="superscript"/>
        </w:rPr>
        <w:t>54</w:t>
      </w:r>
      <w:r>
        <w:rPr>
          <w:rFonts w:ascii="Arial Narrow" w:eastAsia="Arial Narrow" w:hAnsi="Arial Narrow" w:cs="Arial Narrow"/>
          <w:color w:val="000000"/>
          <w:sz w:val="24"/>
          <w:szCs w:val="24"/>
          <w:highlight w:val="white"/>
        </w:rPr>
        <w:t xml:space="preserve"> In children, the use of glutamine remains largely undefined with paucity of data regarding the benefits of glutamine as a pharmacological agent in paediatric critical illness.</w:t>
      </w:r>
      <w:r>
        <w:rPr>
          <w:rFonts w:ascii="Arial Narrow" w:eastAsia="Arial Narrow" w:hAnsi="Arial Narrow" w:cs="Arial Narrow"/>
          <w:color w:val="000000"/>
          <w:sz w:val="24"/>
          <w:szCs w:val="24"/>
          <w:highlight w:val="white"/>
          <w:vertAlign w:val="superscript"/>
        </w:rPr>
        <w:t>154</w:t>
      </w:r>
      <w:r>
        <w:rPr>
          <w:rFonts w:ascii="Arial Narrow" w:eastAsia="Arial Narrow" w:hAnsi="Arial Narrow" w:cs="Arial Narrow"/>
          <w:color w:val="000000"/>
          <w:sz w:val="24"/>
          <w:szCs w:val="24"/>
          <w:highlight w:val="white"/>
        </w:rPr>
        <w:t xml:space="preserve"> Conflicting results wit</w:t>
      </w:r>
      <w:r>
        <w:rPr>
          <w:rFonts w:ascii="Arial Narrow" w:eastAsia="Arial Narrow" w:hAnsi="Arial Narrow" w:cs="Arial Narrow"/>
          <w:color w:val="000000"/>
          <w:sz w:val="24"/>
          <w:szCs w:val="24"/>
          <w:highlight w:val="white"/>
        </w:rPr>
        <w:t>h respect to the benefits of glutamine supplementation have been reported in preterm infants, infants with gastrointestinal disease and surgery, burns and malnutrition.</w:t>
      </w:r>
      <w:r>
        <w:rPr>
          <w:rFonts w:ascii="Arial Narrow" w:eastAsia="Arial Narrow" w:hAnsi="Arial Narrow" w:cs="Arial Narrow"/>
          <w:color w:val="000000"/>
          <w:sz w:val="24"/>
          <w:szCs w:val="24"/>
          <w:highlight w:val="white"/>
          <w:vertAlign w:val="superscript"/>
        </w:rPr>
        <w:t>155-160</w:t>
      </w:r>
      <w:r>
        <w:rPr>
          <w:rFonts w:ascii="Arial Narrow" w:eastAsia="Arial Narrow" w:hAnsi="Arial Narrow" w:cs="Arial Narrow"/>
          <w:color w:val="000000"/>
          <w:sz w:val="24"/>
          <w:szCs w:val="24"/>
          <w:highlight w:val="white"/>
        </w:rPr>
        <w:t xml:space="preserve"> In children, two randomized studies investigated solely glutamine supplemented</w:t>
      </w:r>
      <w:r>
        <w:rPr>
          <w:rFonts w:ascii="Arial Narrow" w:eastAsia="Arial Narrow" w:hAnsi="Arial Narrow" w:cs="Arial Narrow"/>
          <w:color w:val="000000"/>
          <w:sz w:val="24"/>
          <w:szCs w:val="24"/>
        </w:rPr>
        <w:t xml:space="preserve"> P</w:t>
      </w:r>
      <w:r>
        <w:rPr>
          <w:rFonts w:ascii="Arial Narrow" w:eastAsia="Arial Narrow" w:hAnsi="Arial Narrow" w:cs="Arial Narrow"/>
          <w:color w:val="000000"/>
          <w:sz w:val="24"/>
          <w:szCs w:val="24"/>
        </w:rPr>
        <w:t>N</w:t>
      </w:r>
      <w:r>
        <w:rPr>
          <w:rFonts w:ascii="Arial Narrow" w:eastAsia="Arial Narrow" w:hAnsi="Arial Narrow" w:cs="Arial Narrow"/>
          <w:color w:val="000000"/>
          <w:sz w:val="24"/>
          <w:szCs w:val="24"/>
          <w:vertAlign w:val="superscript"/>
        </w:rPr>
        <w:t>157,158</w:t>
      </w:r>
      <w:r>
        <w:rPr>
          <w:rFonts w:ascii="Arial Narrow" w:eastAsia="Arial Narrow" w:hAnsi="Arial Narrow" w:cs="Arial Narrow"/>
          <w:color w:val="000000"/>
          <w:sz w:val="24"/>
          <w:szCs w:val="24"/>
        </w:rPr>
        <w:t>; one observational study investigated solely glutamine enteral supplementation ; two randomized studies investigated a supplemental pharmaconutrition enteral cocktail (including glutamine)</w:t>
      </w:r>
      <w:r>
        <w:rPr>
          <w:rFonts w:ascii="Arial Narrow" w:eastAsia="Arial Narrow" w:hAnsi="Arial Narrow" w:cs="Arial Narrow"/>
          <w:color w:val="000000"/>
          <w:sz w:val="24"/>
          <w:szCs w:val="24"/>
          <w:vertAlign w:val="superscript"/>
        </w:rPr>
        <w:t>153-155</w:t>
      </w:r>
      <w:r>
        <w:rPr>
          <w:rFonts w:ascii="Arial Narrow" w:eastAsia="Arial Narrow" w:hAnsi="Arial Narrow" w:cs="Arial Narrow"/>
          <w:color w:val="000000"/>
          <w:sz w:val="24"/>
          <w:szCs w:val="24"/>
        </w:rPr>
        <w:t>. Two studies found a positive effect of enteral glu</w:t>
      </w:r>
      <w:r>
        <w:rPr>
          <w:rFonts w:ascii="Arial Narrow" w:eastAsia="Arial Narrow" w:hAnsi="Arial Narrow" w:cs="Arial Narrow"/>
          <w:color w:val="000000"/>
          <w:sz w:val="24"/>
          <w:szCs w:val="24"/>
        </w:rPr>
        <w:t>tamine supplementation in the mediation of inflammation</w:t>
      </w:r>
      <w:r>
        <w:rPr>
          <w:rFonts w:ascii="Arial Narrow" w:eastAsia="Arial Narrow" w:hAnsi="Arial Narrow" w:cs="Arial Narrow"/>
          <w:color w:val="000000"/>
          <w:sz w:val="24"/>
          <w:szCs w:val="24"/>
          <w:vertAlign w:val="superscript"/>
        </w:rPr>
        <w:t>153,155</w:t>
      </w:r>
      <w:r>
        <w:rPr>
          <w:rFonts w:ascii="Arial Narrow" w:eastAsia="Arial Narrow" w:hAnsi="Arial Narrow" w:cs="Arial Narrow"/>
          <w:color w:val="000000"/>
          <w:sz w:val="24"/>
          <w:szCs w:val="24"/>
        </w:rPr>
        <w:t xml:space="preserve">. </w:t>
      </w:r>
      <w:r>
        <w:rPr>
          <w:rFonts w:ascii="Arial Narrow" w:eastAsia="Arial Narrow" w:hAnsi="Arial Narrow" w:cs="Arial Narrow"/>
          <w:color w:val="000000"/>
          <w:sz w:val="24"/>
          <w:szCs w:val="24"/>
          <w:highlight w:val="white"/>
        </w:rPr>
        <w:t xml:space="preserve">However, no impact on clinical outcomes was found. The specific impact of glutamine cannot be delineated from the impact of other nutrients in these studies. A meta-analysis including the two </w:t>
      </w:r>
      <w:r>
        <w:rPr>
          <w:rFonts w:ascii="Arial Narrow" w:eastAsia="Arial Narrow" w:hAnsi="Arial Narrow" w:cs="Arial Narrow"/>
          <w:color w:val="000000"/>
          <w:sz w:val="24"/>
          <w:szCs w:val="24"/>
          <w:highlight w:val="white"/>
        </w:rPr>
        <w:t xml:space="preserve">solely parenteral glutamine supplementation randomized studies showed no reduction in </w:t>
      </w:r>
      <w:r>
        <w:rPr>
          <w:rFonts w:ascii="Arial Narrow" w:eastAsia="Arial Narrow" w:hAnsi="Arial Narrow" w:cs="Arial Narrow"/>
          <w:color w:val="000000"/>
          <w:sz w:val="24"/>
          <w:szCs w:val="24"/>
        </w:rPr>
        <w:t>mortality (OR 0.75 [95%C 0.09-6.00]) or the occurrence of new infections (OR 1.47 [95%CI 0.89-2.43]) (Meta-analysis 2 and 3; supplementary fil 6). In conclusion, there is</w:t>
      </w:r>
      <w:r>
        <w:rPr>
          <w:rFonts w:ascii="Arial Narrow" w:eastAsia="Arial Narrow" w:hAnsi="Arial Narrow" w:cs="Arial Narrow"/>
          <w:color w:val="000000"/>
          <w:sz w:val="24"/>
          <w:szCs w:val="24"/>
        </w:rPr>
        <w:t xml:space="preserve"> at present insufficient evidence to recommend the routine use of glutamine supplementation in paediatric</w:t>
      </w:r>
      <w:r>
        <w:rPr>
          <w:rFonts w:ascii="Arial Narrow" w:eastAsia="Arial Narrow" w:hAnsi="Arial Narrow" w:cs="Arial Narrow"/>
          <w:color w:val="000000"/>
          <w:sz w:val="24"/>
          <w:szCs w:val="24"/>
          <w:highlight w:val="white"/>
        </w:rPr>
        <w:t xml:space="preserve"> critical illness.</w:t>
      </w:r>
      <w:r>
        <w:rPr>
          <w:rFonts w:ascii="Arial Narrow" w:eastAsia="Arial Narrow" w:hAnsi="Arial Narrow" w:cs="Arial Narrow"/>
          <w:b/>
          <w:color w:val="000000"/>
          <w:sz w:val="24"/>
          <w:szCs w:val="24"/>
          <w:highlight w:val="white"/>
        </w:rPr>
        <w:t> </w:t>
      </w:r>
      <w:r>
        <w:rPr>
          <w:rFonts w:ascii="Arial Narrow" w:eastAsia="Arial Narrow" w:hAnsi="Arial Narrow" w:cs="Arial Narrow"/>
          <w:color w:val="000000"/>
          <w:sz w:val="24"/>
          <w:szCs w:val="24"/>
        </w:rPr>
        <w:t xml:space="preserve">Immune enhancing diets containing pharmaconutrients including zinc, selenium, vitamin C may modulate the release of proinflammatory </w:t>
      </w:r>
      <w:r>
        <w:rPr>
          <w:rFonts w:ascii="Arial Narrow" w:eastAsia="Arial Narrow" w:hAnsi="Arial Narrow" w:cs="Arial Narrow"/>
          <w:color w:val="000000"/>
          <w:sz w:val="24"/>
          <w:szCs w:val="24"/>
        </w:rPr>
        <w:t>mediators. However, no effect on clinical outcomes including length of PICU stay, mortality and morbidity have been demonstrated. A small randomized trial which compared an enteral feed containing arginine, glutamine, omega 3 fatty acids and antioxidants (</w:t>
      </w:r>
      <w:r>
        <w:rPr>
          <w:rFonts w:ascii="Arial Narrow" w:eastAsia="Arial Narrow" w:hAnsi="Arial Narrow" w:cs="Arial Narrow"/>
          <w:color w:val="000000"/>
          <w:sz w:val="24"/>
          <w:szCs w:val="24"/>
        </w:rPr>
        <w:t>vitamin C, selenium and zinc) compared to a standard enteral feed in PICU patients found no difference in inflammatory mediators, secondary infections, duration of mechanical ventilation, length of stay or mortality rates.</w:t>
      </w:r>
      <w:r>
        <w:rPr>
          <w:rFonts w:ascii="Arial Narrow" w:eastAsia="Arial Narrow" w:hAnsi="Arial Narrow" w:cs="Arial Narrow"/>
          <w:color w:val="000000"/>
          <w:sz w:val="24"/>
          <w:szCs w:val="24"/>
          <w:vertAlign w:val="superscript"/>
        </w:rPr>
        <w:t>153</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An RCT on the use of Zinc supp</w:t>
      </w:r>
      <w:r>
        <w:rPr>
          <w:rFonts w:ascii="Arial Narrow" w:eastAsia="Arial Narrow" w:hAnsi="Arial Narrow" w:cs="Arial Narrow"/>
          <w:color w:val="000000"/>
          <w:sz w:val="24"/>
          <w:szCs w:val="24"/>
        </w:rPr>
        <w:t>lementation in critically ill infants found no difference in lung injury score length of hospital stay, and duration of mechanical ventilation.</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Zinc supplementation did not prevent infection in critically ill children, but supplementation may benefit those</w:t>
      </w:r>
      <w:r>
        <w:rPr>
          <w:rFonts w:ascii="Arial Narrow" w:eastAsia="Arial Narrow" w:hAnsi="Arial Narrow" w:cs="Arial Narrow"/>
          <w:color w:val="000000"/>
          <w:sz w:val="24"/>
          <w:szCs w:val="24"/>
        </w:rPr>
        <w:t xml:space="preserve"> who are found to be deficient, particularly during the rehabilitation phase.</w:t>
      </w:r>
      <w:r>
        <w:rPr>
          <w:rFonts w:ascii="Arial Narrow" w:eastAsia="Arial Narrow" w:hAnsi="Arial Narrow" w:cs="Arial Narrow"/>
          <w:color w:val="000000"/>
          <w:sz w:val="24"/>
          <w:szCs w:val="24"/>
          <w:vertAlign w:val="superscript"/>
        </w:rPr>
        <w:t>161</w:t>
      </w:r>
      <w:r>
        <w:rPr>
          <w:rFonts w:ascii="Arial Narrow" w:eastAsia="Arial Narrow" w:hAnsi="Arial Narrow" w:cs="Arial Narrow"/>
          <w:color w:val="000000"/>
          <w:sz w:val="24"/>
          <w:szCs w:val="24"/>
        </w:rPr>
        <w:t xml:space="preserve"> Vitamin D deficiency in PICU setting is prevalent and associated with greater illness severity, multiple organ dysfunction, and mortality.</w:t>
      </w:r>
      <w:r>
        <w:rPr>
          <w:rFonts w:ascii="Arial Narrow" w:eastAsia="Arial Narrow" w:hAnsi="Arial Narrow" w:cs="Arial Narrow"/>
          <w:color w:val="000000"/>
          <w:sz w:val="24"/>
          <w:szCs w:val="24"/>
          <w:vertAlign w:val="superscript"/>
        </w:rPr>
        <w:t>162</w:t>
      </w:r>
      <w:r>
        <w:rPr>
          <w:rFonts w:ascii="Arial Narrow" w:eastAsia="Arial Narrow" w:hAnsi="Arial Narrow" w:cs="Arial Narrow"/>
          <w:color w:val="000000"/>
          <w:sz w:val="24"/>
          <w:szCs w:val="24"/>
        </w:rPr>
        <w:t xml:space="preserve"> Vitamin D deficiency is common am</w:t>
      </w:r>
      <w:r>
        <w:rPr>
          <w:rFonts w:ascii="Arial Narrow" w:eastAsia="Arial Narrow" w:hAnsi="Arial Narrow" w:cs="Arial Narrow"/>
          <w:color w:val="000000"/>
          <w:sz w:val="24"/>
          <w:szCs w:val="24"/>
        </w:rPr>
        <w:t>ongst critically ill children, particularly those in northern latitudes, and should be monitored in at risk groups; such as breastfed infants and children with chronic disease.</w:t>
      </w:r>
      <w:r>
        <w:rPr>
          <w:rFonts w:ascii="Arial Narrow" w:eastAsia="Arial Narrow" w:hAnsi="Arial Narrow" w:cs="Arial Narrow"/>
          <w:color w:val="000000"/>
          <w:sz w:val="24"/>
          <w:szCs w:val="24"/>
          <w:vertAlign w:val="superscript"/>
        </w:rPr>
        <w:t>162</w:t>
      </w:r>
      <w:r>
        <w:rPr>
          <w:rFonts w:ascii="Arial Narrow" w:eastAsia="Arial Narrow" w:hAnsi="Arial Narrow" w:cs="Arial Narrow"/>
          <w:color w:val="000000"/>
          <w:sz w:val="24"/>
          <w:szCs w:val="24"/>
        </w:rPr>
        <w:t xml:space="preserve"> A previously published meta-analysis found the average 25(OH) vitamin D leve</w:t>
      </w:r>
      <w:r>
        <w:rPr>
          <w:rFonts w:ascii="Arial Narrow" w:eastAsia="Arial Narrow" w:hAnsi="Arial Narrow" w:cs="Arial Narrow"/>
          <w:color w:val="000000"/>
          <w:sz w:val="24"/>
          <w:szCs w:val="24"/>
        </w:rPr>
        <w:t>ls to be significantly lower in critically ill children than in healthy children with an association with culture positive sepsis, and increased mortality.</w:t>
      </w:r>
      <w:r>
        <w:rPr>
          <w:rFonts w:ascii="Arial Narrow" w:eastAsia="Arial Narrow" w:hAnsi="Arial Narrow" w:cs="Arial Narrow"/>
          <w:color w:val="000000"/>
          <w:sz w:val="24"/>
          <w:szCs w:val="24"/>
          <w:vertAlign w:val="superscript"/>
        </w:rPr>
        <w:t>162</w:t>
      </w:r>
      <w:r>
        <w:rPr>
          <w:rFonts w:ascii="Arial Narrow" w:eastAsia="Arial Narrow" w:hAnsi="Arial Narrow" w:cs="Arial Narrow"/>
          <w:color w:val="000000"/>
          <w:sz w:val="24"/>
          <w:szCs w:val="24"/>
        </w:rPr>
        <w:t xml:space="preserve"> Another RCT examined the effect of vitamin D supplementation in critically ill children with ther</w:t>
      </w:r>
      <w:r>
        <w:rPr>
          <w:rFonts w:ascii="Arial Narrow" w:eastAsia="Arial Narrow" w:hAnsi="Arial Narrow" w:cs="Arial Narrow"/>
          <w:color w:val="000000"/>
          <w:sz w:val="24"/>
          <w:szCs w:val="24"/>
        </w:rPr>
        <w:t>mal injuries and found no significant differences in serum vitamin D levels between groups; although &gt;10% of patients had low 25 (OH)D levels at the point of discharge.</w:t>
      </w:r>
      <w:r>
        <w:rPr>
          <w:rFonts w:ascii="Arial Narrow" w:eastAsia="Arial Narrow" w:hAnsi="Arial Narrow" w:cs="Arial Narrow"/>
          <w:color w:val="000000"/>
          <w:sz w:val="24"/>
          <w:szCs w:val="24"/>
          <w:vertAlign w:val="superscript"/>
        </w:rPr>
        <w:t>163</w:t>
      </w:r>
      <w:r>
        <w:rPr>
          <w:rFonts w:ascii="Arial Narrow" w:eastAsia="Arial Narrow" w:hAnsi="Arial Narrow" w:cs="Arial Narrow"/>
          <w:color w:val="000000"/>
          <w:sz w:val="24"/>
          <w:szCs w:val="24"/>
          <w:highlight w:val="white"/>
        </w:rPr>
        <w:t xml:space="preserve"> There is some evidence suggesting vitamin D supplementation could be beneficial in critically ill children found to be deficient, but no evidence regarding pharmaconutrition.</w:t>
      </w:r>
    </w:p>
    <w:p w14:paraId="0000006A" w14:textId="77777777" w:rsidR="009935D5" w:rsidRDefault="009935D5">
      <w:pPr>
        <w:spacing w:after="0" w:line="240" w:lineRule="auto"/>
        <w:rPr>
          <w:rFonts w:ascii="Arial Narrow" w:eastAsia="Arial Narrow" w:hAnsi="Arial Narrow" w:cs="Arial Narrow"/>
          <w:sz w:val="24"/>
          <w:szCs w:val="24"/>
        </w:rPr>
      </w:pPr>
    </w:p>
    <w:p w14:paraId="0000006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9.1: There is insufficient evidence to recommend the use of phar</w:t>
      </w:r>
      <w:r>
        <w:rPr>
          <w:rFonts w:ascii="Arial Narrow" w:eastAsia="Arial Narrow" w:hAnsi="Arial Narrow" w:cs="Arial Narrow"/>
          <w:b/>
          <w:color w:val="000000"/>
          <w:sz w:val="24"/>
          <w:szCs w:val="24"/>
        </w:rPr>
        <w:t>maconutrition in critically ill children. (Strong consensus) SIGN recommendation Grade B</w:t>
      </w:r>
    </w:p>
    <w:p w14:paraId="0000006C" w14:textId="77777777" w:rsidR="009935D5" w:rsidRDefault="009935D5">
      <w:pPr>
        <w:spacing w:after="0" w:line="240" w:lineRule="auto"/>
        <w:rPr>
          <w:rFonts w:ascii="Arial Narrow" w:eastAsia="Arial Narrow" w:hAnsi="Arial Narrow" w:cs="Arial Narrow"/>
          <w:sz w:val="24"/>
          <w:szCs w:val="24"/>
        </w:rPr>
      </w:pPr>
    </w:p>
    <w:p w14:paraId="0000006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10</w:t>
      </w:r>
      <w:r>
        <w:rPr>
          <w:rFonts w:ascii="Arial Narrow" w:eastAsia="Arial Narrow" w:hAnsi="Arial Narrow" w:cs="Arial Narrow"/>
          <w:b/>
          <w:color w:val="000000"/>
          <w:sz w:val="24"/>
          <w:szCs w:val="24"/>
        </w:rPr>
        <w:t>: In critically ill children, does continuous feeding compared to intermittent bolus gastric feeding impact on outcomes? </w:t>
      </w:r>
    </w:p>
    <w:p w14:paraId="0000006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Enteral gastric feeding can be de</w:t>
      </w:r>
      <w:r>
        <w:rPr>
          <w:rFonts w:ascii="Arial Narrow" w:eastAsia="Arial Narrow" w:hAnsi="Arial Narrow" w:cs="Arial Narrow"/>
          <w:color w:val="000000"/>
          <w:sz w:val="24"/>
          <w:szCs w:val="24"/>
        </w:rPr>
        <w:t>livered by different methods, either continuously (via a pump), intermittently (via pump over a defined time period) or bolus (usually via gravity in a syringe). There are few studies to determine the best method. The studies retrieved compared the deliver</w:t>
      </w:r>
      <w:r>
        <w:rPr>
          <w:rFonts w:ascii="Arial Narrow" w:eastAsia="Arial Narrow" w:hAnsi="Arial Narrow" w:cs="Arial Narrow"/>
          <w:color w:val="000000"/>
          <w:sz w:val="24"/>
          <w:szCs w:val="24"/>
        </w:rPr>
        <w:t>y of gastric feeds either continuously with a feeding pump or as two or four hourly bolus feeding with a syringe (by gravity) or feeding pump respectively.</w:t>
      </w:r>
      <w:r>
        <w:rPr>
          <w:rFonts w:ascii="Arial Narrow" w:eastAsia="Arial Narrow" w:hAnsi="Arial Narrow" w:cs="Arial Narrow"/>
          <w:color w:val="000000"/>
          <w:sz w:val="24"/>
          <w:szCs w:val="24"/>
          <w:vertAlign w:val="superscript"/>
        </w:rPr>
        <w:t>164-166</w:t>
      </w:r>
      <w:r>
        <w:rPr>
          <w:rFonts w:ascii="Arial Narrow" w:eastAsia="Arial Narrow" w:hAnsi="Arial Narrow" w:cs="Arial Narrow"/>
          <w:color w:val="000000"/>
          <w:sz w:val="24"/>
          <w:szCs w:val="24"/>
        </w:rPr>
        <w:t xml:space="preserve"> A meta-analysis of two small RCTs showed no differences in the tolerance of gastric feeding i</w:t>
      </w:r>
      <w:r>
        <w:rPr>
          <w:rFonts w:ascii="Arial Narrow" w:eastAsia="Arial Narrow" w:hAnsi="Arial Narrow" w:cs="Arial Narrow"/>
          <w:color w:val="000000"/>
          <w:sz w:val="24"/>
          <w:szCs w:val="24"/>
        </w:rPr>
        <w:t>n terms of diarrhea (OR 1.06, [95% CI 0.30-3.73]) or vomiting (OR 1.11, [95% CI 0.41-3.01]) when comparing continuous feeding and intermittent/bolus feeding (Meta-analysis 4 and 5; supplementary file 6). One small RCT suggested that energy goals may be ach</w:t>
      </w:r>
      <w:r>
        <w:rPr>
          <w:rFonts w:ascii="Arial Narrow" w:eastAsia="Arial Narrow" w:hAnsi="Arial Narrow" w:cs="Arial Narrow"/>
          <w:color w:val="000000"/>
          <w:sz w:val="24"/>
          <w:szCs w:val="24"/>
        </w:rPr>
        <w:t>ieved faster when children were fed continuously.</w:t>
      </w:r>
      <w:r>
        <w:rPr>
          <w:rFonts w:ascii="Arial Narrow" w:eastAsia="Arial Narrow" w:hAnsi="Arial Narrow" w:cs="Arial Narrow"/>
          <w:color w:val="000000"/>
          <w:sz w:val="24"/>
          <w:szCs w:val="24"/>
          <w:vertAlign w:val="superscript"/>
        </w:rPr>
        <w:t>166</w:t>
      </w:r>
      <w:r>
        <w:rPr>
          <w:rFonts w:ascii="Arial Narrow" w:eastAsia="Arial Narrow" w:hAnsi="Arial Narrow" w:cs="Arial Narrow"/>
          <w:color w:val="000000"/>
          <w:sz w:val="24"/>
          <w:szCs w:val="24"/>
        </w:rPr>
        <w:t xml:space="preserve"> In children with congenital heart disease undergoing stage 1 corrective surgery (Norwood/Hybrid) there was no significant difference in growth parameters when comparing bolus feeds, with a combination of</w:t>
      </w:r>
      <w:r>
        <w:rPr>
          <w:rFonts w:ascii="Arial Narrow" w:eastAsia="Arial Narrow" w:hAnsi="Arial Narrow" w:cs="Arial Narrow"/>
          <w:color w:val="000000"/>
          <w:sz w:val="24"/>
          <w:szCs w:val="24"/>
        </w:rPr>
        <w:t xml:space="preserve"> continuous and bolus feeding in the short term, but there was no long-term follow-up.</w:t>
      </w:r>
      <w:r>
        <w:rPr>
          <w:rFonts w:ascii="Arial Narrow" w:eastAsia="Arial Narrow" w:hAnsi="Arial Narrow" w:cs="Arial Narrow"/>
          <w:color w:val="000000"/>
          <w:sz w:val="24"/>
          <w:szCs w:val="24"/>
          <w:vertAlign w:val="superscript"/>
        </w:rPr>
        <w:t>167</w:t>
      </w:r>
      <w:r>
        <w:rPr>
          <w:rFonts w:ascii="Arial Narrow" w:eastAsia="Arial Narrow" w:hAnsi="Arial Narrow" w:cs="Arial Narrow"/>
          <w:color w:val="000000"/>
          <w:sz w:val="24"/>
          <w:szCs w:val="24"/>
        </w:rPr>
        <w:t xml:space="preserve"> Both adult critical care studies and studies in preterm infants (&lt;1500g) have shown mixed results regarding feeding method and no superiority of either method.</w:t>
      </w:r>
      <w:r>
        <w:rPr>
          <w:rFonts w:ascii="Arial Narrow" w:eastAsia="Arial Narrow" w:hAnsi="Arial Narrow" w:cs="Arial Narrow"/>
          <w:color w:val="000000"/>
          <w:sz w:val="24"/>
          <w:szCs w:val="24"/>
          <w:vertAlign w:val="superscript"/>
        </w:rPr>
        <w:t>168</w:t>
      </w:r>
      <w:r>
        <w:rPr>
          <w:rFonts w:ascii="Arial Narrow" w:eastAsia="Arial Narrow" w:hAnsi="Arial Narrow" w:cs="Arial Narrow"/>
          <w:color w:val="000000"/>
          <w:sz w:val="24"/>
          <w:szCs w:val="24"/>
        </w:rPr>
        <w:t xml:space="preserve"> The</w:t>
      </w:r>
      <w:r>
        <w:rPr>
          <w:rFonts w:ascii="Arial Narrow" w:eastAsia="Arial Narrow" w:hAnsi="Arial Narrow" w:cs="Arial Narrow"/>
          <w:color w:val="000000"/>
          <w:sz w:val="24"/>
          <w:szCs w:val="24"/>
        </w:rPr>
        <w:t>refore, no recommendations can be made for either method, and the choice of feeding regimen used may consider the nursing time (and staffing) taken to deliver the feed, equipment (feeding pumps) available and the clinical condition of the child. </w:t>
      </w:r>
    </w:p>
    <w:p w14:paraId="0000006F" w14:textId="77777777" w:rsidR="009935D5" w:rsidRDefault="009935D5">
      <w:pPr>
        <w:spacing w:after="0" w:line="240" w:lineRule="auto"/>
        <w:rPr>
          <w:rFonts w:ascii="Arial Narrow" w:eastAsia="Arial Narrow" w:hAnsi="Arial Narrow" w:cs="Arial Narrow"/>
          <w:sz w:val="24"/>
          <w:szCs w:val="24"/>
        </w:rPr>
      </w:pPr>
    </w:p>
    <w:p w14:paraId="0000007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10.1: There is no evidence to suggest that either continuous or intermittent/bolus feeds are superior in delivering gastric feeds in critically ill children (Strong consensus) SIGN recommendation Grade B</w:t>
      </w:r>
    </w:p>
    <w:p w14:paraId="00000071" w14:textId="77777777" w:rsidR="009935D5" w:rsidRDefault="009935D5">
      <w:pPr>
        <w:spacing w:after="0" w:line="240" w:lineRule="auto"/>
        <w:rPr>
          <w:rFonts w:ascii="Arial Narrow" w:eastAsia="Arial Narrow" w:hAnsi="Arial Narrow" w:cs="Arial Narrow"/>
          <w:sz w:val="24"/>
          <w:szCs w:val="24"/>
        </w:rPr>
      </w:pPr>
    </w:p>
    <w:p w14:paraId="0000007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Question 11: In critically ill child</w:t>
      </w:r>
      <w:r>
        <w:rPr>
          <w:rFonts w:ascii="Arial Narrow" w:eastAsia="Arial Narrow" w:hAnsi="Arial Narrow" w:cs="Arial Narrow"/>
          <w:b/>
          <w:color w:val="000000"/>
          <w:sz w:val="24"/>
          <w:szCs w:val="24"/>
        </w:rPr>
        <w:t>ren, does gastric feeding compared to post-pyloric feeding impact on clinical outcomes?</w:t>
      </w:r>
    </w:p>
    <w:p w14:paraId="0000007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Most intensive care units feed children via the gastric route as standard practice. Only three small RCTs have compared gastric with post-pyloric feeding in critically </w:t>
      </w:r>
      <w:r>
        <w:rPr>
          <w:rFonts w:ascii="Arial Narrow" w:eastAsia="Arial Narrow" w:hAnsi="Arial Narrow" w:cs="Arial Narrow"/>
          <w:color w:val="000000"/>
          <w:sz w:val="24"/>
          <w:szCs w:val="24"/>
        </w:rPr>
        <w:t>ill children and all found no significant difference in Ventilator Associated Pneumonia (VAP), pulmonary aspiration or in the percentage of energy goals achieved.</w:t>
      </w:r>
      <w:r>
        <w:rPr>
          <w:rFonts w:ascii="Arial Narrow" w:eastAsia="Arial Narrow" w:hAnsi="Arial Narrow" w:cs="Arial Narrow"/>
          <w:color w:val="000000"/>
          <w:sz w:val="24"/>
          <w:szCs w:val="24"/>
          <w:vertAlign w:val="superscript"/>
        </w:rPr>
        <w:t>169-171</w:t>
      </w:r>
      <w:r>
        <w:rPr>
          <w:rFonts w:ascii="Arial Narrow" w:eastAsia="Arial Narrow" w:hAnsi="Arial Narrow" w:cs="Arial Narrow"/>
          <w:color w:val="000000"/>
          <w:sz w:val="24"/>
          <w:szCs w:val="24"/>
        </w:rPr>
        <w:t xml:space="preserve"> A meta-analysis of two of these RCTs showed no difference in the risk of aspiration (O</w:t>
      </w:r>
      <w:r>
        <w:rPr>
          <w:rFonts w:ascii="Arial Narrow" w:eastAsia="Arial Narrow" w:hAnsi="Arial Narrow" w:cs="Arial Narrow"/>
          <w:color w:val="000000"/>
          <w:sz w:val="24"/>
          <w:szCs w:val="24"/>
        </w:rPr>
        <w:t>R 1.57, [95%CI 0.19-12.99]) when comparing post-pyloric with gastric feeding (Meta-analysis 6; supplementary file 6).</w:t>
      </w:r>
      <w:r>
        <w:rPr>
          <w:rFonts w:ascii="Arial Narrow" w:eastAsia="Arial Narrow" w:hAnsi="Arial Narrow" w:cs="Arial Narrow"/>
          <w:color w:val="000000"/>
          <w:sz w:val="24"/>
          <w:szCs w:val="24"/>
          <w:vertAlign w:val="superscript"/>
        </w:rPr>
        <w:t>169,170</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 xml:space="preserve">In addition, post-pyloric feeding often failed because of failure to place the post pyloric tube. Based on the evidence and expert </w:t>
      </w:r>
      <w:r>
        <w:rPr>
          <w:rFonts w:ascii="Arial Narrow" w:eastAsia="Arial Narrow" w:hAnsi="Arial Narrow" w:cs="Arial Narrow"/>
          <w:color w:val="000000"/>
          <w:sz w:val="24"/>
          <w:szCs w:val="24"/>
        </w:rPr>
        <w:t>consensus we recommend gastric feeding as a first choice of method to feed critically ill children. </w:t>
      </w:r>
    </w:p>
    <w:p w14:paraId="00000074" w14:textId="77777777" w:rsidR="009935D5" w:rsidRDefault="009935D5">
      <w:pPr>
        <w:spacing w:after="0" w:line="240" w:lineRule="auto"/>
        <w:rPr>
          <w:rFonts w:ascii="Arial Narrow" w:eastAsia="Arial Narrow" w:hAnsi="Arial Narrow" w:cs="Arial Narrow"/>
          <w:sz w:val="24"/>
          <w:szCs w:val="24"/>
        </w:rPr>
      </w:pPr>
    </w:p>
    <w:p w14:paraId="0000007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11.1: Gastric feeding is as safe as post pyloric feeding in the majority of critically ill children (consensus) SIGN recommendation Grade C</w:t>
      </w:r>
    </w:p>
    <w:p w14:paraId="00000076" w14:textId="77777777" w:rsidR="009935D5" w:rsidRDefault="009935D5">
      <w:pPr>
        <w:spacing w:after="0" w:line="240" w:lineRule="auto"/>
        <w:rPr>
          <w:rFonts w:ascii="Arial Narrow" w:eastAsia="Arial Narrow" w:hAnsi="Arial Narrow" w:cs="Arial Narrow"/>
          <w:sz w:val="24"/>
          <w:szCs w:val="24"/>
        </w:rPr>
      </w:pPr>
    </w:p>
    <w:p w14:paraId="0000007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11.2: Gastric feeding is not inferior to post pyloric feeding in the majority of critically ill children (consensus) SIGN recommendation Grade D</w:t>
      </w:r>
    </w:p>
    <w:p w14:paraId="00000078" w14:textId="77777777" w:rsidR="009935D5" w:rsidRDefault="009935D5">
      <w:pPr>
        <w:spacing w:after="0" w:line="240" w:lineRule="auto"/>
        <w:rPr>
          <w:rFonts w:ascii="Arial Narrow" w:eastAsia="Arial Narrow" w:hAnsi="Arial Narrow" w:cs="Arial Narrow"/>
          <w:color w:val="000000"/>
          <w:sz w:val="24"/>
          <w:szCs w:val="24"/>
        </w:rPr>
      </w:pPr>
    </w:p>
    <w:p w14:paraId="0000007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There are, however, subgroups of PICU patients that have an increased risk of aspiration (non</w:t>
      </w:r>
      <w:r>
        <w:rPr>
          <w:rFonts w:ascii="Arial Narrow" w:eastAsia="Arial Narrow" w:hAnsi="Arial Narrow" w:cs="Arial Narrow"/>
          <w:color w:val="000000"/>
          <w:sz w:val="24"/>
          <w:szCs w:val="24"/>
        </w:rPr>
        <w:t>-invasive ventilation), during weaning of ventilation or require frequent fasting for procedures or surgery (e.g. severe burns) in which post-pyloric feeding has been shown to be feasible.</w:t>
      </w:r>
      <w:r>
        <w:rPr>
          <w:rFonts w:ascii="Arial Narrow" w:eastAsia="Arial Narrow" w:hAnsi="Arial Narrow" w:cs="Arial Narrow"/>
          <w:color w:val="000000"/>
          <w:sz w:val="24"/>
          <w:szCs w:val="24"/>
          <w:vertAlign w:val="superscript"/>
        </w:rPr>
        <w:t>172</w:t>
      </w:r>
      <w:r>
        <w:rPr>
          <w:rFonts w:ascii="Arial Narrow" w:eastAsia="Arial Narrow" w:hAnsi="Arial Narrow" w:cs="Arial Narrow"/>
          <w:color w:val="000000"/>
          <w:sz w:val="24"/>
          <w:szCs w:val="24"/>
        </w:rPr>
        <w:t xml:space="preserve"> The feasibility of post-pyloric feeding has also been shown in c</w:t>
      </w:r>
      <w:r>
        <w:rPr>
          <w:rFonts w:ascii="Arial Narrow" w:eastAsia="Arial Narrow" w:hAnsi="Arial Narrow" w:cs="Arial Narrow"/>
          <w:color w:val="000000"/>
          <w:sz w:val="24"/>
          <w:szCs w:val="24"/>
        </w:rPr>
        <w:t>ritically ill children after cardiac surgery and in children with shock.</w:t>
      </w:r>
      <w:r>
        <w:rPr>
          <w:rFonts w:ascii="Arial Narrow" w:eastAsia="Arial Narrow" w:hAnsi="Arial Narrow" w:cs="Arial Narrow"/>
          <w:color w:val="000000"/>
          <w:sz w:val="24"/>
          <w:szCs w:val="24"/>
          <w:vertAlign w:val="superscript"/>
        </w:rPr>
        <w:t>66,73</w:t>
      </w:r>
      <w:r>
        <w:rPr>
          <w:rFonts w:ascii="Arial Narrow" w:eastAsia="Arial Narrow" w:hAnsi="Arial Narrow" w:cs="Arial Narrow"/>
          <w:color w:val="000000"/>
          <w:sz w:val="24"/>
          <w:szCs w:val="24"/>
        </w:rPr>
        <w:t xml:space="preserve"> A systematic review with meta-analysis in adult critical care pooled data from 14 trials involving 1109 patients showed that post-pyloric feeding was associated with lower rates </w:t>
      </w:r>
      <w:r>
        <w:rPr>
          <w:rFonts w:ascii="Arial Narrow" w:eastAsia="Arial Narrow" w:hAnsi="Arial Narrow" w:cs="Arial Narrow"/>
          <w:color w:val="000000"/>
          <w:sz w:val="24"/>
          <w:szCs w:val="24"/>
        </w:rPr>
        <w:t>of VAP compared to gastric feeding, with lower quality evidence showing post-pyloric feeding could increase the total nutritional intake delivered to the patient.</w:t>
      </w:r>
      <w:r>
        <w:rPr>
          <w:rFonts w:ascii="Arial Narrow" w:eastAsia="Arial Narrow" w:hAnsi="Arial Narrow" w:cs="Arial Narrow"/>
          <w:color w:val="000000"/>
          <w:sz w:val="24"/>
          <w:szCs w:val="24"/>
          <w:vertAlign w:val="superscript"/>
        </w:rPr>
        <w:t>173</w:t>
      </w:r>
      <w:r>
        <w:rPr>
          <w:rFonts w:ascii="Arial Narrow" w:eastAsia="Arial Narrow" w:hAnsi="Arial Narrow" w:cs="Arial Narrow"/>
          <w:color w:val="000000"/>
          <w:sz w:val="24"/>
          <w:szCs w:val="24"/>
        </w:rPr>
        <w:t xml:space="preserve"> Post-pyloric feeding is feasible in critically ill children and can be considered in child</w:t>
      </w:r>
      <w:r>
        <w:rPr>
          <w:rFonts w:ascii="Arial Narrow" w:eastAsia="Arial Narrow" w:hAnsi="Arial Narrow" w:cs="Arial Narrow"/>
          <w:color w:val="000000"/>
          <w:sz w:val="24"/>
          <w:szCs w:val="24"/>
        </w:rPr>
        <w:t>ren with a high risk of aspiration, or to reduce periods of fasting for procedures (e.g. burn patients).</w:t>
      </w:r>
      <w:r>
        <w:rPr>
          <w:rFonts w:ascii="Arial Narrow" w:eastAsia="Arial Narrow" w:hAnsi="Arial Narrow" w:cs="Arial Narrow"/>
          <w:color w:val="000000"/>
          <w:sz w:val="24"/>
          <w:szCs w:val="24"/>
          <w:vertAlign w:val="superscript"/>
        </w:rPr>
        <w:t>172,174</w:t>
      </w:r>
    </w:p>
    <w:p w14:paraId="0000007A" w14:textId="77777777" w:rsidR="009935D5" w:rsidRDefault="009935D5">
      <w:pPr>
        <w:spacing w:after="0" w:line="240" w:lineRule="auto"/>
        <w:rPr>
          <w:rFonts w:ascii="Arial Narrow" w:eastAsia="Arial Narrow" w:hAnsi="Arial Narrow" w:cs="Arial Narrow"/>
          <w:sz w:val="24"/>
          <w:szCs w:val="24"/>
        </w:rPr>
      </w:pPr>
    </w:p>
    <w:p w14:paraId="0000007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11.3: Post-pyloric feeding can be considered for critically ill children at high risk of aspiration or requiring frequent fastin</w:t>
      </w:r>
      <w:r>
        <w:rPr>
          <w:rFonts w:ascii="Arial Narrow" w:eastAsia="Arial Narrow" w:hAnsi="Arial Narrow" w:cs="Arial Narrow"/>
          <w:b/>
          <w:color w:val="000000"/>
          <w:sz w:val="24"/>
          <w:szCs w:val="24"/>
        </w:rPr>
        <w:t xml:space="preserve">g for surgery or procedures (consensus) SIGN recommendation grade </w:t>
      </w:r>
      <w:r>
        <w:rPr>
          <w:rFonts w:ascii="Arial Narrow" w:eastAsia="Arial Narrow" w:hAnsi="Arial Narrow" w:cs="Arial Narrow"/>
          <w:b/>
          <w:color w:val="000000"/>
          <w:sz w:val="24"/>
          <w:szCs w:val="24"/>
          <w:highlight w:val="white"/>
        </w:rPr>
        <w:t>GCP</w:t>
      </w:r>
    </w:p>
    <w:p w14:paraId="0000007C" w14:textId="77777777" w:rsidR="009935D5" w:rsidRDefault="009935D5">
      <w:pPr>
        <w:spacing w:after="0" w:line="240" w:lineRule="auto"/>
        <w:rPr>
          <w:rFonts w:ascii="Arial Narrow" w:eastAsia="Arial Narrow" w:hAnsi="Arial Narrow" w:cs="Arial Narrow"/>
          <w:sz w:val="24"/>
          <w:szCs w:val="24"/>
        </w:rPr>
      </w:pPr>
    </w:p>
    <w:p w14:paraId="0000007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12</w:t>
      </w:r>
      <w:r>
        <w:rPr>
          <w:rFonts w:ascii="Arial Narrow" w:eastAsia="Arial Narrow" w:hAnsi="Arial Narrow" w:cs="Arial Narrow"/>
          <w:b/>
          <w:color w:val="000000"/>
          <w:sz w:val="24"/>
          <w:szCs w:val="24"/>
        </w:rPr>
        <w:t>: In critically ill children does routine Gastric Residual Volume (GRV) to guide enteral feeding  impact on outcomes?</w:t>
      </w:r>
    </w:p>
    <w:p w14:paraId="0000007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The frequent and routine practice of GRV measurement is common in PICUs internationally, yet the validity of this practice is not supporte</w:t>
      </w:r>
      <w:r>
        <w:rPr>
          <w:rFonts w:ascii="Arial Narrow" w:eastAsia="Arial Narrow" w:hAnsi="Arial Narrow" w:cs="Arial Narrow"/>
          <w:color w:val="000000"/>
          <w:sz w:val="24"/>
          <w:szCs w:val="24"/>
        </w:rPr>
        <w:t>d, and the practice is being increasingly questioned in paediatric critical care.</w:t>
      </w:r>
      <w:r>
        <w:rPr>
          <w:rFonts w:ascii="Arial Narrow" w:eastAsia="Arial Narrow" w:hAnsi="Arial Narrow" w:cs="Arial Narrow"/>
          <w:color w:val="000000"/>
          <w:sz w:val="24"/>
          <w:szCs w:val="24"/>
          <w:vertAlign w:val="superscript"/>
        </w:rPr>
        <w:t>175</w:t>
      </w:r>
      <w:r>
        <w:rPr>
          <w:rFonts w:ascii="Arial Narrow" w:eastAsia="Arial Narrow" w:hAnsi="Arial Narrow" w:cs="Arial Narrow"/>
          <w:color w:val="000000"/>
          <w:sz w:val="24"/>
          <w:szCs w:val="24"/>
        </w:rPr>
        <w:t xml:space="preserve"> The doubts around validity relate to both the measurement of GRV, which has been shown to be inaccurate, and the lack of any evidence for the arbitrary thresholds used to </w:t>
      </w:r>
      <w:r>
        <w:rPr>
          <w:rFonts w:ascii="Arial Narrow" w:eastAsia="Arial Narrow" w:hAnsi="Arial Narrow" w:cs="Arial Narrow"/>
          <w:color w:val="000000"/>
          <w:sz w:val="24"/>
          <w:szCs w:val="24"/>
        </w:rPr>
        <w:t>determine the level of acceptability of the volume.</w:t>
      </w:r>
      <w:r>
        <w:rPr>
          <w:rFonts w:ascii="Arial Narrow" w:eastAsia="Arial Narrow" w:hAnsi="Arial Narrow" w:cs="Arial Narrow"/>
          <w:color w:val="000000"/>
          <w:sz w:val="24"/>
          <w:szCs w:val="24"/>
          <w:vertAlign w:val="superscript"/>
        </w:rPr>
        <w:t>176,177</w:t>
      </w:r>
      <w:r>
        <w:rPr>
          <w:rFonts w:ascii="Arial Narrow" w:eastAsia="Arial Narrow" w:hAnsi="Arial Narrow" w:cs="Arial Narrow"/>
          <w:color w:val="000000"/>
          <w:sz w:val="24"/>
          <w:szCs w:val="24"/>
        </w:rPr>
        <w:t xml:space="preserve"> Only one small retrospective comparison study in paediatric critically ill children has been undertaken, which has shown no harm (VAP or NEC) from not measuring GRV routinely.</w:t>
      </w:r>
      <w:r>
        <w:rPr>
          <w:rFonts w:ascii="Arial Narrow" w:eastAsia="Arial Narrow" w:hAnsi="Arial Narrow" w:cs="Arial Narrow"/>
          <w:color w:val="000000"/>
          <w:sz w:val="24"/>
          <w:szCs w:val="24"/>
          <w:vertAlign w:val="superscript"/>
        </w:rPr>
        <w:t>178</w:t>
      </w:r>
      <w:r>
        <w:rPr>
          <w:rFonts w:ascii="Arial Narrow" w:eastAsia="Arial Narrow" w:hAnsi="Arial Narrow" w:cs="Arial Narrow"/>
          <w:color w:val="000000"/>
          <w:sz w:val="24"/>
          <w:szCs w:val="24"/>
        </w:rPr>
        <w:t xml:space="preserve"> However, evidence </w:t>
      </w:r>
      <w:r>
        <w:rPr>
          <w:rFonts w:ascii="Arial Narrow" w:eastAsia="Arial Narrow" w:hAnsi="Arial Narrow" w:cs="Arial Narrow"/>
          <w:color w:val="000000"/>
          <w:sz w:val="24"/>
          <w:szCs w:val="24"/>
        </w:rPr>
        <w:t xml:space="preserve">from adult and neonatal intensive care suggests that not routinely measuring GRV may increase the achievement and speed of reaching energy targets without increasing the risk of adverse events (VAP, NEC). </w:t>
      </w:r>
      <w:r>
        <w:rPr>
          <w:rFonts w:ascii="Arial Narrow" w:eastAsia="Arial Narrow" w:hAnsi="Arial Narrow" w:cs="Arial Narrow"/>
          <w:color w:val="000000"/>
          <w:sz w:val="24"/>
          <w:szCs w:val="24"/>
          <w:vertAlign w:val="superscript"/>
        </w:rPr>
        <w:t>149,179-181</w:t>
      </w:r>
      <w:r>
        <w:rPr>
          <w:rFonts w:ascii="Arial Narrow" w:eastAsia="Arial Narrow" w:hAnsi="Arial Narrow" w:cs="Arial Narrow"/>
          <w:color w:val="000000"/>
          <w:sz w:val="24"/>
          <w:szCs w:val="24"/>
        </w:rPr>
        <w:t> </w:t>
      </w:r>
    </w:p>
    <w:p w14:paraId="0000007F" w14:textId="77777777" w:rsidR="009935D5" w:rsidRDefault="009935D5">
      <w:pPr>
        <w:spacing w:after="0" w:line="240" w:lineRule="auto"/>
        <w:rPr>
          <w:rFonts w:ascii="Arial Narrow" w:eastAsia="Arial Narrow" w:hAnsi="Arial Narrow" w:cs="Arial Narrow"/>
          <w:sz w:val="24"/>
          <w:szCs w:val="24"/>
        </w:rPr>
      </w:pPr>
    </w:p>
    <w:p w14:paraId="0000008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12.1: Routine measurem</w:t>
      </w:r>
      <w:r>
        <w:rPr>
          <w:rFonts w:ascii="Arial Narrow" w:eastAsia="Arial Narrow" w:hAnsi="Arial Narrow" w:cs="Arial Narrow"/>
          <w:b/>
          <w:color w:val="000000"/>
          <w:sz w:val="24"/>
          <w:szCs w:val="24"/>
        </w:rPr>
        <w:t>ent of Gastric Residual Volume in critically ill children is not recommended (Strong consensus) SIGN recommendation Grade D</w:t>
      </w:r>
    </w:p>
    <w:p w14:paraId="00000081" w14:textId="77777777" w:rsidR="009935D5" w:rsidRDefault="009935D5">
      <w:pPr>
        <w:spacing w:after="0" w:line="240" w:lineRule="auto"/>
        <w:rPr>
          <w:rFonts w:ascii="Arial Narrow" w:eastAsia="Arial Narrow" w:hAnsi="Arial Narrow" w:cs="Arial Narrow"/>
          <w:sz w:val="24"/>
          <w:szCs w:val="24"/>
        </w:rPr>
      </w:pPr>
    </w:p>
    <w:p w14:paraId="0000008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13</w:t>
      </w:r>
      <w:r>
        <w:rPr>
          <w:rFonts w:ascii="Arial Narrow" w:eastAsia="Arial Narrow" w:hAnsi="Arial Narrow" w:cs="Arial Narrow"/>
          <w:b/>
          <w:color w:val="000000"/>
          <w:sz w:val="24"/>
          <w:szCs w:val="24"/>
        </w:rPr>
        <w:t>: In critically ill children, do prokinetics impact on clinical outcomes?</w:t>
      </w:r>
    </w:p>
    <w:p w14:paraId="0000008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Despite the widespread use of prokinetic agent</w:t>
      </w:r>
      <w:r>
        <w:rPr>
          <w:rFonts w:ascii="Arial Narrow" w:eastAsia="Arial Narrow" w:hAnsi="Arial Narrow" w:cs="Arial Narrow"/>
          <w:color w:val="000000"/>
          <w:sz w:val="24"/>
          <w:szCs w:val="24"/>
        </w:rPr>
        <w:t>s to improve feed tolerance in critically ill children, no evidence exists to support their effectiveness on relevant clinical outcomes in the critically ill child.</w:t>
      </w:r>
      <w:r>
        <w:rPr>
          <w:rFonts w:ascii="Arial Narrow" w:eastAsia="Arial Narrow" w:hAnsi="Arial Narrow" w:cs="Arial Narrow"/>
          <w:color w:val="000000"/>
          <w:sz w:val="24"/>
          <w:szCs w:val="24"/>
          <w:vertAlign w:val="superscript"/>
        </w:rPr>
        <w:t>113,154</w:t>
      </w:r>
      <w:r>
        <w:rPr>
          <w:rFonts w:ascii="Arial Narrow" w:eastAsia="Arial Narrow" w:hAnsi="Arial Narrow" w:cs="Arial Narrow"/>
          <w:color w:val="000000"/>
          <w:sz w:val="24"/>
          <w:szCs w:val="24"/>
        </w:rPr>
        <w:t xml:space="preserve"> The only RCT available failed to show improvement of post pyloric tube placement usi</w:t>
      </w:r>
      <w:r>
        <w:rPr>
          <w:rFonts w:ascii="Arial Narrow" w:eastAsia="Arial Narrow" w:hAnsi="Arial Narrow" w:cs="Arial Narrow"/>
          <w:color w:val="000000"/>
          <w:sz w:val="24"/>
          <w:szCs w:val="24"/>
        </w:rPr>
        <w:t>ng intravenous erythromycin as prokinetic doses, but reported the cardiovascular safety of its use.</w:t>
      </w:r>
      <w:r>
        <w:rPr>
          <w:rFonts w:ascii="Arial Narrow" w:eastAsia="Arial Narrow" w:hAnsi="Arial Narrow" w:cs="Arial Narrow"/>
          <w:color w:val="000000"/>
          <w:sz w:val="24"/>
          <w:szCs w:val="24"/>
          <w:vertAlign w:val="superscript"/>
        </w:rPr>
        <w:t>182</w:t>
      </w:r>
      <w:r>
        <w:rPr>
          <w:rFonts w:ascii="Arial Narrow" w:eastAsia="Arial Narrow" w:hAnsi="Arial Narrow" w:cs="Arial Narrow"/>
          <w:color w:val="000000"/>
          <w:sz w:val="24"/>
          <w:szCs w:val="24"/>
        </w:rPr>
        <w:t xml:space="preserve"> In the adult ICU setting prokinetic agents (i.e. metoclopramide and erythromycin) may reduce the risk of developing high residual volumes and increase th</w:t>
      </w:r>
      <w:r>
        <w:rPr>
          <w:rFonts w:ascii="Arial Narrow" w:eastAsia="Arial Narrow" w:hAnsi="Arial Narrow" w:cs="Arial Narrow"/>
          <w:color w:val="000000"/>
          <w:sz w:val="24"/>
          <w:szCs w:val="24"/>
        </w:rPr>
        <w:t>e success of post pyloric tube placement, but failed to show significant impact on mortality, length of stay, and pneumonia.</w:t>
      </w:r>
      <w:r>
        <w:rPr>
          <w:rFonts w:ascii="Arial Narrow" w:eastAsia="Arial Narrow" w:hAnsi="Arial Narrow" w:cs="Arial Narrow"/>
          <w:color w:val="000000"/>
          <w:sz w:val="24"/>
          <w:szCs w:val="24"/>
          <w:vertAlign w:val="superscript"/>
        </w:rPr>
        <w:t>183</w:t>
      </w:r>
      <w:r>
        <w:rPr>
          <w:rFonts w:ascii="Arial Narrow" w:eastAsia="Arial Narrow" w:hAnsi="Arial Narrow" w:cs="Arial Narrow"/>
          <w:color w:val="000000"/>
          <w:sz w:val="24"/>
          <w:szCs w:val="24"/>
        </w:rPr>
        <w:t xml:space="preserve"> No studies which applied to the question were retrieved. Therefore, we cannot recommend the use of prokinetic agents in critical</w:t>
      </w:r>
      <w:r>
        <w:rPr>
          <w:rFonts w:ascii="Arial Narrow" w:eastAsia="Arial Narrow" w:hAnsi="Arial Narrow" w:cs="Arial Narrow"/>
          <w:color w:val="000000"/>
          <w:sz w:val="24"/>
          <w:szCs w:val="24"/>
        </w:rPr>
        <w:t>ly ill children to improve gastric emptying and feeding tolerance. </w:t>
      </w:r>
    </w:p>
    <w:p w14:paraId="00000084" w14:textId="77777777" w:rsidR="009935D5" w:rsidRDefault="009935D5">
      <w:pPr>
        <w:spacing w:after="0" w:line="240" w:lineRule="auto"/>
        <w:rPr>
          <w:rFonts w:ascii="Arial Narrow" w:eastAsia="Arial Narrow" w:hAnsi="Arial Narrow" w:cs="Arial Narrow"/>
          <w:sz w:val="24"/>
          <w:szCs w:val="24"/>
        </w:rPr>
      </w:pPr>
    </w:p>
    <w:p w14:paraId="0000008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13.1: There is insufficient evidence to support the use of prokinetics in critically ill children to improve gastric emptying and feed tolerance (Strong consensus) SIGN rec</w:t>
      </w:r>
      <w:r>
        <w:rPr>
          <w:rFonts w:ascii="Arial Narrow" w:eastAsia="Arial Narrow" w:hAnsi="Arial Narrow" w:cs="Arial Narrow"/>
          <w:b/>
          <w:color w:val="000000"/>
          <w:sz w:val="24"/>
          <w:szCs w:val="24"/>
        </w:rPr>
        <w:t>ommendation Grade GCP</w:t>
      </w:r>
    </w:p>
    <w:p w14:paraId="00000086" w14:textId="77777777" w:rsidR="009935D5" w:rsidRDefault="009935D5">
      <w:pPr>
        <w:spacing w:after="0" w:line="240" w:lineRule="auto"/>
        <w:rPr>
          <w:rFonts w:ascii="Arial Narrow" w:eastAsia="Arial Narrow" w:hAnsi="Arial Narrow" w:cs="Arial Narrow"/>
          <w:sz w:val="24"/>
          <w:szCs w:val="24"/>
        </w:rPr>
      </w:pPr>
    </w:p>
    <w:p w14:paraId="0000008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14</w:t>
      </w:r>
      <w:r>
        <w:rPr>
          <w:rFonts w:ascii="Arial Narrow" w:eastAsia="Arial Narrow" w:hAnsi="Arial Narrow" w:cs="Arial Narrow"/>
          <w:b/>
          <w:color w:val="000000"/>
          <w:sz w:val="24"/>
          <w:szCs w:val="24"/>
        </w:rPr>
        <w:t>: In critically ill children, when should Parenteral Nutrition (PN) be started?</w:t>
      </w:r>
    </w:p>
    <w:p w14:paraId="0000008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EN is first choice and considered superior over PN. However, the provision of EN to critically ill children can be challenging, and is often i</w:t>
      </w:r>
      <w:r>
        <w:rPr>
          <w:rFonts w:ascii="Arial Narrow" w:eastAsia="Arial Narrow" w:hAnsi="Arial Narrow" w:cs="Arial Narrow"/>
          <w:color w:val="000000"/>
          <w:sz w:val="24"/>
          <w:szCs w:val="24"/>
        </w:rPr>
        <w:t>nsufficient to meet predicted energy needs. In more than half of PICUs worldwide, PN is initiated within 48 hours after admission to PICU.</w:t>
      </w:r>
      <w:r>
        <w:rPr>
          <w:rFonts w:ascii="Arial Narrow" w:eastAsia="Arial Narrow" w:hAnsi="Arial Narrow" w:cs="Arial Narrow"/>
          <w:color w:val="000000"/>
          <w:sz w:val="24"/>
          <w:szCs w:val="24"/>
          <w:vertAlign w:val="superscript"/>
        </w:rPr>
        <w:t>112</w:t>
      </w:r>
      <w:r>
        <w:rPr>
          <w:rFonts w:ascii="Arial Narrow" w:eastAsia="Arial Narrow" w:hAnsi="Arial Narrow" w:cs="Arial Narrow"/>
          <w:color w:val="000000"/>
          <w:sz w:val="24"/>
          <w:szCs w:val="24"/>
        </w:rPr>
        <w:t xml:space="preserve"> Only one study, investigating the timing of (supplemental) PN in paediatric critical care exists. The PEPaNIC RCT </w:t>
      </w:r>
      <w:r>
        <w:rPr>
          <w:rFonts w:ascii="Arial Narrow" w:eastAsia="Arial Narrow" w:hAnsi="Arial Narrow" w:cs="Arial Narrow"/>
          <w:color w:val="000000"/>
          <w:sz w:val="24"/>
          <w:szCs w:val="24"/>
        </w:rPr>
        <w:t>revealed that withholding PN during the first week in PICU, when EN was insufficient, was clinically superior to providing supplemental PN</w:t>
      </w:r>
      <w:r>
        <w:rPr>
          <w:rFonts w:ascii="Arial Narrow" w:eastAsia="Arial Narrow" w:hAnsi="Arial Narrow" w:cs="Arial Narrow"/>
          <w:color w:val="0E0E0E"/>
          <w:sz w:val="24"/>
          <w:szCs w:val="24"/>
        </w:rPr>
        <w:t xml:space="preserve"> within the first 24-48 hours.</w:t>
      </w:r>
      <w:r>
        <w:rPr>
          <w:rFonts w:ascii="Arial Narrow" w:eastAsia="Arial Narrow" w:hAnsi="Arial Narrow" w:cs="Arial Narrow"/>
          <w:color w:val="0E0E0E"/>
          <w:sz w:val="24"/>
          <w:szCs w:val="24"/>
          <w:vertAlign w:val="superscript"/>
        </w:rPr>
        <w:t>92</w:t>
      </w:r>
      <w:r>
        <w:rPr>
          <w:rFonts w:ascii="Arial Narrow" w:eastAsia="Arial Narrow" w:hAnsi="Arial Narrow" w:cs="Arial Narrow"/>
          <w:color w:val="000000"/>
          <w:sz w:val="24"/>
          <w:szCs w:val="24"/>
        </w:rPr>
        <w:t xml:space="preserve"> Not using PN during the first week in PICU reduced the incidence of new infections an</w:t>
      </w:r>
      <w:r>
        <w:rPr>
          <w:rFonts w:ascii="Arial Narrow" w:eastAsia="Arial Narrow" w:hAnsi="Arial Narrow" w:cs="Arial Narrow"/>
          <w:color w:val="000000"/>
          <w:sz w:val="24"/>
          <w:szCs w:val="24"/>
        </w:rPr>
        <w:t>d accelerated recovery. Children in both randomisation arms received EN when possible equally and were provided intravenous micronutrients. A secondary analysis showed that the early administration of amino acids, and not glucose or lipids, were associated</w:t>
      </w:r>
      <w:r>
        <w:rPr>
          <w:rFonts w:ascii="Arial Narrow" w:eastAsia="Arial Narrow" w:hAnsi="Arial Narrow" w:cs="Arial Narrow"/>
          <w:color w:val="000000"/>
          <w:sz w:val="24"/>
          <w:szCs w:val="24"/>
        </w:rPr>
        <w:t xml:space="preserve"> with the harm caused by early PN.</w:t>
      </w:r>
      <w:r>
        <w:rPr>
          <w:rFonts w:ascii="Arial Narrow" w:eastAsia="Arial Narrow" w:hAnsi="Arial Narrow" w:cs="Arial Narrow"/>
          <w:color w:val="000000"/>
          <w:sz w:val="24"/>
          <w:szCs w:val="24"/>
          <w:vertAlign w:val="superscript"/>
        </w:rPr>
        <w:t>126</w:t>
      </w:r>
      <w:r>
        <w:rPr>
          <w:rFonts w:ascii="Arial Narrow" w:eastAsia="Arial Narrow" w:hAnsi="Arial Narrow" w:cs="Arial Narrow"/>
          <w:color w:val="000000"/>
          <w:sz w:val="24"/>
          <w:szCs w:val="24"/>
        </w:rPr>
        <w:t xml:space="preserve"> Furthermore, withholding PN during the first week decreased the direct medical costs for hospitalisation in critically ill children, beyond the expected lower costs for withholding PN.</w:t>
      </w:r>
      <w:r>
        <w:rPr>
          <w:rFonts w:ascii="Arial Narrow" w:eastAsia="Arial Narrow" w:hAnsi="Arial Narrow" w:cs="Arial Narrow"/>
          <w:color w:val="000000"/>
          <w:sz w:val="24"/>
          <w:szCs w:val="24"/>
          <w:vertAlign w:val="superscript"/>
        </w:rPr>
        <w:t>184</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Sub-analyses of this trial showed that term neonates and children a</w:t>
      </w:r>
      <w:r>
        <w:rPr>
          <w:rFonts w:ascii="Arial Narrow" w:eastAsia="Arial Narrow" w:hAnsi="Arial Narrow" w:cs="Arial Narrow"/>
          <w:color w:val="000000"/>
          <w:sz w:val="24"/>
          <w:szCs w:val="24"/>
        </w:rPr>
        <w:t>lready acutely undernourished upon admission to the PICU also benefited from withholding PN during the first week.</w:t>
      </w:r>
      <w:r>
        <w:rPr>
          <w:rFonts w:ascii="Arial Narrow" w:eastAsia="Arial Narrow" w:hAnsi="Arial Narrow" w:cs="Arial Narrow"/>
          <w:color w:val="000000"/>
          <w:sz w:val="24"/>
          <w:szCs w:val="24"/>
          <w:vertAlign w:val="superscript"/>
        </w:rPr>
        <w:t>10,185</w:t>
      </w:r>
      <w:r>
        <w:rPr>
          <w:rFonts w:ascii="Arial Narrow" w:eastAsia="Arial Narrow" w:hAnsi="Arial Narrow" w:cs="Arial Narrow"/>
          <w:color w:val="000000"/>
          <w:sz w:val="24"/>
          <w:szCs w:val="24"/>
        </w:rPr>
        <w:t xml:space="preserve"> Withholding PN did increase the incidence of hypoglycaemia, especially in the term neonates. However, two year follow-up  demonstrated </w:t>
      </w:r>
      <w:r>
        <w:rPr>
          <w:rFonts w:ascii="Arial Narrow" w:eastAsia="Arial Narrow" w:hAnsi="Arial Narrow" w:cs="Arial Narrow"/>
          <w:color w:val="000000"/>
          <w:sz w:val="24"/>
          <w:szCs w:val="24"/>
        </w:rPr>
        <w:t>that withholding PN for one week did not negatively affect survival, anthropometrics, health status or neurocognitive development.</w:t>
      </w:r>
      <w:r>
        <w:rPr>
          <w:rFonts w:ascii="Arial Narrow" w:eastAsia="Arial Narrow" w:hAnsi="Arial Narrow" w:cs="Arial Narrow"/>
          <w:color w:val="000000"/>
          <w:sz w:val="24"/>
          <w:szCs w:val="24"/>
          <w:vertAlign w:val="superscript"/>
        </w:rPr>
        <w:t>125</w:t>
      </w:r>
      <w:r>
        <w:rPr>
          <w:rFonts w:ascii="Arial Narrow" w:eastAsia="Arial Narrow" w:hAnsi="Arial Narrow" w:cs="Arial Narrow"/>
          <w:color w:val="000000"/>
          <w:sz w:val="24"/>
          <w:szCs w:val="24"/>
        </w:rPr>
        <w:t xml:space="preserve"> Although the results of the PEPaNIC trial are consistent with some adult ICU trials</w:t>
      </w:r>
      <w:r>
        <w:rPr>
          <w:rFonts w:ascii="Arial Narrow" w:eastAsia="Arial Narrow" w:hAnsi="Arial Narrow" w:cs="Arial Narrow"/>
          <w:color w:val="000000"/>
          <w:sz w:val="24"/>
          <w:szCs w:val="24"/>
          <w:vertAlign w:val="superscript"/>
        </w:rPr>
        <w:t>186-188</w:t>
      </w:r>
      <w:r>
        <w:rPr>
          <w:rFonts w:ascii="Arial Narrow" w:eastAsia="Arial Narrow" w:hAnsi="Arial Narrow" w:cs="Arial Narrow"/>
          <w:color w:val="000000"/>
          <w:sz w:val="24"/>
          <w:szCs w:val="24"/>
        </w:rPr>
        <w:t>, the optimal timing of PN in th</w:t>
      </w:r>
      <w:r>
        <w:rPr>
          <w:rFonts w:ascii="Arial Narrow" w:eastAsia="Arial Narrow" w:hAnsi="Arial Narrow" w:cs="Arial Narrow"/>
          <w:color w:val="000000"/>
          <w:sz w:val="24"/>
          <w:szCs w:val="24"/>
        </w:rPr>
        <w:t>e critically ill child is still not clear. </w:t>
      </w:r>
    </w:p>
    <w:p w14:paraId="00000089" w14:textId="77777777" w:rsidR="009935D5" w:rsidRDefault="009935D5">
      <w:pPr>
        <w:spacing w:after="0" w:line="240" w:lineRule="auto"/>
        <w:rPr>
          <w:rFonts w:ascii="Arial Narrow" w:eastAsia="Arial Narrow" w:hAnsi="Arial Narrow" w:cs="Arial Narrow"/>
          <w:sz w:val="24"/>
          <w:szCs w:val="24"/>
        </w:rPr>
      </w:pPr>
    </w:p>
    <w:p w14:paraId="0000008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14.1:</w:t>
      </w:r>
      <w:r>
        <w:rPr>
          <w:rFonts w:ascii="Arial Narrow" w:eastAsia="Arial Narrow" w:hAnsi="Arial Narrow" w:cs="Arial Narrow"/>
          <w:color w:val="000000"/>
          <w:sz w:val="24"/>
          <w:szCs w:val="24"/>
        </w:rPr>
        <w:t xml:space="preserve"> </w:t>
      </w:r>
      <w:r>
        <w:rPr>
          <w:rFonts w:ascii="Arial Narrow" w:eastAsia="Arial Narrow" w:hAnsi="Arial Narrow" w:cs="Arial Narrow"/>
          <w:b/>
          <w:color w:val="000000"/>
          <w:sz w:val="24"/>
          <w:szCs w:val="24"/>
        </w:rPr>
        <w:t xml:space="preserve">Withholding parenteral nutrition for up to one week can be considered in critically ill term neonates and children when enteral nutrition is insufficient, independent of nutritional status, </w:t>
      </w:r>
      <w:r>
        <w:rPr>
          <w:rFonts w:ascii="Arial Narrow" w:eastAsia="Arial Narrow" w:hAnsi="Arial Narrow" w:cs="Arial Narrow"/>
          <w:b/>
          <w:color w:val="000000"/>
          <w:sz w:val="24"/>
          <w:szCs w:val="24"/>
        </w:rPr>
        <w:t>while providing micronutrients (consensus) SIGN recommendation grade B</w:t>
      </w:r>
    </w:p>
    <w:p w14:paraId="0000008B" w14:textId="77777777" w:rsidR="009935D5" w:rsidRDefault="009935D5">
      <w:pPr>
        <w:spacing w:after="0" w:line="240" w:lineRule="auto"/>
        <w:rPr>
          <w:rFonts w:ascii="Arial Narrow" w:eastAsia="Arial Narrow" w:hAnsi="Arial Narrow" w:cs="Arial Narrow"/>
          <w:sz w:val="24"/>
          <w:szCs w:val="24"/>
        </w:rPr>
      </w:pPr>
    </w:p>
    <w:p w14:paraId="0000008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u w:val="single"/>
        </w:rPr>
        <w:t>Question 15</w:t>
      </w:r>
      <w:r>
        <w:rPr>
          <w:rFonts w:ascii="Arial Narrow" w:eastAsia="Arial Narrow" w:hAnsi="Arial Narrow" w:cs="Arial Narrow"/>
          <w:b/>
          <w:color w:val="000000"/>
          <w:sz w:val="24"/>
          <w:szCs w:val="24"/>
        </w:rPr>
        <w:t>. In critically ill children, does the use of a feeding protocols impact on clinical outcomes?</w:t>
      </w:r>
    </w:p>
    <w:p w14:paraId="0000008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Feeding protocols or guidelines aim to produce simple written guidance enabling local clinical teams to deliver nutrition in a consistent manner. All thirteen st</w:t>
      </w:r>
      <w:r>
        <w:rPr>
          <w:rFonts w:ascii="Arial Narrow" w:eastAsia="Arial Narrow" w:hAnsi="Arial Narrow" w:cs="Arial Narrow"/>
          <w:color w:val="000000"/>
          <w:sz w:val="24"/>
          <w:szCs w:val="24"/>
        </w:rPr>
        <w:t>udies (almost entirely before and after designs) and a previous systematic review found that the use of a protocol, as compared to no use of a protocol, improved the initiation of feeding, advancement of enteral feeding and reduces the time to achieve EN e</w:t>
      </w:r>
      <w:r>
        <w:rPr>
          <w:rFonts w:ascii="Arial Narrow" w:eastAsia="Arial Narrow" w:hAnsi="Arial Narrow" w:cs="Arial Narrow"/>
          <w:color w:val="000000"/>
          <w:sz w:val="24"/>
          <w:szCs w:val="24"/>
        </w:rPr>
        <w:t>nergy goals, in addition to reducing the GI complications (especially in high-risk patient groups).</w:t>
      </w:r>
      <w:r>
        <w:rPr>
          <w:rFonts w:ascii="Arial Narrow" w:eastAsia="Arial Narrow" w:hAnsi="Arial Narrow" w:cs="Arial Narrow"/>
          <w:color w:val="000000"/>
          <w:sz w:val="24"/>
          <w:szCs w:val="24"/>
          <w:vertAlign w:val="superscript"/>
        </w:rPr>
        <w:t>36,44,45,47,52,189-200 </w:t>
      </w:r>
    </w:p>
    <w:p w14:paraId="0000008E" w14:textId="77777777" w:rsidR="009935D5" w:rsidRDefault="00522231">
      <w:pPr>
        <w:shd w:val="clear" w:color="auto" w:fill="FFFFFF"/>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Many studies investigating the use of a feeding protocol have focussed on high-risk neonates with single ventricle physiology, all de</w:t>
      </w:r>
      <w:r>
        <w:rPr>
          <w:rFonts w:ascii="Arial Narrow" w:eastAsia="Arial Narrow" w:hAnsi="Arial Narrow" w:cs="Arial Narrow"/>
          <w:color w:val="000000"/>
          <w:sz w:val="24"/>
          <w:szCs w:val="24"/>
        </w:rPr>
        <w:t>monstrating improved feeding outcomes and a reduction in the incidence of NEC both before and after surgical palliation.</w:t>
      </w:r>
      <w:r>
        <w:rPr>
          <w:rFonts w:ascii="Arial Narrow" w:eastAsia="Arial Narrow" w:hAnsi="Arial Narrow" w:cs="Arial Narrow"/>
          <w:color w:val="000000"/>
          <w:sz w:val="24"/>
          <w:szCs w:val="24"/>
          <w:vertAlign w:val="superscript"/>
        </w:rPr>
        <w:t>36,44,45</w:t>
      </w:r>
      <w:r>
        <w:rPr>
          <w:rFonts w:ascii="Arial Narrow" w:eastAsia="Arial Narrow" w:hAnsi="Arial Narrow" w:cs="Arial Narrow"/>
          <w:color w:val="000000"/>
          <w:sz w:val="24"/>
          <w:szCs w:val="24"/>
        </w:rPr>
        <w:t xml:space="preserve">  However, the five observational studies that could be pooled in a meta-analysis with the outcomes of mortality and NEC showed </w:t>
      </w:r>
      <w:r>
        <w:rPr>
          <w:rFonts w:ascii="Arial Narrow" w:eastAsia="Arial Narrow" w:hAnsi="Arial Narrow" w:cs="Arial Narrow"/>
          <w:color w:val="000000"/>
          <w:sz w:val="24"/>
          <w:szCs w:val="24"/>
        </w:rPr>
        <w:t>no difference between protocol and no protocol on mortality (OR 0.80 [95%CI 0.46-1.39]) (</w:t>
      </w:r>
      <w:r>
        <w:rPr>
          <w:rFonts w:ascii="Arial Narrow" w:eastAsia="Arial Narrow" w:hAnsi="Arial Narrow" w:cs="Arial Narrow"/>
          <w:color w:val="000000"/>
          <w:sz w:val="24"/>
          <w:szCs w:val="24"/>
          <w:highlight w:val="white"/>
        </w:rPr>
        <w:t>Meta-analysis 7; supplementary file 6).</w:t>
      </w:r>
      <w:r>
        <w:rPr>
          <w:rFonts w:ascii="Arial Narrow" w:eastAsia="Arial Narrow" w:hAnsi="Arial Narrow" w:cs="Arial Narrow"/>
          <w:color w:val="000000"/>
          <w:sz w:val="24"/>
          <w:szCs w:val="24"/>
        </w:rPr>
        <w:t xml:space="preserve"> Three of these were in children with CHD and two in the general PICU population. Similarly, no differences were found when they</w:t>
      </w:r>
      <w:r>
        <w:rPr>
          <w:rFonts w:ascii="Arial Narrow" w:eastAsia="Arial Narrow" w:hAnsi="Arial Narrow" w:cs="Arial Narrow"/>
          <w:color w:val="000000"/>
          <w:sz w:val="24"/>
          <w:szCs w:val="24"/>
        </w:rPr>
        <w:t xml:space="preserve"> were separated into the sub groups (CHD alone for mortality (OR 0.74 [95%CI 0.4-1.4] (</w:t>
      </w:r>
      <w:r>
        <w:rPr>
          <w:rFonts w:ascii="Arial Narrow" w:eastAsia="Arial Narrow" w:hAnsi="Arial Narrow" w:cs="Arial Narrow"/>
          <w:color w:val="000000"/>
          <w:sz w:val="24"/>
          <w:szCs w:val="24"/>
          <w:highlight w:val="white"/>
        </w:rPr>
        <w:t>Meta-analysis 8; supplementary file 6) or</w:t>
      </w:r>
      <w:r>
        <w:rPr>
          <w:rFonts w:ascii="Arial Narrow" w:eastAsia="Arial Narrow" w:hAnsi="Arial Narrow" w:cs="Arial Narrow"/>
          <w:color w:val="000000"/>
          <w:sz w:val="24"/>
          <w:szCs w:val="24"/>
        </w:rPr>
        <w:t xml:space="preserve"> NEC (OR 0.46 [95%CI 0.17-1.29</w:t>
      </w:r>
      <w:r>
        <w:rPr>
          <w:rFonts w:ascii="Arial Narrow" w:eastAsia="Arial Narrow" w:hAnsi="Arial Narrow" w:cs="Arial Narrow"/>
          <w:color w:val="000000"/>
          <w:sz w:val="24"/>
          <w:szCs w:val="24"/>
          <w:highlight w:val="white"/>
        </w:rPr>
        <w:t>]) (Meta-analysis 9; supplementary file 6)</w:t>
      </w:r>
      <w:r>
        <w:rPr>
          <w:rFonts w:ascii="Arial Narrow" w:eastAsia="Arial Narrow" w:hAnsi="Arial Narrow" w:cs="Arial Narrow"/>
          <w:color w:val="000000"/>
          <w:sz w:val="24"/>
          <w:szCs w:val="24"/>
        </w:rPr>
        <w:t xml:space="preserve"> or general PICU for mortality (OR 0.96 [95%CI 0.32-2.92</w:t>
      </w:r>
      <w:r>
        <w:rPr>
          <w:rFonts w:ascii="Arial Narrow" w:eastAsia="Arial Narrow" w:hAnsi="Arial Narrow" w:cs="Arial Narrow"/>
          <w:color w:val="000000"/>
          <w:sz w:val="24"/>
          <w:szCs w:val="24"/>
        </w:rPr>
        <w:t>]) (</w:t>
      </w:r>
      <w:r>
        <w:rPr>
          <w:rFonts w:ascii="Arial Narrow" w:eastAsia="Arial Narrow" w:hAnsi="Arial Narrow" w:cs="Arial Narrow"/>
          <w:color w:val="000000"/>
          <w:sz w:val="24"/>
          <w:szCs w:val="24"/>
          <w:highlight w:val="white"/>
        </w:rPr>
        <w:t>Meta-analysis 10; supplementary file 6) . Despite the lack of effect in the meta analysis, (due to the weak observational designs) but</w:t>
      </w:r>
      <w:r>
        <w:rPr>
          <w:rFonts w:ascii="Arial Narrow" w:eastAsia="Arial Narrow" w:hAnsi="Arial Narrow" w:cs="Arial Narrow"/>
          <w:color w:val="000000"/>
          <w:sz w:val="24"/>
          <w:szCs w:val="24"/>
        </w:rPr>
        <w:t xml:space="preserve"> based on the eight studies and expert opinion, we still recommend the use of a protocol to guide enteral feeding in c</w:t>
      </w:r>
      <w:r>
        <w:rPr>
          <w:rFonts w:ascii="Arial Narrow" w:eastAsia="Arial Narrow" w:hAnsi="Arial Narrow" w:cs="Arial Narrow"/>
          <w:color w:val="000000"/>
          <w:sz w:val="24"/>
          <w:szCs w:val="24"/>
        </w:rPr>
        <w:t>ritically ill children, particularly in high risk groups such as CHD. Despite the simplicity of a protocol, a recent survey revealed that only around 30% of European PICUs has a written feeding protocol.</w:t>
      </w:r>
      <w:r>
        <w:rPr>
          <w:rFonts w:ascii="Arial Narrow" w:eastAsia="Arial Narrow" w:hAnsi="Arial Narrow" w:cs="Arial Narrow"/>
          <w:color w:val="000000"/>
          <w:sz w:val="24"/>
          <w:szCs w:val="24"/>
          <w:vertAlign w:val="superscript"/>
        </w:rPr>
        <w:t>76</w:t>
      </w:r>
      <w:r>
        <w:rPr>
          <w:rFonts w:ascii="Arial Narrow" w:eastAsia="Arial Narrow" w:hAnsi="Arial Narrow" w:cs="Arial Narrow"/>
          <w:color w:val="000000"/>
          <w:sz w:val="24"/>
          <w:szCs w:val="24"/>
        </w:rPr>
        <w:t> </w:t>
      </w:r>
    </w:p>
    <w:p w14:paraId="0000008F" w14:textId="77777777" w:rsidR="009935D5" w:rsidRDefault="009935D5">
      <w:pPr>
        <w:shd w:val="clear" w:color="auto" w:fill="FFFFFF"/>
        <w:spacing w:after="0" w:line="240" w:lineRule="auto"/>
        <w:rPr>
          <w:rFonts w:ascii="Arial Narrow" w:eastAsia="Arial Narrow" w:hAnsi="Arial Narrow" w:cs="Arial Narrow"/>
          <w:sz w:val="24"/>
          <w:szCs w:val="24"/>
        </w:rPr>
      </w:pPr>
    </w:p>
    <w:p w14:paraId="00000090" w14:textId="77777777" w:rsidR="009935D5" w:rsidRDefault="00522231">
      <w:pPr>
        <w:shd w:val="clear" w:color="auto" w:fill="FFFFFF"/>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15.1: Enteral feeding protocols a</w:t>
      </w:r>
      <w:r>
        <w:rPr>
          <w:rFonts w:ascii="Arial Narrow" w:eastAsia="Arial Narrow" w:hAnsi="Arial Narrow" w:cs="Arial Narrow"/>
          <w:b/>
          <w:color w:val="000000"/>
          <w:sz w:val="24"/>
          <w:szCs w:val="24"/>
        </w:rPr>
        <w:t xml:space="preserve">re recommended to improve time to initiation of EN and nutritional intake (Strong consensus) SIGN recommendation Grade </w:t>
      </w:r>
      <w:r>
        <w:rPr>
          <w:rFonts w:ascii="Arial Narrow" w:eastAsia="Arial Narrow" w:hAnsi="Arial Narrow" w:cs="Arial Narrow"/>
          <w:b/>
          <w:color w:val="000000"/>
          <w:sz w:val="24"/>
          <w:szCs w:val="24"/>
          <w:highlight w:val="white"/>
        </w:rPr>
        <w:t>C</w:t>
      </w:r>
    </w:p>
    <w:p w14:paraId="00000091" w14:textId="77777777" w:rsidR="009935D5" w:rsidRDefault="009935D5">
      <w:pPr>
        <w:spacing w:after="0" w:line="240" w:lineRule="auto"/>
        <w:rPr>
          <w:rFonts w:ascii="Arial Narrow" w:eastAsia="Arial Narrow" w:hAnsi="Arial Narrow" w:cs="Arial Narrow"/>
          <w:sz w:val="24"/>
          <w:szCs w:val="24"/>
        </w:rPr>
      </w:pPr>
    </w:p>
    <w:p w14:paraId="0000009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Recommendation 15.2: Enteral feeding protocols are recommended for high-risk populations to improve nutritional intake and reduce adve</w:t>
      </w:r>
      <w:r>
        <w:rPr>
          <w:rFonts w:ascii="Arial Narrow" w:eastAsia="Arial Narrow" w:hAnsi="Arial Narrow" w:cs="Arial Narrow"/>
          <w:b/>
          <w:color w:val="000000"/>
          <w:sz w:val="24"/>
          <w:szCs w:val="24"/>
        </w:rPr>
        <w:t>rse events (Strong consensus) SIGN recommendation Grade D</w:t>
      </w:r>
    </w:p>
    <w:p w14:paraId="0000009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br/>
      </w:r>
      <w:r>
        <w:rPr>
          <w:rFonts w:ascii="Arial Narrow" w:eastAsia="Arial Narrow" w:hAnsi="Arial Narrow" w:cs="Arial Narrow"/>
          <w:b/>
          <w:color w:val="000000"/>
          <w:sz w:val="24"/>
          <w:szCs w:val="24"/>
        </w:rPr>
        <w:br/>
      </w:r>
    </w:p>
    <w:p w14:paraId="00000094" w14:textId="77777777" w:rsidR="009935D5" w:rsidRDefault="009935D5">
      <w:pPr>
        <w:spacing w:after="0" w:line="240" w:lineRule="auto"/>
        <w:rPr>
          <w:rFonts w:ascii="Arial Narrow" w:eastAsia="Arial Narrow" w:hAnsi="Arial Narrow" w:cs="Arial Narrow"/>
          <w:b/>
          <w:color w:val="000000"/>
          <w:sz w:val="24"/>
          <w:szCs w:val="24"/>
        </w:rPr>
        <w:sectPr w:rsidR="009935D5">
          <w:headerReference w:type="default" r:id="rId7"/>
          <w:footerReference w:type="default" r:id="rId8"/>
          <w:pgSz w:w="11906" w:h="16838"/>
          <w:pgMar w:top="720" w:right="720" w:bottom="720" w:left="720" w:header="708" w:footer="708" w:gutter="0"/>
          <w:pgNumType w:start="1"/>
          <w:cols w:space="720" w:equalWidth="0">
            <w:col w:w="9360"/>
          </w:cols>
        </w:sectPr>
      </w:pPr>
    </w:p>
    <w:p w14:paraId="0000009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b/>
          <w:color w:val="000000"/>
          <w:sz w:val="24"/>
          <w:szCs w:val="24"/>
        </w:rPr>
        <w:t>References:</w:t>
      </w:r>
    </w:p>
    <w:p w14:paraId="00000096" w14:textId="77777777" w:rsidR="009935D5" w:rsidRDefault="009935D5">
      <w:pPr>
        <w:spacing w:after="0" w:line="240" w:lineRule="auto"/>
        <w:rPr>
          <w:rFonts w:ascii="Arial Narrow" w:eastAsia="Arial Narrow" w:hAnsi="Arial Narrow" w:cs="Arial Narrow"/>
          <w:sz w:val="24"/>
          <w:szCs w:val="24"/>
        </w:rPr>
      </w:pPr>
    </w:p>
    <w:p w14:paraId="0000009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    de Souza Menezes F, Leite HP, Koch Nogueira PC. Malnutrition as an independent predictor of clinical outcome in critically ill children. Nutrition 2012;28:267-70.</w:t>
      </w:r>
    </w:p>
    <w:p w14:paraId="0000009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2.    Prince NJ, Brown KL, Mebrahtu TF, Parslow RC, Peters MJ. Weight-for-age distribut</w:t>
      </w:r>
      <w:r>
        <w:rPr>
          <w:rFonts w:ascii="Arial Narrow" w:eastAsia="Arial Narrow" w:hAnsi="Arial Narrow" w:cs="Arial Narrow"/>
          <w:color w:val="000000"/>
          <w:sz w:val="24"/>
          <w:szCs w:val="24"/>
        </w:rPr>
        <w:t>ion and case-mix adjusted outcomes of 14,307 paediatric intensive care admissions. Intensive Care Med 2014;40:1132-9.</w:t>
      </w:r>
    </w:p>
    <w:p w14:paraId="0000009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3.    Valla FV, Berthiller J, Gaillard-Le-Roux B, et al. Faltering growth in the critically ill child: prevalence, risk factors, and impai</w:t>
      </w:r>
      <w:r>
        <w:rPr>
          <w:rFonts w:ascii="Arial Narrow" w:eastAsia="Arial Narrow" w:hAnsi="Arial Narrow" w:cs="Arial Narrow"/>
          <w:color w:val="000000"/>
          <w:sz w:val="24"/>
          <w:szCs w:val="24"/>
        </w:rPr>
        <w:t>red outcome. Eur J Pediatr 2018;177:345-53.</w:t>
      </w:r>
    </w:p>
    <w:p w14:paraId="0000009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4.    Sotoudeh M, Khalili M, Azizian M, Imani B. PREVALENCE OF MALNUTRITION BASED ON UNDER WEIGHT INPATIENTS IN PEDIATRIC INTENSIVE CARE UNIT. International Journal Of Pharmacy &amp; Technology 2016;8:12333-40.</w:t>
      </w:r>
    </w:p>
    <w:p w14:paraId="0000009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5.   </w:t>
      </w:r>
      <w:r>
        <w:rPr>
          <w:rFonts w:ascii="Arial Narrow" w:eastAsia="Arial Narrow" w:hAnsi="Arial Narrow" w:cs="Arial Narrow"/>
          <w:color w:val="000000"/>
          <w:sz w:val="24"/>
          <w:szCs w:val="24"/>
        </w:rPr>
        <w:t xml:space="preserve"> Briassoulis G, Zavras N, Hatzis T. Malnutrition, nutritional indices, and early enteral feeding in critically ill children. Nutrition 2001;17:548-57.</w:t>
      </w:r>
    </w:p>
    <w:p w14:paraId="0000009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    Bechard LJ, Duggan C, Touger-Decker R, et al. Nutritional Status Based on Body Mass Index Is Associ</w:t>
      </w:r>
      <w:r>
        <w:rPr>
          <w:rFonts w:ascii="Arial Narrow" w:eastAsia="Arial Narrow" w:hAnsi="Arial Narrow" w:cs="Arial Narrow"/>
          <w:color w:val="000000"/>
          <w:sz w:val="24"/>
          <w:szCs w:val="24"/>
        </w:rPr>
        <w:t>ated With Morbidity and Mortality in Mechanically Ventilated Critically Ill Children in the PICU. Crit Care Med 2016;44:1530-7.</w:t>
      </w:r>
    </w:p>
    <w:p w14:paraId="0000009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7.    Anton-Martin P, Papacostas M, Lee E, Nakonezny PA, Green ML. Underweight Status Is an Independent Predictor of In-Hospital</w:t>
      </w:r>
      <w:r>
        <w:rPr>
          <w:rFonts w:ascii="Arial Narrow" w:eastAsia="Arial Narrow" w:hAnsi="Arial Narrow" w:cs="Arial Narrow"/>
          <w:color w:val="000000"/>
          <w:sz w:val="24"/>
          <w:szCs w:val="24"/>
        </w:rPr>
        <w:t xml:space="preserve"> Mortality in Pediatric Patients on Extracorporeal Membrane Oxygenation. JPEN J Parenter Enteral Nutr 2018;42:104-11.</w:t>
      </w:r>
    </w:p>
    <w:p w14:paraId="0000009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    Leite HP, de Lima LF, de Oliveira Iglesias SB, Pacheco JC, de Carvalho WB. Malnutrition may worsen the prognosis of critically ill c</w:t>
      </w:r>
      <w:r>
        <w:rPr>
          <w:rFonts w:ascii="Arial Narrow" w:eastAsia="Arial Narrow" w:hAnsi="Arial Narrow" w:cs="Arial Narrow"/>
          <w:color w:val="000000"/>
          <w:sz w:val="24"/>
          <w:szCs w:val="24"/>
        </w:rPr>
        <w:t>hildren with hyperglycemia and hypoglycemia. JPEN J Parenter Enteral Nutr 2013;37:335-41.</w:t>
      </w:r>
    </w:p>
    <w:p w14:paraId="0000009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    Zamberlan P, Leone C, Tannuri U, Carvalho WB, Delgado AF. Nutritional risk and anthropometric evaluation in pediatric liver transplantation. Clinics (Sao Paulo)</w:t>
      </w:r>
      <w:r>
        <w:rPr>
          <w:rFonts w:ascii="Arial Narrow" w:eastAsia="Arial Narrow" w:hAnsi="Arial Narrow" w:cs="Arial Narrow"/>
          <w:color w:val="000000"/>
          <w:sz w:val="24"/>
          <w:szCs w:val="24"/>
        </w:rPr>
        <w:t xml:space="preserve"> 2012;67:1387-92.</w:t>
      </w:r>
    </w:p>
    <w:p w14:paraId="000000A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    van Puffelen E, Hulst JM, Vanhorebeek I, et al. Outcomes of Delaying Parenteral Nutrition for 1 Week vs Initiation Within 24 Hours Among Undernourished Children in Pediatric Intensive Care: A Subanalysis of the PEPaNIC Randomized C</w:t>
      </w:r>
      <w:r>
        <w:rPr>
          <w:rFonts w:ascii="Arial Narrow" w:eastAsia="Arial Narrow" w:hAnsi="Arial Narrow" w:cs="Arial Narrow"/>
          <w:color w:val="000000"/>
          <w:sz w:val="24"/>
          <w:szCs w:val="24"/>
        </w:rPr>
        <w:t>linical Trial. JAMA Netw Open 2018;1:e182668.</w:t>
      </w:r>
    </w:p>
    <w:p w14:paraId="000000A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11.    Castillo A, Santiago MJ, Lopez-Herce J, et al. Nutritional status and clinical outcome of children on continuous renal replacement therapy: a prospective observational study. BMC Nephrol 2012;13:125.</w:t>
      </w:r>
    </w:p>
    <w:p w14:paraId="000000A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12.</w:t>
      </w:r>
      <w:r>
        <w:rPr>
          <w:rFonts w:ascii="Arial Narrow" w:eastAsia="Arial Narrow" w:hAnsi="Arial Narrow" w:cs="Arial Narrow"/>
          <w:color w:val="000000"/>
          <w:sz w:val="24"/>
          <w:szCs w:val="24"/>
        </w:rPr>
        <w:t>    Numa A, McAweeney J, Williams G, Awad J, Ravindranathan H. Extremes of weight centile are associated with increased risk of mortality in pediatric intensive care. Crit Care 2011;15:R106.</w:t>
      </w:r>
    </w:p>
    <w:p w14:paraId="000000A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13.    Anderson JB, Beekman RH, 3rd, Border WL, et al. Lower weig</w:t>
      </w:r>
      <w:r>
        <w:rPr>
          <w:rFonts w:ascii="Arial Narrow" w:eastAsia="Arial Narrow" w:hAnsi="Arial Narrow" w:cs="Arial Narrow"/>
          <w:color w:val="000000"/>
          <w:sz w:val="24"/>
          <w:szCs w:val="24"/>
        </w:rPr>
        <w:t>ht-for-age z score adversely affects hospital length of stay after the bidirectional Glenn procedure in 100 infants with a single ventricle. J Thorac Cardiovasc Surg 2009;138:397-404 e1.</w:t>
      </w:r>
    </w:p>
    <w:p w14:paraId="000000A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14.    Botran M, Lopez-Herce J, Mencia S, et al. Relationship between</w:t>
      </w:r>
      <w:r>
        <w:rPr>
          <w:rFonts w:ascii="Arial Narrow" w:eastAsia="Arial Narrow" w:hAnsi="Arial Narrow" w:cs="Arial Narrow"/>
          <w:color w:val="000000"/>
          <w:sz w:val="24"/>
          <w:szCs w:val="24"/>
        </w:rPr>
        <w:t xml:space="preserve"> energy expenditure, nutritional status and clinical severity before starting enteral nutrition in critically ill children. Br J Nutr 2011;105:731-7.</w:t>
      </w:r>
    </w:p>
    <w:p w14:paraId="000000A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15.    Grippa RB, Silva PS, Barbosa E, Bresolin NL, Mehta NM, Moreno YM. Nutritional status as a predictor</w:t>
      </w:r>
      <w:r>
        <w:rPr>
          <w:rFonts w:ascii="Arial Narrow" w:eastAsia="Arial Narrow" w:hAnsi="Arial Narrow" w:cs="Arial Narrow"/>
          <w:color w:val="000000"/>
          <w:sz w:val="24"/>
          <w:szCs w:val="24"/>
        </w:rPr>
        <w:t xml:space="preserve"> of duration of mechanical ventilation in critically ill children. Nutrition 2017;33:91-5.</w:t>
      </w:r>
    </w:p>
    <w:p w14:paraId="000000A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16.    Radman M, Mack R, Barnoya J, et al. The effect of preoperative nutritional status on postoperative outcomes in children undergoing surgery for congenital hear</w:t>
      </w:r>
      <w:r>
        <w:rPr>
          <w:rFonts w:ascii="Arial Narrow" w:eastAsia="Arial Narrow" w:hAnsi="Arial Narrow" w:cs="Arial Narrow"/>
          <w:color w:val="000000"/>
          <w:sz w:val="24"/>
          <w:szCs w:val="24"/>
        </w:rPr>
        <w:t>t defects in San Francisco (UCSF) and Guatemala City (UNICAR). J Thorac Cardiovasc Surg 2014;147:442-50.</w:t>
      </w:r>
    </w:p>
    <w:p w14:paraId="000000A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17.    Davis ET, Xie L, Levenbrown Y. Impact of Obesity on Outcomes in Critically Ill Children. JPEN J Parenter Enteral Nutr 2017:148607117725043.</w:t>
      </w:r>
    </w:p>
    <w:p w14:paraId="000000A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18.    Ross PA, Newth CJ, Leung D, Wetzel RC, Khemani RG. Obesity and Mortality Risk in Critically Ill Children. Pediatrics 2016;137:e20152035.</w:t>
      </w:r>
    </w:p>
    <w:p w14:paraId="000000A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19.    Ward SL, Gildengorin V, Valentine SL, et al. Impact of Weight Extremes on Clinical Outcomes in Pediatric Acute Respiratory Distress Syndrome. Crit Care Med 2016;44:2052-9.</w:t>
      </w:r>
    </w:p>
    <w:p w14:paraId="000000A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20.    Goh VL, Wakeham MK, Brazauskas R, Mikhailov TA, Goday PS. Obesity is n</w:t>
      </w:r>
      <w:r>
        <w:rPr>
          <w:rFonts w:ascii="Arial Narrow" w:eastAsia="Arial Narrow" w:hAnsi="Arial Narrow" w:cs="Arial Narrow"/>
          <w:color w:val="000000"/>
          <w:sz w:val="24"/>
          <w:szCs w:val="24"/>
        </w:rPr>
        <w:t>ot associated with increased mortality and morbidity in critically ill children. JPEN J Parenter Enteral Nutr 2013;37:102-8.</w:t>
      </w:r>
    </w:p>
    <w:p w14:paraId="000000A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21.    Srinivasan V, Nadkarni VM, Helfaer MA, Carey SM, Berg RA, American Heart Association National Registry of Cardiopulmonary Re</w:t>
      </w:r>
      <w:r>
        <w:rPr>
          <w:rFonts w:ascii="Arial Narrow" w:eastAsia="Arial Narrow" w:hAnsi="Arial Narrow" w:cs="Arial Narrow"/>
          <w:color w:val="000000"/>
          <w:sz w:val="24"/>
          <w:szCs w:val="24"/>
        </w:rPr>
        <w:t>suscitation I. Childhood obesity and survival after in-hospital pediatric cardiopulmonary resuscitation. Pediatrics 2010;125:e481-8.</w:t>
      </w:r>
    </w:p>
    <w:p w14:paraId="000000A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22.    Eskedal LT, Hagemo PS, Seem E, et al. Impaired weight gain predicts risk of late death after surgery for congenital </w:t>
      </w:r>
      <w:r>
        <w:rPr>
          <w:rFonts w:ascii="Arial Narrow" w:eastAsia="Arial Narrow" w:hAnsi="Arial Narrow" w:cs="Arial Narrow"/>
          <w:color w:val="000000"/>
          <w:sz w:val="24"/>
          <w:szCs w:val="24"/>
        </w:rPr>
        <w:t>heart defects. Arch Dis Child 2008;93:495-501.</w:t>
      </w:r>
    </w:p>
    <w:p w14:paraId="000000A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23.    Hulst J, Joosten K, Zimmermann L, et al. Malnutrition in critically ill children: from admission to 6 months after discharge. Clin Nutr 2004;23:223-32.</w:t>
      </w:r>
    </w:p>
    <w:p w14:paraId="000000A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24.    Valla FV, Young DK, Rabilloud M, et al. Thi</w:t>
      </w:r>
      <w:r>
        <w:rPr>
          <w:rFonts w:ascii="Arial Narrow" w:eastAsia="Arial Narrow" w:hAnsi="Arial Narrow" w:cs="Arial Narrow"/>
          <w:color w:val="000000"/>
          <w:sz w:val="24"/>
          <w:szCs w:val="24"/>
        </w:rPr>
        <w:t>gh Ultrasound Monitoring Identifies Decreases in Quadriceps Femoris Thickness as a Frequent Observation in Critically Ill Children. Pediatr Crit Care Med 2017;18:e339-e47.</w:t>
      </w:r>
    </w:p>
    <w:p w14:paraId="000000A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25.    Kelleher DK, Laussen P, Teixeira-Pinto A, Duggan C. Growth and correlates of </w:t>
      </w:r>
      <w:r>
        <w:rPr>
          <w:rFonts w:ascii="Arial Narrow" w:eastAsia="Arial Narrow" w:hAnsi="Arial Narrow" w:cs="Arial Narrow"/>
          <w:color w:val="000000"/>
          <w:sz w:val="24"/>
          <w:szCs w:val="24"/>
        </w:rPr>
        <w:t>nutritional status among infants with hypoplastic left heart syndrome (HLHS) after stage 1 Norwood procedure. Nutrition 2006;22:237-44.</w:t>
      </w:r>
    </w:p>
    <w:p w14:paraId="000000B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26.    Mehta NM, Corkins MR, Lyman B, et al. Defining pediatric malnutrition: a paradigm shift toward etiology-related d</w:t>
      </w:r>
      <w:r>
        <w:rPr>
          <w:rFonts w:ascii="Arial Narrow" w:eastAsia="Arial Narrow" w:hAnsi="Arial Narrow" w:cs="Arial Narrow"/>
          <w:color w:val="000000"/>
          <w:sz w:val="24"/>
          <w:szCs w:val="24"/>
        </w:rPr>
        <w:t>efinitions. JPEN J Parenter Enteral Nutr 2013;37:460-81.</w:t>
      </w:r>
    </w:p>
    <w:p w14:paraId="000000B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27.    Bouma S. Diagnosing Pediatric Malnutrition. Nutr Clin Pract 2017;32:52-67.</w:t>
      </w:r>
    </w:p>
    <w:p w14:paraId="000000B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28.    Hulst JM, van Goudoever JB, Zimmermann LJ, Tibboel D, Joosten KF. The role of initial monitoring of routine bi</w:t>
      </w:r>
      <w:r>
        <w:rPr>
          <w:rFonts w:ascii="Arial Narrow" w:eastAsia="Arial Narrow" w:hAnsi="Arial Narrow" w:cs="Arial Narrow"/>
          <w:color w:val="000000"/>
          <w:sz w:val="24"/>
          <w:szCs w:val="24"/>
        </w:rPr>
        <w:t>ochemical nutritional markers in critically ill children. J Nutr Biochem 2006;17:57-62.</w:t>
      </w:r>
    </w:p>
    <w:p w14:paraId="000000B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29.    Martinez EE, Smallwood CD, Quinn NL, et al. Body Composition in Children with Chronic Illness: Accuracy of Bedside Assessment Techniques. J Pediatr 2017;190:56-6</w:t>
      </w:r>
      <w:r>
        <w:rPr>
          <w:rFonts w:ascii="Arial Narrow" w:eastAsia="Arial Narrow" w:hAnsi="Arial Narrow" w:cs="Arial Narrow"/>
          <w:color w:val="000000"/>
          <w:sz w:val="24"/>
          <w:szCs w:val="24"/>
        </w:rPr>
        <w:t>2.</w:t>
      </w:r>
    </w:p>
    <w:p w14:paraId="000000B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30.    Green Corkins K, Teague EE. Pediatric Nutrition Assessment: Anthropometrics to Zinc. Nutr Clin Pract 2017;32:40-51.</w:t>
      </w:r>
    </w:p>
    <w:p w14:paraId="000000B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31.    Fivez T, Hendrickx A, Van Herpe T, et al. An Analysis of Reliability and Accuracy of Muscle Thickness Ultrasonography in Cr</w:t>
      </w:r>
      <w:r>
        <w:rPr>
          <w:rFonts w:ascii="Arial Narrow" w:eastAsia="Arial Narrow" w:hAnsi="Arial Narrow" w:cs="Arial Narrow"/>
          <w:color w:val="000000"/>
          <w:sz w:val="24"/>
          <w:szCs w:val="24"/>
        </w:rPr>
        <w:t>itically Ill Children and Adults. JPEN J Parenter Enteral Nutr 2016;40:944-9.</w:t>
      </w:r>
    </w:p>
    <w:p w14:paraId="000000B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32.    Wakita M, Fukatsu A, Amagai T. Nutrition assessment as a predictor of clinical outcomes for infants with cardiac surgery: using the prognostic nutritional index. Nutr Clin</w:t>
      </w:r>
      <w:r>
        <w:rPr>
          <w:rFonts w:ascii="Arial Narrow" w:eastAsia="Arial Narrow" w:hAnsi="Arial Narrow" w:cs="Arial Narrow"/>
          <w:color w:val="000000"/>
          <w:sz w:val="24"/>
          <w:szCs w:val="24"/>
        </w:rPr>
        <w:t xml:space="preserve"> Pract 2011;26:192-8.</w:t>
      </w:r>
    </w:p>
    <w:p w14:paraId="000000B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33.    Vermilyea S, Slicker J, El-Chammas K, et al. Subjective global nutritional assessment in critically ill children. JPEN J Parenter Enteral Nutr 2013;37:659-66.</w:t>
      </w:r>
    </w:p>
    <w:p w14:paraId="000000B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34.    Valla FV, Ford-Chessel C, Meyer R, et al. A training program </w:t>
      </w:r>
      <w:r>
        <w:rPr>
          <w:rFonts w:ascii="Arial Narrow" w:eastAsia="Arial Narrow" w:hAnsi="Arial Narrow" w:cs="Arial Narrow"/>
          <w:color w:val="000000"/>
          <w:sz w:val="24"/>
          <w:szCs w:val="24"/>
        </w:rPr>
        <w:t>for anthropometric measurements by a dedicated nutrition support team improves nutritional status assessment of the critically ill child. Pediatr Crit Care Med 2015;16:e82-8.</w:t>
      </w:r>
    </w:p>
    <w:p w14:paraId="000000B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35.    Abdul Manaf Z, Kassim N, Hamzaid NH, Razali NH. Delivery of enteral nutrit</w:t>
      </w:r>
      <w:r>
        <w:rPr>
          <w:rFonts w:ascii="Arial Narrow" w:eastAsia="Arial Narrow" w:hAnsi="Arial Narrow" w:cs="Arial Narrow"/>
          <w:color w:val="000000"/>
          <w:sz w:val="24"/>
          <w:szCs w:val="24"/>
        </w:rPr>
        <w:t>ion for critically ill children. Nutr Diet 2013;70:120-5.</w:t>
      </w:r>
    </w:p>
    <w:p w14:paraId="000000B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36.    del Castillo SL, McCulley ME, Khemani RG, et al. Reducing the incidence of necrotizing enterocolitis in neonates with hypoplastic left heart syndrome with the introduction of an enteral feed </w:t>
      </w:r>
      <w:r>
        <w:rPr>
          <w:rFonts w:ascii="Arial Narrow" w:eastAsia="Arial Narrow" w:hAnsi="Arial Narrow" w:cs="Arial Narrow"/>
          <w:color w:val="000000"/>
          <w:sz w:val="24"/>
          <w:szCs w:val="24"/>
        </w:rPr>
        <w:t>protocol. Pediatr Crit Care Med 2010;11:373-7.</w:t>
      </w:r>
    </w:p>
    <w:p w14:paraId="000000B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37.    Tripathi S, Kaur H, Varayil JE, Hurt RT. Effects of enteral nutrition on clinical outcomes among mechanically ventilated and sedated patients in the pediatric intensive care unit. Signa Vitae 2015;10.</w:t>
      </w:r>
    </w:p>
    <w:p w14:paraId="000000B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3</w:t>
      </w:r>
      <w:r>
        <w:rPr>
          <w:rFonts w:ascii="Arial Narrow" w:eastAsia="Arial Narrow" w:hAnsi="Arial Narrow" w:cs="Arial Narrow"/>
          <w:color w:val="000000"/>
          <w:sz w:val="24"/>
          <w:szCs w:val="24"/>
        </w:rPr>
        <w:t>8.    Balakrishnan B, Flynn-O'Brien KT, Simpson PM, Dasgupta M, Hanson SJ. Enteral Nutrition Initiation in Children Admitted to Pediatric Intensive Care Units After Traumatic Brain Injury. Neurocrit Care 2019;30:193-200.</w:t>
      </w:r>
    </w:p>
    <w:p w14:paraId="000000B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39.    Bagci S, Keles E, Girgin F, </w:t>
      </w:r>
      <w:r>
        <w:rPr>
          <w:rFonts w:ascii="Arial Narrow" w:eastAsia="Arial Narrow" w:hAnsi="Arial Narrow" w:cs="Arial Narrow"/>
          <w:color w:val="000000"/>
          <w:sz w:val="24"/>
          <w:szCs w:val="24"/>
        </w:rPr>
        <w:t>et al. Early initiated feeding versus early reached target enteral nutrition in critically ill children: An observational study in paediatric intensive care units in Turkey. J Paediatr Child Health 2018;54:480-6.</w:t>
      </w:r>
    </w:p>
    <w:p w14:paraId="000000B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40.    Lee H, Koh SO, Kim H, Sohn MH, Kim K</w:t>
      </w:r>
      <w:r>
        <w:rPr>
          <w:rFonts w:ascii="Arial Narrow" w:eastAsia="Arial Narrow" w:hAnsi="Arial Narrow" w:cs="Arial Narrow"/>
          <w:color w:val="000000"/>
          <w:sz w:val="24"/>
          <w:szCs w:val="24"/>
        </w:rPr>
        <w:t>E, Kim KW. Avoidable causes of delayed enteral nutrition in critically ill children. J Korean Med Sci 2013;28:1055-9.</w:t>
      </w:r>
    </w:p>
    <w:p w14:paraId="000000B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41.    Mikhailov TA, Kuhn EM, Manzi J, et al. Early enteral nutrition is associated with lower mortality in critically ill children. JPEN </w:t>
      </w:r>
      <w:r>
        <w:rPr>
          <w:rFonts w:ascii="Arial Narrow" w:eastAsia="Arial Narrow" w:hAnsi="Arial Narrow" w:cs="Arial Narrow"/>
          <w:color w:val="000000"/>
          <w:sz w:val="24"/>
          <w:szCs w:val="24"/>
        </w:rPr>
        <w:t>J Parenter Enteral Nutr 2014;38:459-66.</w:t>
      </w:r>
    </w:p>
    <w:p w14:paraId="000000C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42.    Mikhailov TA, Gertz SJ, Kuhn EM, Scanlon MC, Rice TB, Goday PS. Early Enteral Nutrition Is Associated With Significantly Lower Hospital Charges in Critically Ill Children. JPEN J Parenter Enteral Nutr 2018;42:</w:t>
      </w:r>
      <w:r>
        <w:rPr>
          <w:rFonts w:ascii="Arial Narrow" w:eastAsia="Arial Narrow" w:hAnsi="Arial Narrow" w:cs="Arial Narrow"/>
          <w:color w:val="000000"/>
          <w:sz w:val="24"/>
          <w:szCs w:val="24"/>
        </w:rPr>
        <w:t>920-5.</w:t>
      </w:r>
    </w:p>
    <w:p w14:paraId="000000C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43.    Prakash V, Parameswaran N, Biswal N. Early versus late enteral feeding in critically ill children: a randomized controlled trial. Intensive Care Med 2016;42:481-2.</w:t>
      </w:r>
    </w:p>
    <w:p w14:paraId="000000C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44.    Braudis NJ, Curley MA, Beaupre K, et al. Enteral feeding algorithm for </w:t>
      </w:r>
      <w:r>
        <w:rPr>
          <w:rFonts w:ascii="Arial Narrow" w:eastAsia="Arial Narrow" w:hAnsi="Arial Narrow" w:cs="Arial Narrow"/>
          <w:color w:val="000000"/>
          <w:sz w:val="24"/>
          <w:szCs w:val="24"/>
        </w:rPr>
        <w:t>infants with hypoplastic left heart syndrome poststage I palliation. Pediatr Crit Care Med 2009;10:460-6.</w:t>
      </w:r>
    </w:p>
    <w:p w14:paraId="000000C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45.    Carpenito KR, Prusinski R, Kirchner K, et al. Results of a Feeding Protocol in Patients Undergoing the Hybrid Procedure. Pediatr Cardiol 2016;3</w:t>
      </w:r>
      <w:r>
        <w:rPr>
          <w:rFonts w:ascii="Arial Narrow" w:eastAsia="Arial Narrow" w:hAnsi="Arial Narrow" w:cs="Arial Narrow"/>
          <w:color w:val="000000"/>
          <w:sz w:val="24"/>
          <w:szCs w:val="24"/>
        </w:rPr>
        <w:t>7:852-9.</w:t>
      </w:r>
    </w:p>
    <w:p w14:paraId="000000C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46.    Gurgueira GL, Leite HP, Taddei JA, de Carvalho WB. Outcomes in a pediatric intensive care unit before and after the implementation of a nutrition support team. JPEN J Parenter Enteral Nutr 2005;29:176-85.</w:t>
      </w:r>
    </w:p>
    <w:p w14:paraId="000000C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47.    Kirk AH, Ng BS, Lee AN, Ang B, Lee JH. Perceptions of Pediatric Critical Care Nurses on the Initiation of a Nursing-Led Feeding Protocol. J Nurs Res 2015;23:308-12.</w:t>
      </w:r>
    </w:p>
    <w:p w14:paraId="000000C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48.    Canarie MF, Barry S, Carroll CL, et al. Risk Factors for Delayed Enteral Nutr</w:t>
      </w:r>
      <w:r>
        <w:rPr>
          <w:rFonts w:ascii="Arial Narrow" w:eastAsia="Arial Narrow" w:hAnsi="Arial Narrow" w:cs="Arial Narrow"/>
          <w:color w:val="000000"/>
          <w:sz w:val="24"/>
          <w:szCs w:val="24"/>
        </w:rPr>
        <w:t>ition in Critically Ill Children. Pediatr Crit Care Med 2015;16:e283-9.</w:t>
      </w:r>
    </w:p>
    <w:p w14:paraId="000000C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49.    Jones NE, Suurdt J, Ouelette-Kuntz H, Heyland DK. Implementation of the Canadian Clinical Practice Guidelines for Nutrition Support: a multiple case study of barriers and enable</w:t>
      </w:r>
      <w:r>
        <w:rPr>
          <w:rFonts w:ascii="Arial Narrow" w:eastAsia="Arial Narrow" w:hAnsi="Arial Narrow" w:cs="Arial Narrow"/>
          <w:color w:val="000000"/>
          <w:sz w:val="24"/>
          <w:szCs w:val="24"/>
        </w:rPr>
        <w:t>rs. Nutr Clin Pract 2007;22:449-57.</w:t>
      </w:r>
    </w:p>
    <w:p w14:paraId="000000C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50.    Leong AY, Cartwright KR, Guerra GG, Joffe AR, Mazurak VC, Larsen BM. A Canadian survey of perceived barriers to initiation and continuation of enteral feeding in PICUs. Pediatr Crit Care Med 2014;15:e49-55.</w:t>
      </w:r>
    </w:p>
    <w:p w14:paraId="000000C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51.   </w:t>
      </w:r>
      <w:r>
        <w:rPr>
          <w:rFonts w:ascii="Arial Narrow" w:eastAsia="Arial Narrow" w:hAnsi="Arial Narrow" w:cs="Arial Narrow"/>
          <w:color w:val="000000"/>
          <w:sz w:val="24"/>
          <w:szCs w:val="24"/>
        </w:rPr>
        <w:t xml:space="preserve"> Rogers EJ, Gilbertson HR, Heine RG, Henning R. Barriers to adequate nutrition in critically ill children. Nutrition 2003;19:865-8.</w:t>
      </w:r>
    </w:p>
    <w:p w14:paraId="000000C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52.    Yoshimura S, Miyazu M, Yoshizawa S, et al. Efficacy of an enteral feeding protocol for providing nutritional support </w:t>
      </w:r>
      <w:r>
        <w:rPr>
          <w:rFonts w:ascii="Arial Narrow" w:eastAsia="Arial Narrow" w:hAnsi="Arial Narrow" w:cs="Arial Narrow"/>
          <w:color w:val="000000"/>
          <w:sz w:val="24"/>
          <w:szCs w:val="24"/>
        </w:rPr>
        <w:t>after paediatric cardiac surgery. Anaesth Intensive Care 2015;43:587-93.</w:t>
      </w:r>
    </w:p>
    <w:p w14:paraId="000000C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53.    Floh AA, Slicker J, Schwartz SM. Nutrition and Mesenteric Issues in Pediatric Cardiac Critical Care. Pediatr Crit Care Med 2016;17:S243-9.</w:t>
      </w:r>
    </w:p>
    <w:p w14:paraId="000000C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54.    Hartmann C, Radermacher P, Wep</w:t>
      </w:r>
      <w:r>
        <w:rPr>
          <w:rFonts w:ascii="Arial Narrow" w:eastAsia="Arial Narrow" w:hAnsi="Arial Narrow" w:cs="Arial Narrow"/>
          <w:color w:val="000000"/>
          <w:sz w:val="24"/>
          <w:szCs w:val="24"/>
        </w:rPr>
        <w:t>ler M, Nussbaum B. Non-Hemodynamic Effects of Catecholamines. Shock 2017;48:390-400.</w:t>
      </w:r>
    </w:p>
    <w:p w14:paraId="000000C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55.    van Haren FM, Sleigh JW, Pickkers P, Van der Hoeven JG. Gastrointestinal perfusion in septic shock. Anaesth Intensive Care 2007;35:679-94.</w:t>
      </w:r>
    </w:p>
    <w:p w14:paraId="000000C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56.    Anand RJ, Leaphart</w:t>
      </w:r>
      <w:r>
        <w:rPr>
          <w:rFonts w:ascii="Arial Narrow" w:eastAsia="Arial Narrow" w:hAnsi="Arial Narrow" w:cs="Arial Narrow"/>
          <w:color w:val="000000"/>
          <w:sz w:val="24"/>
          <w:szCs w:val="24"/>
        </w:rPr>
        <w:t xml:space="preserve"> CL, Mollen KP, Hackam DJ. The role of the intestinal barrier in the pathogenesis of necrotizing enterocolitis. Shock 2007;27:124-33.</w:t>
      </w:r>
    </w:p>
    <w:p w14:paraId="000000C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57.    Typpo KV, Larmonier CB, Deschenes J, Redford D, Kiela PR, Ghishan FK. Clinical characteristics associated with post</w:t>
      </w:r>
      <w:r>
        <w:rPr>
          <w:rFonts w:ascii="Arial Narrow" w:eastAsia="Arial Narrow" w:hAnsi="Arial Narrow" w:cs="Arial Narrow"/>
          <w:color w:val="000000"/>
          <w:sz w:val="24"/>
          <w:szCs w:val="24"/>
        </w:rPr>
        <w:t>operative intestinal epithelial barrier dysfunction in children with congenital heart disease. Pediatr Crit Care Med 2015;16:37-44.</w:t>
      </w:r>
    </w:p>
    <w:p w14:paraId="000000D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58.    Hanekamp MN, Spoel M, Sharman-Koendjbiharie I, Peters JW, Albers MJ, Tibboel D. Routine enteral nutrition in neonates</w:t>
      </w:r>
      <w:r>
        <w:rPr>
          <w:rFonts w:ascii="Arial Narrow" w:eastAsia="Arial Narrow" w:hAnsi="Arial Narrow" w:cs="Arial Narrow"/>
          <w:color w:val="000000"/>
          <w:sz w:val="24"/>
          <w:szCs w:val="24"/>
        </w:rPr>
        <w:t xml:space="preserve"> on extracorporeal membrane oxygenation. Pediatr Crit Care Med 2005;6:275-9.</w:t>
      </w:r>
    </w:p>
    <w:p w14:paraId="000000D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59.    Hanekamp MN, Spoel M, Sharman-Koendjbiharie M, et al. Gut hormone profiles in critically ill neonates on extracorporeal membrane oxygenation. J Pediatr Gastroenterol Nutr 2</w:t>
      </w:r>
      <w:r>
        <w:rPr>
          <w:rFonts w:ascii="Arial Narrow" w:eastAsia="Arial Narrow" w:hAnsi="Arial Narrow" w:cs="Arial Narrow"/>
          <w:color w:val="000000"/>
          <w:sz w:val="24"/>
          <w:szCs w:val="24"/>
        </w:rPr>
        <w:t>005;40:175-9.</w:t>
      </w:r>
    </w:p>
    <w:p w14:paraId="000000D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60.    Piena M, Albers MJ, Van Haard PM, Gischler S, Tibboel D. Introduction of enteral feeding in neonates on extracorporeal membrane oxygenation after evaluation of intestinal permeability changes. J Pediatr Surg 1998;33:30-4.</w:t>
      </w:r>
    </w:p>
    <w:p w14:paraId="000000D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61.    Wertheim HF, Albers MJ, Piena-Spoel M, Tibboel D. The incidence of septic complications in newborns on extracorporeal membrane oxygenation is not affected by feeding route. J Pediatr Surg 2001;36:1485-9.</w:t>
      </w:r>
    </w:p>
    <w:p w14:paraId="000000D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62.    Ong C, Mok YH, Tan ZH, et al. Nutritio</w:t>
      </w:r>
      <w:r>
        <w:rPr>
          <w:rFonts w:ascii="Arial Narrow" w:eastAsia="Arial Narrow" w:hAnsi="Arial Narrow" w:cs="Arial Narrow"/>
          <w:color w:val="000000"/>
          <w:sz w:val="24"/>
          <w:szCs w:val="24"/>
        </w:rPr>
        <w:t>nal practices and adequacy in children supported on extracorporeal membrane oxygenation. Clin Nutr ESPEN 2018;26:21-6.</w:t>
      </w:r>
    </w:p>
    <w:p w14:paraId="000000D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63.    Pettignano R, Heard M, Davis R, Labuz M, Hart M. Total enteral nutrition versus total parenteral nutrition during pediatric extrac</w:t>
      </w:r>
      <w:r>
        <w:rPr>
          <w:rFonts w:ascii="Arial Narrow" w:eastAsia="Arial Narrow" w:hAnsi="Arial Narrow" w:cs="Arial Narrow"/>
          <w:color w:val="000000"/>
          <w:sz w:val="24"/>
          <w:szCs w:val="24"/>
        </w:rPr>
        <w:t>orporeal membrane oxygenation. Crit Care Med 1998;26:358-63.</w:t>
      </w:r>
    </w:p>
    <w:p w14:paraId="000000D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64.    Panchal AK, Manzi J, Connolly S, et al. Safety of Enteral Feedings in Critically Ill Children Receiving Vasoactive Agents. JPEN J Parenter Enteral Nutr 2016;40:236-41.</w:t>
      </w:r>
    </w:p>
    <w:p w14:paraId="000000D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65.    King W, Petri</w:t>
      </w:r>
      <w:r>
        <w:rPr>
          <w:rFonts w:ascii="Arial Narrow" w:eastAsia="Arial Narrow" w:hAnsi="Arial Narrow" w:cs="Arial Narrow"/>
          <w:color w:val="000000"/>
          <w:sz w:val="24"/>
          <w:szCs w:val="24"/>
        </w:rPr>
        <w:t>llo T, Pettignano R. Enteral nutrition and cardiovascular medications in the pediatric intensive care unit. JPEN J Parenter Enteral Nutr 2004;28:334-8.</w:t>
      </w:r>
    </w:p>
    <w:p w14:paraId="000000D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66.    López-Herce J, Mencía S, Sánchez C, Santiago MJ, Bustinza A, Vigil D. Postpyloric enteral nutriti</w:t>
      </w:r>
      <w:r>
        <w:rPr>
          <w:rFonts w:ascii="Arial Narrow" w:eastAsia="Arial Narrow" w:hAnsi="Arial Narrow" w:cs="Arial Narrow"/>
          <w:color w:val="000000"/>
          <w:sz w:val="24"/>
          <w:szCs w:val="24"/>
        </w:rPr>
        <w:t>on in the critically ill child with shock: A prospective observational study. Nutrition Journal 2008;7.</w:t>
      </w:r>
    </w:p>
    <w:p w14:paraId="000000D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67.    Jeffries HE, Wells WJ, Starnes VA, Wetzel RC, Moromisato DY. Gastrointestinal morbidity after Norwood palliation for hypoplastic left heart syndr</w:t>
      </w:r>
      <w:r>
        <w:rPr>
          <w:rFonts w:ascii="Arial Narrow" w:eastAsia="Arial Narrow" w:hAnsi="Arial Narrow" w:cs="Arial Narrow"/>
          <w:color w:val="000000"/>
          <w:sz w:val="24"/>
          <w:szCs w:val="24"/>
        </w:rPr>
        <w:t>ome. Ann Thorac Surg 2006;81:982-7.</w:t>
      </w:r>
    </w:p>
    <w:p w14:paraId="000000D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68.    Luce WA, Schwartz RM, Beauseau W, et al. Necrotizing enterocolitis in neonates undergoing the hybrid approach to complex congenital heart disease. Pediatr Crit Care Med 2011;12:46-51.</w:t>
      </w:r>
    </w:p>
    <w:p w14:paraId="000000D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69.    Kalra R, Vohra R, Negi</w:t>
      </w:r>
      <w:r>
        <w:rPr>
          <w:rFonts w:ascii="Arial Narrow" w:eastAsia="Arial Narrow" w:hAnsi="Arial Narrow" w:cs="Arial Narrow"/>
          <w:color w:val="000000"/>
          <w:sz w:val="24"/>
          <w:szCs w:val="24"/>
        </w:rPr>
        <w:t xml:space="preserve"> M, et al. Feasibility of initiating early enteral nutrition after congenital heart surgery in neonates and infants. Clin Nutr ESPEN 2018;25:100-2.</w:t>
      </w:r>
    </w:p>
    <w:p w14:paraId="000000D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70.    Manuri L, Morelli S, Agati S, et al. Early hybrid approach and enteral feeding algorithm could reduce</w:t>
      </w:r>
      <w:r>
        <w:rPr>
          <w:rFonts w:ascii="Arial Narrow" w:eastAsia="Arial Narrow" w:hAnsi="Arial Narrow" w:cs="Arial Narrow"/>
          <w:color w:val="000000"/>
          <w:sz w:val="24"/>
          <w:szCs w:val="24"/>
        </w:rPr>
        <w:t xml:space="preserve"> the incidence of necrotising enterocolitis in neonates with ductus-dependent systemic circulation. Cardiol Young 2017;27:154-60.</w:t>
      </w:r>
    </w:p>
    <w:p w14:paraId="000000D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71.    Iannucci GJ, Oster ME, Mahle WT. Necrotising enterocolitis in infants with congenital heart disease: the role of entera</w:t>
      </w:r>
      <w:r>
        <w:rPr>
          <w:rFonts w:ascii="Arial Narrow" w:eastAsia="Arial Narrow" w:hAnsi="Arial Narrow" w:cs="Arial Narrow"/>
          <w:color w:val="000000"/>
          <w:sz w:val="24"/>
          <w:szCs w:val="24"/>
        </w:rPr>
        <w:t>l feeds. Cardiol Young 2013;23:553-9.</w:t>
      </w:r>
    </w:p>
    <w:p w14:paraId="000000D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72.    Natarajan G, Reddy Anne S, Aggarwal S. Enteral feeding of neonates with congenital heart disease. Neonatology 2010;98:330-6.</w:t>
      </w:r>
    </w:p>
    <w:p w14:paraId="000000D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73.    Sánchez C, López-Herce J, Carrillo A, Bustinza A, Sancho L, Vigil D. Transpylor</w:t>
      </w:r>
      <w:r>
        <w:rPr>
          <w:rFonts w:ascii="Arial Narrow" w:eastAsia="Arial Narrow" w:hAnsi="Arial Narrow" w:cs="Arial Narrow"/>
          <w:color w:val="000000"/>
          <w:sz w:val="24"/>
          <w:szCs w:val="24"/>
        </w:rPr>
        <w:t>ic enteral feeding in the postoperative of cardiac surgery in children. Journal of Pediatric Surgery 2006;41:1096-102.</w:t>
      </w:r>
    </w:p>
    <w:p w14:paraId="000000E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74.    Martini S, Corvaglia L. Splanchnic NIRS monitoring in neonatal care: rationale, current applications and future perspectives. J Pe</w:t>
      </w:r>
      <w:r>
        <w:rPr>
          <w:rFonts w:ascii="Arial Narrow" w:eastAsia="Arial Narrow" w:hAnsi="Arial Narrow" w:cs="Arial Narrow"/>
          <w:color w:val="000000"/>
          <w:sz w:val="24"/>
          <w:szCs w:val="24"/>
        </w:rPr>
        <w:t>rinatol 2018;38:431-43.</w:t>
      </w:r>
    </w:p>
    <w:p w14:paraId="000000E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75.    </w:t>
      </w:r>
      <w:hyperlink r:id="rId9">
        <w:r>
          <w:rPr>
            <w:rFonts w:ascii="Arial Narrow" w:eastAsia="Arial Narrow" w:hAnsi="Arial Narrow" w:cs="Arial Narrow"/>
            <w:color w:val="0563C1"/>
            <w:sz w:val="24"/>
            <w:szCs w:val="24"/>
            <w:u w:val="single"/>
          </w:rPr>
          <w:t>http://www.picanet.org.uk/Audit/Annual-Reporting/PICANet_2017_Annual_Report_Tables_and_Figures_FINAL_v2.0.pdf</w:t>
        </w:r>
      </w:hyperlink>
      <w:r>
        <w:rPr>
          <w:rFonts w:ascii="Arial Narrow" w:eastAsia="Arial Narrow" w:hAnsi="Arial Narrow" w:cs="Arial Narrow"/>
          <w:color w:val="000000"/>
          <w:sz w:val="24"/>
          <w:szCs w:val="24"/>
        </w:rPr>
        <w:t xml:space="preserve">  Accessed PICANET, </w:t>
      </w:r>
      <w:r>
        <w:rPr>
          <w:rFonts w:ascii="Arial Narrow" w:eastAsia="Arial Narrow" w:hAnsi="Arial Narrow" w:cs="Arial Narrow"/>
          <w:color w:val="000000"/>
          <w:sz w:val="24"/>
          <w:szCs w:val="24"/>
        </w:rPr>
        <w:t xml:space="preserve">2018. (Accessed November 2019, 2018, at </w:t>
      </w:r>
      <w:hyperlink r:id="rId10">
        <w:r>
          <w:rPr>
            <w:rFonts w:ascii="Arial Narrow" w:eastAsia="Arial Narrow" w:hAnsi="Arial Narrow" w:cs="Arial Narrow"/>
            <w:color w:val="0563C1"/>
            <w:sz w:val="24"/>
            <w:szCs w:val="24"/>
            <w:u w:val="single"/>
          </w:rPr>
          <w:t>http://www.picanet.org.uk/Audit/Annual-Reporting/PICANet_2017_Annual_Report_Tables_and_</w:t>
        </w:r>
        <w:r>
          <w:rPr>
            <w:rFonts w:ascii="Arial Narrow" w:eastAsia="Arial Narrow" w:hAnsi="Arial Narrow" w:cs="Arial Narrow"/>
            <w:color w:val="0563C1"/>
            <w:sz w:val="24"/>
            <w:szCs w:val="24"/>
            <w:u w:val="single"/>
          </w:rPr>
          <w:t>Figures_FINAL_v2.0.pdf</w:t>
        </w:r>
      </w:hyperlink>
      <w:r>
        <w:rPr>
          <w:rFonts w:ascii="Arial Narrow" w:eastAsia="Arial Narrow" w:hAnsi="Arial Narrow" w:cs="Arial Narrow"/>
          <w:color w:val="000000"/>
          <w:sz w:val="24"/>
          <w:szCs w:val="24"/>
        </w:rPr>
        <w:t xml:space="preserve"> )</w:t>
      </w:r>
    </w:p>
    <w:p w14:paraId="000000E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76.    Tume LN, Balmaks R, da Cruz E, et al. Enteral Feeding Practices in Infants With Congenital Heart Disease Across European PICUs: A European Society of Pediatric and Neonatal Intensive Care Survey. Pediatr Crit Care Med 2018;1</w:t>
      </w:r>
      <w:r>
        <w:rPr>
          <w:rFonts w:ascii="Arial Narrow" w:eastAsia="Arial Narrow" w:hAnsi="Arial Narrow" w:cs="Arial Narrow"/>
          <w:color w:val="000000"/>
          <w:sz w:val="24"/>
          <w:szCs w:val="24"/>
        </w:rPr>
        <w:t>9:137-44.</w:t>
      </w:r>
    </w:p>
    <w:p w14:paraId="000000E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77.    Davey AM, Wagner CL, Cox C, Kendig JW. Feeding premature infants while low umbilical artery catheters are in place: a prospective, randomized trial. J Pediatr 1994;124:795-9.</w:t>
      </w:r>
    </w:p>
    <w:p w14:paraId="000000E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78.    Havranek T, Johanboeke P, Madramootoo C, Carver JD. Umbil</w:t>
      </w:r>
      <w:r>
        <w:rPr>
          <w:rFonts w:ascii="Arial Narrow" w:eastAsia="Arial Narrow" w:hAnsi="Arial Narrow" w:cs="Arial Narrow"/>
          <w:color w:val="000000"/>
          <w:sz w:val="24"/>
          <w:szCs w:val="24"/>
        </w:rPr>
        <w:t>ical artery catheters do not affect intestinal blood flow responses to minimal enteral feedings. J Perinatol 2007;27:375-9.</w:t>
      </w:r>
    </w:p>
    <w:p w14:paraId="000000E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79.    Barrington KJ. Umbilical artery catheters in the newborn: effects of position of the catheter tip. Cochrane Database Syst Rev</w:t>
      </w:r>
      <w:r>
        <w:rPr>
          <w:rFonts w:ascii="Arial Narrow" w:eastAsia="Arial Narrow" w:hAnsi="Arial Narrow" w:cs="Arial Narrow"/>
          <w:color w:val="000000"/>
          <w:sz w:val="24"/>
          <w:szCs w:val="24"/>
        </w:rPr>
        <w:t xml:space="preserve"> 2000:CD000505.</w:t>
      </w:r>
    </w:p>
    <w:p w14:paraId="000000E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80.    Willis L, Thureen P, Kaufman J, Wymore E, Skillman H, da Cruz E. Enteral feeding in prostaglandin-dependent neonates: is it a safe practice? J Pediatr 2008;153:867-9.</w:t>
      </w:r>
    </w:p>
    <w:p w14:paraId="000000E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81.    Lucron H, Chipaux M, Bosser G, et al. [Complications of pro</w:t>
      </w:r>
      <w:r>
        <w:rPr>
          <w:rFonts w:ascii="Arial Narrow" w:eastAsia="Arial Narrow" w:hAnsi="Arial Narrow" w:cs="Arial Narrow"/>
          <w:color w:val="000000"/>
          <w:sz w:val="24"/>
          <w:szCs w:val="24"/>
        </w:rPr>
        <w:t>staglandin E1 treatment of congenital heart disease in paediatric medical intensive care] Complications du traitement par prostaglandines E1 des cardiopathies congenitales en reanimation medicale pediatrique. Arch Mal Coeur Vaiss 2005;98:524-30.</w:t>
      </w:r>
    </w:p>
    <w:p w14:paraId="000000E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82.    Bec</w:t>
      </w:r>
      <w:r>
        <w:rPr>
          <w:rFonts w:ascii="Arial Narrow" w:eastAsia="Arial Narrow" w:hAnsi="Arial Narrow" w:cs="Arial Narrow"/>
          <w:color w:val="000000"/>
          <w:sz w:val="24"/>
          <w:szCs w:val="24"/>
        </w:rPr>
        <w:t>ker KC, Hornik CP, Cotten CM, et al. Necrotizing enterocolitis in infants with ductal-dependent congenital heart disease. Am J Perinatol 2015;32:633-8.</w:t>
      </w:r>
    </w:p>
    <w:p w14:paraId="000000E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83.    Larsen BMK, Beggs MR, Leong AY, Kang SH, Persad R, Garcia Guerra G. Can energy intake alter clini</w:t>
      </w:r>
      <w:r>
        <w:rPr>
          <w:rFonts w:ascii="Arial Narrow" w:eastAsia="Arial Narrow" w:hAnsi="Arial Narrow" w:cs="Arial Narrow"/>
          <w:color w:val="000000"/>
          <w:sz w:val="24"/>
          <w:szCs w:val="24"/>
        </w:rPr>
        <w:t>cal and hospital outcomes in PICU? Clin Nutr ESPEN 2018;24:41-6.</w:t>
      </w:r>
    </w:p>
    <w:p w14:paraId="000000E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84.    Mehta NM, Bechard LJ, Cahill N, et al. Nutritional practices and their relationship to clinical outcomes in critically ill children--an international multicenter cohort study*. Crit Ca</w:t>
      </w:r>
      <w:r>
        <w:rPr>
          <w:rFonts w:ascii="Arial Narrow" w:eastAsia="Arial Narrow" w:hAnsi="Arial Narrow" w:cs="Arial Narrow"/>
          <w:color w:val="000000"/>
          <w:sz w:val="24"/>
          <w:szCs w:val="24"/>
        </w:rPr>
        <w:t>re Med 2012;40:2204-11.</w:t>
      </w:r>
    </w:p>
    <w:p w14:paraId="000000E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85.    Coss-Bu JA, Jefferson LS, Walding D, David Y, Smith EO, Klish WJ. Resting energy expenditure and nitrogen balance in critically ill pediatric patients on mechanical ventilation. Nutrition 1998;14:649-52.</w:t>
      </w:r>
    </w:p>
    <w:p w14:paraId="000000E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86.    Coss-Bu JA, Kl</w:t>
      </w:r>
      <w:r>
        <w:rPr>
          <w:rFonts w:ascii="Arial Narrow" w:eastAsia="Arial Narrow" w:hAnsi="Arial Narrow" w:cs="Arial Narrow"/>
          <w:color w:val="000000"/>
          <w:sz w:val="24"/>
          <w:szCs w:val="24"/>
        </w:rPr>
        <w:t>ish WJ, Walding D, Stein F, Smith EO, Jefferson LS. Energy metabolism, nitrogen balance, and substrate utilization in critically ill children. Am J Clin Nutr 2001;74:664-9.</w:t>
      </w:r>
    </w:p>
    <w:p w14:paraId="000000E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87.    Joosten KF, Verhoeven JJ, Hazelzet JA. Energy expenditure and substrate util</w:t>
      </w:r>
      <w:r>
        <w:rPr>
          <w:rFonts w:ascii="Arial Narrow" w:eastAsia="Arial Narrow" w:hAnsi="Arial Narrow" w:cs="Arial Narrow"/>
          <w:color w:val="000000"/>
          <w:sz w:val="24"/>
          <w:szCs w:val="24"/>
        </w:rPr>
        <w:t>ization in mechanically ventilated children. Nutrition 1999;15:444-8.</w:t>
      </w:r>
    </w:p>
    <w:p w14:paraId="000000E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88.    Briassoulis G, Tsorva A, Zavras N, Hatzis T. Influence of an aggressive early enteral nutrition protocol on nitrogen balance in critically ill children. J Nutr Biochem 2002;13:560</w:t>
      </w:r>
      <w:r>
        <w:rPr>
          <w:rFonts w:ascii="Arial Narrow" w:eastAsia="Arial Narrow" w:hAnsi="Arial Narrow" w:cs="Arial Narrow"/>
          <w:color w:val="000000"/>
          <w:sz w:val="24"/>
          <w:szCs w:val="24"/>
        </w:rPr>
        <w:t>.</w:t>
      </w:r>
    </w:p>
    <w:p w14:paraId="000000E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89.    Bechard LJ, Parrott JS, Mehta NM. Systematic review of the influence of energy and protein intake on protein balance in critically ill children. J Pediatr 2012;161:333-9 e1.</w:t>
      </w:r>
    </w:p>
    <w:p w14:paraId="000000F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90.    Jotterand Chaparro C, Laure Depeyre J, Longchamp D, Perez MH, Taff</w:t>
      </w:r>
      <w:r>
        <w:rPr>
          <w:rFonts w:ascii="Arial Narrow" w:eastAsia="Arial Narrow" w:hAnsi="Arial Narrow" w:cs="Arial Narrow"/>
          <w:color w:val="000000"/>
          <w:sz w:val="24"/>
          <w:szCs w:val="24"/>
        </w:rPr>
        <w:t>e P, Cotting J. How much protein and energy are needed to equilibrate nitrogen and energy balances in ventilated critically ill children? Clin Nutr 2016;35:460-7.</w:t>
      </w:r>
    </w:p>
    <w:p w14:paraId="000000F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91.    Briassoulis G, Michaeloudi E, Fitrolaki DM, Spanaki AM, Briassouli E. Influence of dif</w:t>
      </w:r>
      <w:r>
        <w:rPr>
          <w:rFonts w:ascii="Arial Narrow" w:eastAsia="Arial Narrow" w:hAnsi="Arial Narrow" w:cs="Arial Narrow"/>
          <w:color w:val="000000"/>
          <w:sz w:val="24"/>
          <w:szCs w:val="24"/>
        </w:rPr>
        <w:t>ferent ventilator modes on Vo(2) and Vco(2) measurements using a compact metabolic monitor. Nutrition 2009;25:1106-14.</w:t>
      </w:r>
    </w:p>
    <w:p w14:paraId="000000F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92.    Fivez T, Kerklaan D, Mesotten D, et al. Early versus Late Parenteral Nutrition in Critically Ill Children. N Engl J Med 2016;374:1</w:t>
      </w:r>
      <w:r>
        <w:rPr>
          <w:rFonts w:ascii="Arial Narrow" w:eastAsia="Arial Narrow" w:hAnsi="Arial Narrow" w:cs="Arial Narrow"/>
          <w:color w:val="000000"/>
          <w:sz w:val="24"/>
          <w:szCs w:val="24"/>
        </w:rPr>
        <w:t>111-22.</w:t>
      </w:r>
    </w:p>
    <w:p w14:paraId="000000F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93.    Joosten KFM, Eveleens RD, Verbruggen S. Nutritional support in the recovery phase of critically ill children. Curr Opin Clin Nutr Metab Care 2018.</w:t>
      </w:r>
    </w:p>
    <w:p w14:paraId="000000F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94.    White MS, Shepherd RW, McEniery JA. Energy expenditure in 100 ventilated, critically il</w:t>
      </w:r>
      <w:r>
        <w:rPr>
          <w:rFonts w:ascii="Arial Narrow" w:eastAsia="Arial Narrow" w:hAnsi="Arial Narrow" w:cs="Arial Narrow"/>
          <w:color w:val="000000"/>
          <w:sz w:val="24"/>
          <w:szCs w:val="24"/>
        </w:rPr>
        <w:t>l children: improving the accuracy of predictive equations. Crit Care Med 2000;28:2307-12.</w:t>
      </w:r>
    </w:p>
    <w:p w14:paraId="000000F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95.    Mtaweh H, Smith R, Kochanek PM, et al. Energy expenditure in children after severe traumatic brain injury. Pediatr Crit Care Med 2014;15:242-9.</w:t>
      </w:r>
    </w:p>
    <w:p w14:paraId="000000F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96.    De Wit B, Meyer R, Desai A, Macrae D, Pathan N. Challenge of predicting resting energy expenditure</w:t>
      </w:r>
      <w:r>
        <w:rPr>
          <w:rFonts w:ascii="Arial Narrow" w:eastAsia="Arial Narrow" w:hAnsi="Arial Narrow" w:cs="Arial Narrow"/>
          <w:color w:val="000000"/>
          <w:sz w:val="24"/>
          <w:szCs w:val="24"/>
        </w:rPr>
        <w:t xml:space="preserve"> in children undergoing surgery for congenital heart disease. Pediatr Crit Care Med 2010;11:496-501.</w:t>
      </w:r>
    </w:p>
    <w:p w14:paraId="000000F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97.    Sy J, Gourishankar A, Gordon WE, et al. Bicarbonate kinetics and predicted energy expenditure in critically ill children. Am J Clin Nutr 2008;88:340</w:t>
      </w:r>
      <w:r>
        <w:rPr>
          <w:rFonts w:ascii="Arial Narrow" w:eastAsia="Arial Narrow" w:hAnsi="Arial Narrow" w:cs="Arial Narrow"/>
          <w:color w:val="000000"/>
          <w:sz w:val="24"/>
          <w:szCs w:val="24"/>
        </w:rPr>
        <w:t>-7.</w:t>
      </w:r>
    </w:p>
    <w:p w14:paraId="000000F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98.    Framson CM, LeLeiko NS, Dallal GE, Roubenoff R, Snelling LK, Dwyer JT. Energy expenditure in critically ill children. Pediatr Crit Care Med 2007;8:264-7.</w:t>
      </w:r>
    </w:p>
    <w:p w14:paraId="000000F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99.    Havalad S, Quaid MA, Sapiega V. Energy expenditure in children with severe head inju</w:t>
      </w:r>
      <w:r>
        <w:rPr>
          <w:rFonts w:ascii="Arial Narrow" w:eastAsia="Arial Narrow" w:hAnsi="Arial Narrow" w:cs="Arial Narrow"/>
          <w:color w:val="000000"/>
          <w:sz w:val="24"/>
          <w:szCs w:val="24"/>
        </w:rPr>
        <w:t>ry: lack of agreement between measured and estimated energy expenditure. Nutr Clin Pract 2006;21:175-81.</w:t>
      </w:r>
    </w:p>
    <w:p w14:paraId="000000F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100.    Lopez-Herce Cid J, Sanchez Sanchez C, Mencia Bartolome S, Santiago Lozano MJ, Carrillo Alvarez A, Bellon Cano JM. [Energy expenditure in critic</w:t>
      </w:r>
      <w:r>
        <w:rPr>
          <w:rFonts w:ascii="Arial Narrow" w:eastAsia="Arial Narrow" w:hAnsi="Arial Narrow" w:cs="Arial Narrow"/>
          <w:color w:val="000000"/>
          <w:sz w:val="24"/>
          <w:szCs w:val="24"/>
        </w:rPr>
        <w:t>ally ill children: correlation with clinical characteristics, caloric intake, and predictive equations]</w:t>
      </w:r>
    </w:p>
    <w:p w14:paraId="000000F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Consumo calorico en el nino critico: relacion con las caracteristicas clinicas, el aporte calorico y las formulas teoricas de calculo de las necesidades</w:t>
      </w:r>
      <w:r>
        <w:rPr>
          <w:rFonts w:ascii="Arial Narrow" w:eastAsia="Arial Narrow" w:hAnsi="Arial Narrow" w:cs="Arial Narrow"/>
          <w:color w:val="000000"/>
          <w:sz w:val="24"/>
          <w:szCs w:val="24"/>
        </w:rPr>
        <w:t>. An Pediatr (Barc) 2007;66:229-39.</w:t>
      </w:r>
    </w:p>
    <w:p w14:paraId="000000F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101.    van der Kuip M, de Meer K, Oosterveld MJ, Lafeber HN, Gemke RJ. Simple and accurate assessment of energy expenditure in ventilated paediatric intensive care patients. Clin Nutr 2004;23:657-63.</w:t>
      </w:r>
    </w:p>
    <w:p w14:paraId="000000F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102.    Vazquez Martinez JL, Martinez-Romillo PD, Diez Sebastian J, Ruza Tarrio F. Predicted versus measured energy expenditure by continuous, online indirect calorimetry in ventilated, critically ill children during the early postinjury period. Pediatr Cr</w:t>
      </w:r>
      <w:r>
        <w:rPr>
          <w:rFonts w:ascii="Arial Narrow" w:eastAsia="Arial Narrow" w:hAnsi="Arial Narrow" w:cs="Arial Narrow"/>
          <w:color w:val="000000"/>
          <w:sz w:val="24"/>
          <w:szCs w:val="24"/>
        </w:rPr>
        <w:t>it Care Med 2004;5:19-27.</w:t>
      </w:r>
    </w:p>
    <w:p w14:paraId="000000F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103.    Taylor RM, Cheeseman P, Preedy V, Baker AJ, Grimble G. Can energy expenditure be predicted in critically ill children? Pediatr Crit Care Med 2003;4:176-80.</w:t>
      </w:r>
    </w:p>
    <w:p w14:paraId="000000F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104.    Briassoulis G, Venkataraman S, Thompson AE. Energy expendi</w:t>
      </w:r>
      <w:r>
        <w:rPr>
          <w:rFonts w:ascii="Arial Narrow" w:eastAsia="Arial Narrow" w:hAnsi="Arial Narrow" w:cs="Arial Narrow"/>
          <w:color w:val="000000"/>
          <w:sz w:val="24"/>
          <w:szCs w:val="24"/>
        </w:rPr>
        <w:t>ture in critically ill children. Crit Care Med 2000;28:1166-72.</w:t>
      </w:r>
    </w:p>
    <w:p w14:paraId="0000010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105.    Hardy CM, Dwyer J, Snelling LK, Dallal GE, Adelson JW. Pitfalls in predicting resting energy requirements in critically ill children: a comparison of predictive methods to indirect cal</w:t>
      </w:r>
      <w:r>
        <w:rPr>
          <w:rFonts w:ascii="Arial Narrow" w:eastAsia="Arial Narrow" w:hAnsi="Arial Narrow" w:cs="Arial Narrow"/>
          <w:color w:val="000000"/>
          <w:sz w:val="24"/>
          <w:szCs w:val="24"/>
        </w:rPr>
        <w:t>orimetry. Nutr Clin Pract 2002;17:182-9.</w:t>
      </w:r>
    </w:p>
    <w:p w14:paraId="0000010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106.    Kyle UG, Arriaza A, Esposito M, Coss-Bu JA. Is indirect calorimetry a necessity or a luxury in the pediatric intensive care unit? JPEN J Parenter Enteral Nutr 2012;36:177-82.</w:t>
      </w:r>
    </w:p>
    <w:p w14:paraId="0000010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107.    Dorian Kerklaan TF, Joos</w:t>
      </w:r>
      <w:r>
        <w:rPr>
          <w:rFonts w:ascii="Arial Narrow" w:eastAsia="Arial Narrow" w:hAnsi="Arial Narrow" w:cs="Arial Narrow"/>
          <w:color w:val="000000"/>
          <w:sz w:val="24"/>
          <w:szCs w:val="24"/>
        </w:rPr>
        <w:t>t van Rosmalen, Dieter Mesotten, Nilesh M. Mehta, Greet Van den Berghe, Koen F.M. Joosten, Sascha C.A.T. Verbruggen. Survey of nutritional practices in 156 paediatric intensive care units in 52 countries. ESPEN 2014 Congress; 2014.</w:t>
      </w:r>
    </w:p>
    <w:p w14:paraId="0000010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108.    Meyer R, Kulinsk</w:t>
      </w:r>
      <w:r>
        <w:rPr>
          <w:rFonts w:ascii="Arial Narrow" w:eastAsia="Arial Narrow" w:hAnsi="Arial Narrow" w:cs="Arial Narrow"/>
          <w:color w:val="000000"/>
          <w:sz w:val="24"/>
          <w:szCs w:val="24"/>
        </w:rPr>
        <w:t>aya E, Briassoulis G, et al. The challenge of developing a new predictive formula to estimate energy requirements in ventilated critically ill children. Nutr Clin Pract 2012;27:669-76.</w:t>
      </w:r>
    </w:p>
    <w:p w14:paraId="0000010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109.    Mehta NM, Smallwood CD, Joosten KF, Hulst JM, Tasker RC, Duggan</w:t>
      </w:r>
      <w:r>
        <w:rPr>
          <w:rFonts w:ascii="Arial Narrow" w:eastAsia="Arial Narrow" w:hAnsi="Arial Narrow" w:cs="Arial Narrow"/>
          <w:color w:val="000000"/>
          <w:sz w:val="24"/>
          <w:szCs w:val="24"/>
        </w:rPr>
        <w:t xml:space="preserve"> CP. Accuracy of a simplified equation for energy expenditure based on bedside volumetric carbon dioxide elimination measurement--a two-center study. Clin Nutr 2015;34:151-5.</w:t>
      </w:r>
    </w:p>
    <w:p w14:paraId="0000010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110.    Schofield WN. Predicting basal metabolic rate, new standards and review o</w:t>
      </w:r>
      <w:r>
        <w:rPr>
          <w:rFonts w:ascii="Arial Narrow" w:eastAsia="Arial Narrow" w:hAnsi="Arial Narrow" w:cs="Arial Narrow"/>
          <w:color w:val="000000"/>
          <w:sz w:val="24"/>
          <w:szCs w:val="24"/>
        </w:rPr>
        <w:t>f previous work. Hum Nutr Clin Nutr 1985;39 Suppl 1:5-41.</w:t>
      </w:r>
    </w:p>
    <w:p w14:paraId="0000010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111.    FAO/WHO/UNU. Energy and Protein Requirements: Report of a Joint FAO/WHO/UNU Expert Consultation. Geneva: World Health Organization 1985.</w:t>
      </w:r>
    </w:p>
    <w:p w14:paraId="0000010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112.    Kerklaan D, Fivez T, Mehta NM, et al. Worldwi</w:t>
      </w:r>
      <w:r>
        <w:rPr>
          <w:rFonts w:ascii="Arial Narrow" w:eastAsia="Arial Narrow" w:hAnsi="Arial Narrow" w:cs="Arial Narrow"/>
          <w:color w:val="000000"/>
          <w:sz w:val="24"/>
          <w:szCs w:val="24"/>
        </w:rPr>
        <w:t>de Survey of Nutritional Practices in PICUs. Pediatr Crit Care Med 2016;17:10-8.</w:t>
      </w:r>
    </w:p>
    <w:p w14:paraId="0000010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113.    Valla FV, Gaillard-Le Roux B, Ford-Chessel C, et al. A Nursing Survey on Nutritional Care Practices in French-Speaking Pediatric Intensive Care Units: NutriRea-Ped 201</w:t>
      </w:r>
      <w:r>
        <w:rPr>
          <w:rFonts w:ascii="Arial Narrow" w:eastAsia="Arial Narrow" w:hAnsi="Arial Narrow" w:cs="Arial Narrow"/>
          <w:color w:val="000000"/>
          <w:sz w:val="24"/>
          <w:szCs w:val="24"/>
        </w:rPr>
        <w:t>4. J Pediatr Gastroenterol Nutr 2016;62:174-9.</w:t>
      </w:r>
    </w:p>
    <w:p w14:paraId="0000010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114.    Jotterand Chaparro C, Moullet C, Taffe P, et al. Estimation of Resting Energy Expenditure Using Predictive Equations in Critically Ill Children: Results of a Systematic Review. JPEN J Parenter Enteral </w:t>
      </w:r>
      <w:r>
        <w:rPr>
          <w:rFonts w:ascii="Arial Narrow" w:eastAsia="Arial Narrow" w:hAnsi="Arial Narrow" w:cs="Arial Narrow"/>
          <w:color w:val="000000"/>
          <w:sz w:val="24"/>
          <w:szCs w:val="24"/>
        </w:rPr>
        <w:t>Nutr 2018;42:976-86.</w:t>
      </w:r>
    </w:p>
    <w:p w14:paraId="0000010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115.    Kerklaan D, Augustus ME, Hulst JM, van Rosmalen J, Verbruggen S, Joosten KFM. Validation of ventilator-derived VCO2 measurements to determine energy expenditure in ventilated critically ill children. Clin Nutr 2017;36:452-7.</w:t>
      </w:r>
    </w:p>
    <w:p w14:paraId="0000010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11</w:t>
      </w:r>
      <w:r>
        <w:rPr>
          <w:rFonts w:ascii="Arial Narrow" w:eastAsia="Arial Narrow" w:hAnsi="Arial Narrow" w:cs="Arial Narrow"/>
          <w:color w:val="000000"/>
          <w:sz w:val="24"/>
          <w:szCs w:val="24"/>
        </w:rPr>
        <w:t>6.    Mouzaki M, Schwartz SM, Mtaweh H, et al. Can Vco2-Based Estimates of Resting Energy Expenditure Replace the Need for Indirect Calorimetry in Critically Ill Children? JPEN J Parenter Enteral Nutr 2017;41:619-24.</w:t>
      </w:r>
    </w:p>
    <w:p w14:paraId="0000010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117.    Jotterand Chaparro C, Taffe P, </w:t>
      </w:r>
      <w:r>
        <w:rPr>
          <w:rFonts w:ascii="Arial Narrow" w:eastAsia="Arial Narrow" w:hAnsi="Arial Narrow" w:cs="Arial Narrow"/>
          <w:color w:val="000000"/>
          <w:sz w:val="24"/>
          <w:szCs w:val="24"/>
        </w:rPr>
        <w:t>Moullet C, et al. Performance of Predictive Equations Specifically Developed to Estimate Resting Energy Expenditure in Ventilated Critically Ill Children. J Pediatr 2017;184:220-6 e5.</w:t>
      </w:r>
    </w:p>
    <w:p w14:paraId="0000010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118.    Mehta NM, Bechard LJ, Dolan M, Ariagno K, Jiang H, Duggan C. Ene</w:t>
      </w:r>
      <w:r>
        <w:rPr>
          <w:rFonts w:ascii="Arial Narrow" w:eastAsia="Arial Narrow" w:hAnsi="Arial Narrow" w:cs="Arial Narrow"/>
          <w:color w:val="000000"/>
          <w:sz w:val="24"/>
          <w:szCs w:val="24"/>
        </w:rPr>
        <w:t>rgy imbalance and the risk of overfeeding in critically ill children. Pediatr Crit Care Med 2011;12:398-405.</w:t>
      </w:r>
    </w:p>
    <w:p w14:paraId="0000010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119.    Preissig CM, Rigby MR. Pediatric critical illness hyperglycemia: risk factors associated with development and severity of hyperglycemia in </w:t>
      </w:r>
      <w:r>
        <w:rPr>
          <w:rFonts w:ascii="Arial Narrow" w:eastAsia="Arial Narrow" w:hAnsi="Arial Narrow" w:cs="Arial Narrow"/>
          <w:color w:val="000000"/>
          <w:sz w:val="24"/>
          <w:szCs w:val="24"/>
        </w:rPr>
        <w:t>critically ill children. J Pediatr 2009;155:734-9.</w:t>
      </w:r>
    </w:p>
    <w:p w14:paraId="0000010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120.    Cochran A, Scaife ER, Hansen KW, Downey EC. Hyperglycemia and outcomes from pediatric traumatic brain injury. The Journal of trauma 2003;55:1035-8.</w:t>
      </w:r>
    </w:p>
    <w:p w14:paraId="0000011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121.    Wintergerst KA, Buckingham B, Gandrud L, </w:t>
      </w:r>
      <w:r>
        <w:rPr>
          <w:rFonts w:ascii="Arial Narrow" w:eastAsia="Arial Narrow" w:hAnsi="Arial Narrow" w:cs="Arial Narrow"/>
          <w:color w:val="000000"/>
          <w:sz w:val="24"/>
          <w:szCs w:val="24"/>
        </w:rPr>
        <w:t>Wong BJ, Kache S, Wilson DM. Association of hypoglycemia, hyperglycemia, and glucose variability with morbidity and death in the pediatric intensive care unit. Pediatrics 2006;118:173-9.</w:t>
      </w:r>
    </w:p>
    <w:p w14:paraId="0000011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122.    Srinivasan V, Spinella PC, Drott HR, Roth CL, Helfaer MA, Nad</w:t>
      </w:r>
      <w:r>
        <w:rPr>
          <w:rFonts w:ascii="Arial Narrow" w:eastAsia="Arial Narrow" w:hAnsi="Arial Narrow" w:cs="Arial Narrow"/>
          <w:color w:val="000000"/>
          <w:sz w:val="24"/>
          <w:szCs w:val="24"/>
        </w:rPr>
        <w:t>karni V. Association of timing, duration, and intensity of hyperglycemia with intensive care unit mortality in critically ill children. Pediatr Crit Care Med 2004;5:329-36.</w:t>
      </w:r>
    </w:p>
    <w:p w14:paraId="0000011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123.    de Betue CT, Verbruggen SC, Schierbeek H, et al. Does a reduced glucose int</w:t>
      </w:r>
      <w:r>
        <w:rPr>
          <w:rFonts w:ascii="Arial Narrow" w:eastAsia="Arial Narrow" w:hAnsi="Arial Narrow" w:cs="Arial Narrow"/>
          <w:color w:val="000000"/>
          <w:sz w:val="24"/>
          <w:szCs w:val="24"/>
        </w:rPr>
        <w:t>ake prevent hyperglycemia in children early after cardiac surgery? a randomized controlled crossover study. Crit Care 2012;16:R176.</w:t>
      </w:r>
    </w:p>
    <w:p w14:paraId="0000011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124.    Verbruggen SC, de Betue CT, Schierbeek H, et al. Reducing glucose infusion safely prevents hyperglycemia in post-sur</w:t>
      </w:r>
      <w:r>
        <w:rPr>
          <w:rFonts w:ascii="Arial Narrow" w:eastAsia="Arial Narrow" w:hAnsi="Arial Narrow" w:cs="Arial Narrow"/>
          <w:color w:val="000000"/>
          <w:sz w:val="24"/>
          <w:szCs w:val="24"/>
        </w:rPr>
        <w:t>gical children. Clin Nutr 2011;30:786-92.</w:t>
      </w:r>
    </w:p>
    <w:p w14:paraId="0000011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125.    Verstraete S, Verbruggen SC, Hordijk JA, et al. Long-term developmental effects of withholding parenteral nutrition for 1 week in the paediatric intensive care unit: a 2-year follow-up of the PEPaNIC intern</w:t>
      </w:r>
      <w:r>
        <w:rPr>
          <w:rFonts w:ascii="Arial Narrow" w:eastAsia="Arial Narrow" w:hAnsi="Arial Narrow" w:cs="Arial Narrow"/>
          <w:color w:val="000000"/>
          <w:sz w:val="24"/>
          <w:szCs w:val="24"/>
        </w:rPr>
        <w:t>ational, randomised, controlled trial. Lancet Respir Med 2019;7:141-53.</w:t>
      </w:r>
    </w:p>
    <w:p w14:paraId="0000011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126.    Vanhorebeek I, Verbruggen S, Casaer MP, et al. Effect of early supplemental parenteral nutrition in the paediatric ICU: a preplanned observational study of post-randomisation t</w:t>
      </w:r>
      <w:r>
        <w:rPr>
          <w:rFonts w:ascii="Arial Narrow" w:eastAsia="Arial Narrow" w:hAnsi="Arial Narrow" w:cs="Arial Narrow"/>
          <w:color w:val="000000"/>
          <w:sz w:val="24"/>
          <w:szCs w:val="24"/>
        </w:rPr>
        <w:t>reatments in the PEPaNIC trial. Lancet Respir Med 2017;5:475-83.</w:t>
      </w:r>
    </w:p>
    <w:p w14:paraId="0000011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127.    Lapillonne A, Fidler Mis N, Goulet O, et al. ESPGHAN/ESPEN/ESPR/CSPEN guidelines on pediatric parenteral nutrition: Lipids. Clin Nutr 2018;37:2324-36.</w:t>
      </w:r>
    </w:p>
    <w:p w14:paraId="0000011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128.    Larsen BM, Goonewardene,</w:t>
      </w:r>
      <w:r>
        <w:rPr>
          <w:rFonts w:ascii="Arial Narrow" w:eastAsia="Arial Narrow" w:hAnsi="Arial Narrow" w:cs="Arial Narrow"/>
          <w:color w:val="000000"/>
          <w:sz w:val="24"/>
          <w:szCs w:val="24"/>
        </w:rPr>
        <w:t xml:space="preserve"> L. A.,Joffe, A. R.,Van Aerde, J. E.,Field, C. J.,Olstad, D. L.,Clandinin, M. T. Pre-treatment with an intravenous lipid emulsion containing fish oil (eicosapentaenoic and docosahexaenoic acid) decreases inflammatory markers after open-heart surgery in inf</w:t>
      </w:r>
      <w:r>
        <w:rPr>
          <w:rFonts w:ascii="Arial Narrow" w:eastAsia="Arial Narrow" w:hAnsi="Arial Narrow" w:cs="Arial Narrow"/>
          <w:color w:val="000000"/>
          <w:sz w:val="24"/>
          <w:szCs w:val="24"/>
        </w:rPr>
        <w:t>ants: a randomized, controlled trial. Clin Nutr 2012;31:322-9.</w:t>
      </w:r>
    </w:p>
    <w:p w14:paraId="0000011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129.    Calder PC, Adolph M, Deutz NE, et al. Lipids in the intensive care unit: Recommendations from the ESPEN Expert Group. Clin Nutr 2018;37:1-18.</w:t>
      </w:r>
    </w:p>
    <w:p w14:paraId="0000011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130.    Boisrame-Helms J, Toti F, Hasselmann M, Meziani F. Lipid emulsions for parenteral nutrition in critical illness. Prog Lipid Res 2015;60:1-16.</w:t>
      </w:r>
    </w:p>
    <w:p w14:paraId="0000011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131.    Verbruggen S, Sy J, Gordon WE, et al. Ontogeny of methionine utilization and splanchnic uptake in </w:t>
      </w:r>
      <w:r>
        <w:rPr>
          <w:rFonts w:ascii="Arial Narrow" w:eastAsia="Arial Narrow" w:hAnsi="Arial Narrow" w:cs="Arial Narrow"/>
          <w:color w:val="000000"/>
          <w:sz w:val="24"/>
          <w:szCs w:val="24"/>
        </w:rPr>
        <w:t>critically ill children. Am J Physiol Endocrinol Metab 2009;297:E1046-55.</w:t>
      </w:r>
    </w:p>
    <w:p w14:paraId="0000011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132.    de Betue CT, van Waardenburg DA, Deutz NE, et al. Increased protein-energy intake promotes anabolism in critically ill infants with viral bronchiolitis: a double-blind random</w:t>
      </w:r>
      <w:r>
        <w:rPr>
          <w:rFonts w:ascii="Arial Narrow" w:eastAsia="Arial Narrow" w:hAnsi="Arial Narrow" w:cs="Arial Narrow"/>
          <w:color w:val="000000"/>
          <w:sz w:val="24"/>
          <w:szCs w:val="24"/>
        </w:rPr>
        <w:t>ised controlled trial. Arch Dis Child 2011;96:817-22.</w:t>
      </w:r>
    </w:p>
    <w:p w14:paraId="0000011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133.    Verbruggen SC, Coss-Bu J, Wu M, et al. Current recommended parenteral protein intakes do not support protein synthesis in critically ill septic, insulin-resistant adolescents with tight glucose </w:t>
      </w:r>
      <w:r>
        <w:rPr>
          <w:rFonts w:ascii="Arial Narrow" w:eastAsia="Arial Narrow" w:hAnsi="Arial Narrow" w:cs="Arial Narrow"/>
          <w:color w:val="000000"/>
          <w:sz w:val="24"/>
          <w:szCs w:val="24"/>
        </w:rPr>
        <w:t>control. Crit Care Med 2011;39:2518-25.</w:t>
      </w:r>
    </w:p>
    <w:p w14:paraId="0000011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134.    Botran M, Lopez-Herce J, Mencia S, Urbano J, Solana MJ, Garcia A. Enteral nutrition in the critically ill child: comparison of standard and protein-enriched diets. J Pediatr 2011;159:27-32 e1.</w:t>
      </w:r>
    </w:p>
    <w:p w14:paraId="0000011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135.    van Waa</w:t>
      </w:r>
      <w:r>
        <w:rPr>
          <w:rFonts w:ascii="Arial Narrow" w:eastAsia="Arial Narrow" w:hAnsi="Arial Narrow" w:cs="Arial Narrow"/>
          <w:color w:val="000000"/>
          <w:sz w:val="24"/>
          <w:szCs w:val="24"/>
        </w:rPr>
        <w:t>rdenburg DA, de Betue CT, Goudoever JB, Zimmermann LJ, Joosten KF. Critically ill infants benefit from early administration of protein and energy-enriched formula: a randomized controlled trial. Clin Nutr 2009;28:249-55.</w:t>
      </w:r>
    </w:p>
    <w:p w14:paraId="0000011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136.    Geukers VG, Dijsselhof ME, </w:t>
      </w:r>
      <w:r>
        <w:rPr>
          <w:rFonts w:ascii="Arial Narrow" w:eastAsia="Arial Narrow" w:hAnsi="Arial Narrow" w:cs="Arial Narrow"/>
          <w:color w:val="000000"/>
          <w:sz w:val="24"/>
          <w:szCs w:val="24"/>
        </w:rPr>
        <w:t>Jansen NJ, et al. The effect of short-term high versus normal protein intake on whole-body protein synthesis and balance in children following cardiac surgery: a randomized double-blind controlled clinical trial. Nutr J 2015;14:72.</w:t>
      </w:r>
    </w:p>
    <w:p w14:paraId="0000012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137.    de Betue CT, Joosten KF, Deutz NE, Vreugdenhil AC, van Waardenburg DA. Arginine appearance and nitric oxide synthesis in critically ill infants can be increased with a protein-energy-enriched enteral formula. Am J Clin Nutr 2013;98:907-16.</w:t>
      </w:r>
    </w:p>
    <w:p w14:paraId="0000012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138.    </w:t>
      </w:r>
      <w:r>
        <w:rPr>
          <w:rFonts w:ascii="Arial Narrow" w:eastAsia="Arial Narrow" w:hAnsi="Arial Narrow" w:cs="Arial Narrow"/>
          <w:color w:val="000000"/>
          <w:sz w:val="24"/>
          <w:szCs w:val="24"/>
        </w:rPr>
        <w:t>Latronico N, Herridge M, Hopkins RO, et al. The ICM research agenda on intensive care unit-acquired weakness. Intensive Care Med 2017;43:1270-81.</w:t>
      </w:r>
    </w:p>
    <w:p w14:paraId="0000012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139.    Casaer MP. Muscle weakness and nutrition therapy in ICU. Curr Opin Clin Nutr Metab Care 2015;18:162-8.</w:t>
      </w:r>
    </w:p>
    <w:p w14:paraId="0000012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140.    Hauschild DB, Oliveira LDA, Farias MS, et al. Enteral Protein Supplementation in Critically Ill Children: A Randomized Controlled Pilot and Feasibility Study. JPEN J Parenter Enteral Nutr 2019;43:281-9.</w:t>
      </w:r>
    </w:p>
    <w:p w14:paraId="0000012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141.    Mehta NM, Bechard LJ, Zurakowski D, </w:t>
      </w:r>
      <w:r>
        <w:rPr>
          <w:rFonts w:ascii="Arial Narrow" w:eastAsia="Arial Narrow" w:hAnsi="Arial Narrow" w:cs="Arial Narrow"/>
          <w:color w:val="000000"/>
          <w:sz w:val="24"/>
          <w:szCs w:val="24"/>
        </w:rPr>
        <w:t>Duggan CP, Heyland DK. Adequate enteral protein intake is inversely associated with 60-d mortality in critically ill children: a multicenter, prospective, cohort study. Am J Clin Nutr 2015;102:199-206.</w:t>
      </w:r>
    </w:p>
    <w:p w14:paraId="0000012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142.    Wong JJ, Han WM, Sultana R, Loh TF, Lee JH. Nu</w:t>
      </w:r>
      <w:r>
        <w:rPr>
          <w:rFonts w:ascii="Arial Narrow" w:eastAsia="Arial Narrow" w:hAnsi="Arial Narrow" w:cs="Arial Narrow"/>
          <w:color w:val="000000"/>
          <w:sz w:val="24"/>
          <w:szCs w:val="24"/>
        </w:rPr>
        <w:t>trition Delivery Affects Outcomes in Pediatric Acute Respiratory Distress Syndrome. JPEN J Parenter Enteral Nutr 2017;41:1007-13.</w:t>
      </w:r>
    </w:p>
    <w:p w14:paraId="0000012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143.    Verbruggen S, Sy J, Arrivillaga A, Joosten K, van Goudoever J, Castillo L. Parenteral Amino Acid Intakes in Critically</w:t>
      </w:r>
      <w:r>
        <w:rPr>
          <w:rFonts w:ascii="Arial Narrow" w:eastAsia="Arial Narrow" w:hAnsi="Arial Narrow" w:cs="Arial Narrow"/>
          <w:color w:val="000000"/>
          <w:sz w:val="24"/>
          <w:szCs w:val="24"/>
        </w:rPr>
        <w:t xml:space="preserve"> Ill Children: A Matter of Convenience. JPEN J Parenter Enteral Nutr 2010;34:329-40.</w:t>
      </w:r>
    </w:p>
    <w:p w14:paraId="0000012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144.    Mara J, Gentles E, Alfheeaid HA, et al. An evaluation of enteral nutrition practices and nutritional provision in children during the entire length of stay in crit</w:t>
      </w:r>
      <w:r>
        <w:rPr>
          <w:rFonts w:ascii="Arial Narrow" w:eastAsia="Arial Narrow" w:hAnsi="Arial Narrow" w:cs="Arial Narrow"/>
          <w:color w:val="000000"/>
          <w:sz w:val="24"/>
          <w:szCs w:val="24"/>
        </w:rPr>
        <w:t>ical care. BMC Pediatr 2014;14:186.</w:t>
      </w:r>
    </w:p>
    <w:p w14:paraId="0000012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145.    Dos Reis Santos M, Leite HP, Luiz Pereira AM, Dell'Acqua Cassao B, de Oliveira Iglesias SB. Factors associated with not meeting the recommendations for micronutrient intake in critically ill children. Nutrition 2</w:t>
      </w:r>
      <w:r>
        <w:rPr>
          <w:rFonts w:ascii="Arial Narrow" w:eastAsia="Arial Narrow" w:hAnsi="Arial Narrow" w:cs="Arial Narrow"/>
          <w:color w:val="000000"/>
          <w:sz w:val="24"/>
          <w:szCs w:val="24"/>
        </w:rPr>
        <w:t>016;32:1217-22.</w:t>
      </w:r>
    </w:p>
    <w:p w14:paraId="0000012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146.    Li M, Campa A, Huffman FG, Rossi AF. Understanding the Impact of Fluid Restriction on Growth Outcomes in Infants Following Cardiac Surgery. Pediatr Crit Care Med 2018;19:131-6.</w:t>
      </w:r>
    </w:p>
    <w:p w14:paraId="0000012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147.    Zhang H, Gu Y, Mi Y, Jin Y, Fu W, Latour JM. Hi</w:t>
      </w:r>
      <w:r>
        <w:rPr>
          <w:rFonts w:ascii="Arial Narrow" w:eastAsia="Arial Narrow" w:hAnsi="Arial Narrow" w:cs="Arial Narrow"/>
          <w:color w:val="000000"/>
          <w:sz w:val="24"/>
          <w:szCs w:val="24"/>
        </w:rPr>
        <w:t>gh-energy nutrition in paediatric cardiac critical care patients: a randomized controlled trial. Nurs Crit Care 2018.</w:t>
      </w:r>
    </w:p>
    <w:p w14:paraId="0000012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148.    Sahu MK, Singal A, Menon R, et al. Early enteral nutrition therapy in congenital cardiac repair postoperatively: A randomized, con</w:t>
      </w:r>
      <w:r>
        <w:rPr>
          <w:rFonts w:ascii="Arial Narrow" w:eastAsia="Arial Narrow" w:hAnsi="Arial Narrow" w:cs="Arial Narrow"/>
          <w:color w:val="000000"/>
          <w:sz w:val="24"/>
          <w:szCs w:val="24"/>
        </w:rPr>
        <w:t>trolled pilot study. Ann Card Anaesth 2016;19:653-61.</w:t>
      </w:r>
    </w:p>
    <w:p w14:paraId="0000012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149.    Tume LN, Valla FV. A review of feeding intolerance in critically ill children. Eur J Pediatr 2018;177:1675-83.</w:t>
      </w:r>
    </w:p>
    <w:p w14:paraId="0000012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150.    Vidigal MV, Leite HP, Nogueira PC. Factors associated with peptide-based fo</w:t>
      </w:r>
      <w:r>
        <w:rPr>
          <w:rFonts w:ascii="Arial Narrow" w:eastAsia="Arial Narrow" w:hAnsi="Arial Narrow" w:cs="Arial Narrow"/>
          <w:color w:val="000000"/>
          <w:sz w:val="24"/>
          <w:szCs w:val="24"/>
        </w:rPr>
        <w:t>rmula prescription in a pediatric intensive care unit. J Pediatr Gastroenterol Nutr 2012;54:620-3.</w:t>
      </w:r>
    </w:p>
    <w:p w14:paraId="0000012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151.    Carcillo JA, Dean JM, Holubkov R, et al. Interaction Between 2 Nutraceutical Treatments and Host Immune Status in the Pediatric Critical Illness Stre</w:t>
      </w:r>
      <w:r>
        <w:rPr>
          <w:rFonts w:ascii="Arial Narrow" w:eastAsia="Arial Narrow" w:hAnsi="Arial Narrow" w:cs="Arial Narrow"/>
          <w:color w:val="000000"/>
          <w:sz w:val="24"/>
          <w:szCs w:val="24"/>
        </w:rPr>
        <w:t>ss-Induced Immune Suppression Comparative Effectiveness Trial. JPEN J Parenter Enteral Nutr 2017;41:1325-35.</w:t>
      </w:r>
    </w:p>
    <w:p w14:paraId="0000012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152.    Jacobs BR, Nadkarni V, Goldstein B, et al. Nutritional immunomodulation in critically ill children with acute lung injury: feasibility and </w:t>
      </w:r>
      <w:r>
        <w:rPr>
          <w:rFonts w:ascii="Arial Narrow" w:eastAsia="Arial Narrow" w:hAnsi="Arial Narrow" w:cs="Arial Narrow"/>
          <w:color w:val="000000"/>
          <w:sz w:val="24"/>
          <w:szCs w:val="24"/>
        </w:rPr>
        <w:t>impact on circulating biomarkers. Pediatr Crit Care Med 2013;14:e45-56.</w:t>
      </w:r>
    </w:p>
    <w:p w14:paraId="0000013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153.    Briassoulis G, Filippou O, Hatzi E, Papassotiriou I, Hatzis T. Early enteral administration of immunonutrition in critically ill children: results of a blinded randomized contr</w:t>
      </w:r>
      <w:r>
        <w:rPr>
          <w:rFonts w:ascii="Arial Narrow" w:eastAsia="Arial Narrow" w:hAnsi="Arial Narrow" w:cs="Arial Narrow"/>
          <w:color w:val="000000"/>
          <w:sz w:val="24"/>
          <w:szCs w:val="24"/>
        </w:rPr>
        <w:t>olled clinical trial. Nutrition 2005;21:799-807.</w:t>
      </w:r>
    </w:p>
    <w:p w14:paraId="0000013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154.    Carcillo JA, Dean JM, Holubkov R, et al. The randomized comparative pediatric critical illness stress-induced immune suppression (CRISIS) prevention trial. Pediatr Crit Care Med 2012;13:165-73.</w:t>
      </w:r>
    </w:p>
    <w:p w14:paraId="0000013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155. </w:t>
      </w:r>
      <w:r>
        <w:rPr>
          <w:rFonts w:ascii="Arial Narrow" w:eastAsia="Arial Narrow" w:hAnsi="Arial Narrow" w:cs="Arial Narrow"/>
          <w:color w:val="000000"/>
          <w:sz w:val="24"/>
          <w:szCs w:val="24"/>
        </w:rPr>
        <w:t>   Barbosa E, Moreira EA, Goes JE, Faintuch J. Pilot study with a glutamine-supplemented enteral formula in critically ill infants. Rev Hosp Clin Fac Med Sao Paulo 1999;54:21-4.</w:t>
      </w:r>
    </w:p>
    <w:p w14:paraId="0000013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156.    Duggan C, Stark AR, Auestad N, et al. Glutamine supplementation in inf</w:t>
      </w:r>
      <w:r>
        <w:rPr>
          <w:rFonts w:ascii="Arial Narrow" w:eastAsia="Arial Narrow" w:hAnsi="Arial Narrow" w:cs="Arial Narrow"/>
          <w:color w:val="000000"/>
          <w:sz w:val="24"/>
          <w:szCs w:val="24"/>
        </w:rPr>
        <w:t>ants with gastrointestinal disease: a randomized, placebo-controlled pilot trial. Nutrition 2004;20:752-6.</w:t>
      </w:r>
    </w:p>
    <w:p w14:paraId="0000013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157.    Jordan I, Balaguer M, Esteban ME, et al. Glutamine effects on heat shock protein 70 and interleukines 6 and 10: Randomized trial of glutamine</w:t>
      </w:r>
      <w:r>
        <w:rPr>
          <w:rFonts w:ascii="Arial Narrow" w:eastAsia="Arial Narrow" w:hAnsi="Arial Narrow" w:cs="Arial Narrow"/>
          <w:color w:val="000000"/>
          <w:sz w:val="24"/>
          <w:szCs w:val="24"/>
        </w:rPr>
        <w:t xml:space="preserve"> supplementation versus standard parenteral nutrition in critically ill children. Clin Nutr 2016;35:34-40.</w:t>
      </w:r>
    </w:p>
    <w:p w14:paraId="0000013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158.    Ong EG, Eaton S, Wade AM, et al. Randomized clinical trial of glutamine-supplemented versus standard parenteral nutrition in infants with surgical gastrointestinal disease. Br J Surg 2012;99:929-38.</w:t>
      </w:r>
    </w:p>
    <w:p w14:paraId="0000013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159.    Struijs MC, Schaible T, van Elburg RM, De</w:t>
      </w:r>
      <w:r>
        <w:rPr>
          <w:rFonts w:ascii="Arial Narrow" w:eastAsia="Arial Narrow" w:hAnsi="Arial Narrow" w:cs="Arial Narrow"/>
          <w:color w:val="000000"/>
          <w:sz w:val="24"/>
          <w:szCs w:val="24"/>
        </w:rPr>
        <w:t>bauche C, te Beest H, Tibboel D. Efficacy and safety of a parenteral amino acid solution containing alanyl-glutamine versus standard solution in infants: a first-in-man randomized double-blind trial. Clin Nutr 2013;32:331-7.</w:t>
      </w:r>
    </w:p>
    <w:p w14:paraId="0000013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160.    Ong EG, Eaton S, Wade A</w:t>
      </w:r>
      <w:r>
        <w:rPr>
          <w:rFonts w:ascii="Arial Narrow" w:eastAsia="Arial Narrow" w:hAnsi="Arial Narrow" w:cs="Arial Narrow"/>
          <w:color w:val="000000"/>
          <w:sz w:val="24"/>
          <w:szCs w:val="24"/>
        </w:rPr>
        <w:t>M, et al. Randomized clinical trial of glutamine-supplemented versus standard parenteral nutrition in infants with surgical gastrointestinal disease. Br J Surg 2012;99:929-38.</w:t>
      </w:r>
    </w:p>
    <w:p w14:paraId="0000013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161.    Yuan X, Qian SY, Li Z, Zhang ZZ. Effect of zinc supplementation on infan</w:t>
      </w:r>
      <w:r>
        <w:rPr>
          <w:rFonts w:ascii="Arial Narrow" w:eastAsia="Arial Narrow" w:hAnsi="Arial Narrow" w:cs="Arial Narrow"/>
          <w:color w:val="000000"/>
          <w:sz w:val="24"/>
          <w:szCs w:val="24"/>
        </w:rPr>
        <w:t>ts with severe pneumonia. World J Pediatr 2016;12:166-9.</w:t>
      </w:r>
    </w:p>
    <w:p w14:paraId="0000013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162.    McNally JD, Nama N, O'Hearn K, et al. Vitamin D deficiency in critically ill children: a systematic review and meta-analysis. Crit Care 2017;21:287.</w:t>
      </w:r>
    </w:p>
    <w:p w14:paraId="0000013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163.    Gottschlich MM, Mayes T, Khoury J,</w:t>
      </w:r>
      <w:r>
        <w:rPr>
          <w:rFonts w:ascii="Arial Narrow" w:eastAsia="Arial Narrow" w:hAnsi="Arial Narrow" w:cs="Arial Narrow"/>
          <w:color w:val="000000"/>
          <w:sz w:val="24"/>
          <w:szCs w:val="24"/>
        </w:rPr>
        <w:t xml:space="preserve"> Kagan RJ. Clinical Trial of Vitamin D2 vs D3 Supplementation in Critically Ill Pediatric Burn Patients. JPEN J Parenter Enteral Nutr 2017;41:412-21.</w:t>
      </w:r>
    </w:p>
    <w:p w14:paraId="0000013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164.    Horn D, Chaboyer W. Gastric feeding in critically ill children: a randomized controlled trial. Am </w:t>
      </w:r>
      <w:r>
        <w:rPr>
          <w:rFonts w:ascii="Arial Narrow" w:eastAsia="Arial Narrow" w:hAnsi="Arial Narrow" w:cs="Arial Narrow"/>
          <w:color w:val="000000"/>
          <w:sz w:val="24"/>
          <w:szCs w:val="24"/>
        </w:rPr>
        <w:t>J Crit Care 2003;12:461-8.</w:t>
      </w:r>
    </w:p>
    <w:p w14:paraId="0000013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165.    Horn D, Chaboyer W, Schluter PJ. Gastric residual volumes in critically ill paediatric patients: a comparison of feeding regimens. Aust Crit Care 2004;17:98-100, 2-3.</w:t>
      </w:r>
    </w:p>
    <w:p w14:paraId="0000013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166.    Fayazi SA, M. Zahraei Fard, S. Farokh Payam, H</w:t>
      </w:r>
      <w:r>
        <w:rPr>
          <w:rFonts w:ascii="Arial Narrow" w:eastAsia="Arial Narrow" w:hAnsi="Arial Narrow" w:cs="Arial Narrow"/>
          <w:color w:val="000000"/>
          <w:sz w:val="24"/>
          <w:szCs w:val="24"/>
        </w:rPr>
        <w:t>. Ahmadie Batvandy, Z. Comparing Two Methods of Enteral Nutrition in Terms of their Complications and the Time Needed to Reach Goal Calorie in Children Hospitalized in ICU. Int J Pediatr 2016;4:2119-30.</w:t>
      </w:r>
    </w:p>
    <w:p w14:paraId="0000013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167.    Spillane NT, Kashyap S, Bateman D, Weindler M</w:t>
      </w:r>
      <w:r>
        <w:rPr>
          <w:rFonts w:ascii="Arial Narrow" w:eastAsia="Arial Narrow" w:hAnsi="Arial Narrow" w:cs="Arial Narrow"/>
          <w:color w:val="000000"/>
          <w:sz w:val="24"/>
          <w:szCs w:val="24"/>
        </w:rPr>
        <w:t>, Krishnamurthy G. Comparison of Feeding Strategies for Infants With Hypoplastic Left Heart Syndrome: A Randomized Controlled Trial. World J Pediatr Congenit Heart Surg 2016;7:446-53.</w:t>
      </w:r>
    </w:p>
    <w:p w14:paraId="0000013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168.    Patel JJ, Rosenthal MD, Heyland DK. Intermittent versus continuo</w:t>
      </w:r>
      <w:r>
        <w:rPr>
          <w:rFonts w:ascii="Arial Narrow" w:eastAsia="Arial Narrow" w:hAnsi="Arial Narrow" w:cs="Arial Narrow"/>
          <w:color w:val="000000"/>
          <w:sz w:val="24"/>
          <w:szCs w:val="24"/>
        </w:rPr>
        <w:t>us feeding in critically ill adults. Curr Opin Clin Nutr Metab Care 2018;21:116-20.</w:t>
      </w:r>
    </w:p>
    <w:p w14:paraId="0000014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169.    Meert KL, Daphtary KM, Metheny NA. Gastric vs small-bowel feeding in critically ill children receiving mechanical ventilation: a randomized controlled trial. Chest </w:t>
      </w:r>
      <w:r>
        <w:rPr>
          <w:rFonts w:ascii="Arial Narrow" w:eastAsia="Arial Narrow" w:hAnsi="Arial Narrow" w:cs="Arial Narrow"/>
          <w:color w:val="000000"/>
          <w:sz w:val="24"/>
          <w:szCs w:val="24"/>
        </w:rPr>
        <w:t>2004;126:872-8.</w:t>
      </w:r>
    </w:p>
    <w:p w14:paraId="0000014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170.    Kamat P, Favaloro-Sabatier J, Rogers K, Stockwell JA. Use of methylene blue spectrophotometry to detect subclinical aspiration in enterally fed intubated pediatric patients. Pediatr Crit Care Med 2008;9:299-303.</w:t>
      </w:r>
    </w:p>
    <w:p w14:paraId="0000014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171.    Sonmez Duzka</w:t>
      </w:r>
      <w:r>
        <w:rPr>
          <w:rFonts w:ascii="Arial Narrow" w:eastAsia="Arial Narrow" w:hAnsi="Arial Narrow" w:cs="Arial Narrow"/>
          <w:color w:val="000000"/>
          <w:sz w:val="24"/>
          <w:szCs w:val="24"/>
        </w:rPr>
        <w:t>ya D, Yildiz S. Effect of two different feeding methods on preventing ventilator associated pneumonia in the paediatric intensive care unit (PICU): A randomised controlled study. Aust Crit Care 2016;29:139-45.</w:t>
      </w:r>
    </w:p>
    <w:p w14:paraId="0000014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172.    Leroue MK, Good RJ, Skillman HE, Czaja</w:t>
      </w:r>
      <w:r>
        <w:rPr>
          <w:rFonts w:ascii="Arial Narrow" w:eastAsia="Arial Narrow" w:hAnsi="Arial Narrow" w:cs="Arial Narrow"/>
          <w:color w:val="000000"/>
          <w:sz w:val="24"/>
          <w:szCs w:val="24"/>
        </w:rPr>
        <w:t xml:space="preserve"> AS. Enteral Nutrition Practices in Critically Ill Children Requiring Noninvasive Positive Pressure Ventilation. Pediatr Crit Care Med 2017;18:1093-8.</w:t>
      </w:r>
    </w:p>
    <w:p w14:paraId="0000014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173.    Marik PE, Zaloga GP. Gastric versus post-pyloric feeding: a systematic review. Crit Care 2003;7:R</w:t>
      </w:r>
      <w:r>
        <w:rPr>
          <w:rFonts w:ascii="Arial Narrow" w:eastAsia="Arial Narrow" w:hAnsi="Arial Narrow" w:cs="Arial Narrow"/>
          <w:color w:val="000000"/>
          <w:sz w:val="24"/>
          <w:szCs w:val="24"/>
        </w:rPr>
        <w:t>46-51.</w:t>
      </w:r>
    </w:p>
    <w:p w14:paraId="0000014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174.    Imeokparia F, Johnson M, Thakkar RK, Giles S, Capello T, Fabia R. Safety and efficacy of uninterrupted perioperative enteral feeding in pediatric burn patients. Burns 2018;44:344-9.</w:t>
      </w:r>
    </w:p>
    <w:p w14:paraId="0000014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175.    Tume L, Carter B, Latten L. A UK and Irish survey o</w:t>
      </w:r>
      <w:r>
        <w:rPr>
          <w:rFonts w:ascii="Arial Narrow" w:eastAsia="Arial Narrow" w:hAnsi="Arial Narrow" w:cs="Arial Narrow"/>
          <w:color w:val="000000"/>
          <w:sz w:val="24"/>
          <w:szCs w:val="24"/>
        </w:rPr>
        <w:t>f enteral nutrition practices in paediatric intensive care units. Br J Nutr 2013;109:1304-22.</w:t>
      </w:r>
    </w:p>
    <w:p w14:paraId="0000014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176.    Lin HC, Van Citters GW. Stopping enteral feeding for arbitrary gastric residual volume may not be physiologically sound: results of a computer simulation </w:t>
      </w:r>
      <w:r>
        <w:rPr>
          <w:rFonts w:ascii="Arial Narrow" w:eastAsia="Arial Narrow" w:hAnsi="Arial Narrow" w:cs="Arial Narrow"/>
          <w:color w:val="000000"/>
          <w:sz w:val="24"/>
          <w:szCs w:val="24"/>
        </w:rPr>
        <w:t>model. JPEN J Parenter Enteral Nutr 1997;21:286-9.</w:t>
      </w:r>
    </w:p>
    <w:p w14:paraId="0000014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177.    Bartlett Ellis RJ, Fuehne J. Examination of accuracy in the assessment of gastric residual volume: a simulated, controlled study. JPEN J Parenter Enteral Nutr 2015;39:434-40.</w:t>
      </w:r>
    </w:p>
    <w:p w14:paraId="0000014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178.    Tume LN, Bicke</w:t>
      </w:r>
      <w:r>
        <w:rPr>
          <w:rFonts w:ascii="Arial Narrow" w:eastAsia="Arial Narrow" w:hAnsi="Arial Narrow" w:cs="Arial Narrow"/>
          <w:color w:val="000000"/>
          <w:sz w:val="24"/>
          <w:szCs w:val="24"/>
        </w:rPr>
        <w:t>rdike A, Latten L, et al. Routine gastric residual volume measurement and energy target achievement in the PICU: a comparison study. Eur J Pediatr 2017;176:1637-44.</w:t>
      </w:r>
    </w:p>
    <w:p w14:paraId="0000014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179.    Reignier J, Mercier E, Le Gouge A, et al. Effect of not monitoring residual gastric</w:t>
      </w:r>
      <w:r>
        <w:rPr>
          <w:rFonts w:ascii="Arial Narrow" w:eastAsia="Arial Narrow" w:hAnsi="Arial Narrow" w:cs="Arial Narrow"/>
          <w:color w:val="000000"/>
          <w:sz w:val="24"/>
          <w:szCs w:val="24"/>
        </w:rPr>
        <w:t xml:space="preserve"> volume on risk of ventilator-associated pneumonia in adults receiving mechanical ventilation and early enteral feeding: a randomized controlled trial. Jama 2013;309:249-56.</w:t>
      </w:r>
    </w:p>
    <w:p w14:paraId="0000014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180.    Poulard F, Dimet J, Martin-Lefevre L, et al. Impact of not measuring resid</w:t>
      </w:r>
      <w:r>
        <w:rPr>
          <w:rFonts w:ascii="Arial Narrow" w:eastAsia="Arial Narrow" w:hAnsi="Arial Narrow" w:cs="Arial Narrow"/>
          <w:color w:val="000000"/>
          <w:sz w:val="24"/>
          <w:szCs w:val="24"/>
        </w:rPr>
        <w:t>ual gastric volume in mechanically ventilated patients receiving early enteral feeding: a prospective before-after study. JPEN J Parenter Enteral Nutr 2010;34:125-30.</w:t>
      </w:r>
    </w:p>
    <w:p w14:paraId="0000014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181.    Ozen N, Tosun N, Yamanel L, Altintas ND, Kilciler G, Ozen V. Evaluation of the effect on patient parameters of not monitoring gastric residual volume in intensive care patients on a mechanical ventilator receiving enteral feeding: A randomized clin</w:t>
      </w:r>
      <w:r>
        <w:rPr>
          <w:rFonts w:ascii="Arial Narrow" w:eastAsia="Arial Narrow" w:hAnsi="Arial Narrow" w:cs="Arial Narrow"/>
          <w:color w:val="000000"/>
          <w:sz w:val="24"/>
          <w:szCs w:val="24"/>
        </w:rPr>
        <w:t>ical trial. J Crit Care 2016;33:137-44.</w:t>
      </w:r>
    </w:p>
    <w:p w14:paraId="0000014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182.    Gharpure V, Meert KL, Sarnaik AP. Efficacy of erythromycin for postpyloric placement of feeding tubes in critically ill children: a randomized, double-blind, placebo controlled study. JPEN J Parenter Enteral </w:t>
      </w:r>
      <w:r>
        <w:rPr>
          <w:rFonts w:ascii="Arial Narrow" w:eastAsia="Arial Narrow" w:hAnsi="Arial Narrow" w:cs="Arial Narrow"/>
          <w:color w:val="000000"/>
          <w:sz w:val="24"/>
          <w:szCs w:val="24"/>
        </w:rPr>
        <w:t>Nutr 2001;25:160-5.</w:t>
      </w:r>
    </w:p>
    <w:p w14:paraId="0000014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183.    Lewis K, Alqahtani Z, McIntyre L, et al. The efficacy and safety of prokinetic agents in critically ill patients receiving enteral nutrition: a systematic review and meta-analysis of randomized trials. Crit Care 2016;20:259.</w:t>
      </w:r>
    </w:p>
    <w:p w14:paraId="0000014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184</w:t>
      </w:r>
      <w:r>
        <w:rPr>
          <w:rFonts w:ascii="Arial Narrow" w:eastAsia="Arial Narrow" w:hAnsi="Arial Narrow" w:cs="Arial Narrow"/>
          <w:color w:val="000000"/>
          <w:sz w:val="24"/>
          <w:szCs w:val="24"/>
        </w:rPr>
        <w:t>.    van Puffelen E, Polinder S, Vanhorebeek I, et al. Cost-effectiveness study of early versus late parenteral nutrition in critically ill children (PEPaNIC): preplanned secondary analysis of a multicentre randomised controlled trial. Crit Care 2018;22:4.</w:t>
      </w:r>
    </w:p>
    <w:p w14:paraId="00000150"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185.    van Puffelen E, Vanhorebeek I, Joosten KFM, Wouters PJ, Van den Berghe G, Verbruggen S. Early versus late parenteral nutrition in critically ill, term neonates: a preplanned secondary subgroup analysis of the PEPaNIC multicentre, randomised contro</w:t>
      </w:r>
      <w:r>
        <w:rPr>
          <w:rFonts w:ascii="Arial Narrow" w:eastAsia="Arial Narrow" w:hAnsi="Arial Narrow" w:cs="Arial Narrow"/>
          <w:color w:val="000000"/>
          <w:sz w:val="24"/>
          <w:szCs w:val="24"/>
        </w:rPr>
        <w:t>lled trial. Lancet Child Adolesc Health 2018;2:505-15.</w:t>
      </w:r>
    </w:p>
    <w:p w14:paraId="00000151"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186.    Casaer MP, Mesotten D, Hermans G, et al. Early versus late parenteral nutrition in critically ill adults. N Engl J Med 2011;365:506-17.</w:t>
      </w:r>
    </w:p>
    <w:p w14:paraId="00000152"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187.    Doig GS, Simpson F, Sweetman EA, et al. Early parenteral nutrition in critically ill patients with short</w:t>
      </w:r>
      <w:r>
        <w:rPr>
          <w:rFonts w:ascii="Arial Narrow" w:eastAsia="Arial Narrow" w:hAnsi="Arial Narrow" w:cs="Arial Narrow"/>
          <w:color w:val="000000"/>
          <w:sz w:val="24"/>
          <w:szCs w:val="24"/>
        </w:rPr>
        <w:t>-term relative contraindications to early enteral nutrition: a randomized controlled trial. Jama 2013;309:2130-8.</w:t>
      </w:r>
    </w:p>
    <w:p w14:paraId="00000153"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188.    Heidegger CP, Berger MM, Graf S, et al. Optimisation of energy provision with supplemental parenteral nutrition in critically ill pati</w:t>
      </w:r>
      <w:r>
        <w:rPr>
          <w:rFonts w:ascii="Arial Narrow" w:eastAsia="Arial Narrow" w:hAnsi="Arial Narrow" w:cs="Arial Narrow"/>
          <w:color w:val="000000"/>
          <w:sz w:val="24"/>
          <w:szCs w:val="24"/>
        </w:rPr>
        <w:t>ents: a randomised controlled clinical trial. Lancet 2013;381:385-93.</w:t>
      </w:r>
    </w:p>
    <w:p w14:paraId="00000154"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189.    Kyle UG, Lucas LA, Mackey G, et al. Implementation of Nutrition Support Guidelines May Affect Energy and Protein Intake in the Pediatric Intensive Care Unit. J Acad Nutr Diet 201</w:t>
      </w:r>
      <w:r>
        <w:rPr>
          <w:rFonts w:ascii="Arial Narrow" w:eastAsia="Arial Narrow" w:hAnsi="Arial Narrow" w:cs="Arial Narrow"/>
          <w:color w:val="000000"/>
          <w:sz w:val="24"/>
          <w:szCs w:val="24"/>
        </w:rPr>
        <w:t>6;116:844-51 e4.</w:t>
      </w:r>
    </w:p>
    <w:p w14:paraId="00000155"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190.    Petrillo-Albarano T, Pettignano R, Asfaw M, Easley K. Use of a feeding protocol to improve nutritional support through early, aggressive, enteral nutrition in the pediatric intensive care unit. Pediatr Crit Care Med 2006;7:340-4.</w:t>
      </w:r>
    </w:p>
    <w:p w14:paraId="00000156"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w:t>
      </w:r>
      <w:r>
        <w:rPr>
          <w:rFonts w:ascii="Arial Narrow" w:eastAsia="Arial Narrow" w:hAnsi="Arial Narrow" w:cs="Arial Narrow"/>
          <w:color w:val="000000"/>
          <w:sz w:val="24"/>
          <w:szCs w:val="24"/>
        </w:rPr>
        <w:t>91.    Wong JJ, Ong C, Han WM, Lee JH. Protocol-driven enteral nutrition in critically ill children: a systematic review. JPEN J Parenter Enteral Nutr 2014;38:29-39.</w:t>
      </w:r>
    </w:p>
    <w:p w14:paraId="00000157"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192.    Meyer R, Harrison S, Sargent S, Ramnarayan P, Habibi P, Labadarios D. The impact o</w:t>
      </w:r>
      <w:r>
        <w:rPr>
          <w:rFonts w:ascii="Arial Narrow" w:eastAsia="Arial Narrow" w:hAnsi="Arial Narrow" w:cs="Arial Narrow"/>
          <w:color w:val="000000"/>
          <w:sz w:val="24"/>
          <w:szCs w:val="24"/>
        </w:rPr>
        <w:t>f enteral feeding protocols on nutritional support in critically ill children. J Hum Nutr Diet 2009;22:428-36.</w:t>
      </w:r>
    </w:p>
    <w:p w14:paraId="00000158"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193.    Gentles E, Mara J, Diamantidi K, et al. Delivery of enteral nutrition after the introduction of practice guidelines and participation of </w:t>
      </w:r>
      <w:r>
        <w:rPr>
          <w:rFonts w:ascii="Arial Narrow" w:eastAsia="Arial Narrow" w:hAnsi="Arial Narrow" w:cs="Arial Narrow"/>
          <w:color w:val="000000"/>
          <w:sz w:val="24"/>
          <w:szCs w:val="24"/>
        </w:rPr>
        <w:t>dietitians in pediatric critical care clinical teams. J Acad Nutr Diet 2014;114:1974-80 e3.</w:t>
      </w:r>
    </w:p>
    <w:p w14:paraId="00000159"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194.    Geukers V, Neef M, Dijsselhof M, Sauerwein H, Bos A. Effect of a nurse-driven feeding algorithm and the institution of a nutritional support team on energy </w:t>
      </w:r>
      <w:r>
        <w:rPr>
          <w:rFonts w:ascii="Arial Narrow" w:eastAsia="Arial Narrow" w:hAnsi="Arial Narrow" w:cs="Arial Narrow"/>
          <w:color w:val="000000"/>
          <w:sz w:val="24"/>
          <w:szCs w:val="24"/>
        </w:rPr>
        <w:t>and macronutrient intake in critically ill children2012.</w:t>
      </w:r>
    </w:p>
    <w:p w14:paraId="0000015A"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195.    Hamilton S, McAleer DM, Ariagno K, et al. A stepwise enteral nutrition algorithm for critically ill children helps achieve nutrient delivery goals*. Pediatr Crit Care Med 2014;15:583-9.</w:t>
      </w:r>
    </w:p>
    <w:p w14:paraId="0000015B"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196. </w:t>
      </w:r>
      <w:r>
        <w:rPr>
          <w:rFonts w:ascii="Arial Narrow" w:eastAsia="Arial Narrow" w:hAnsi="Arial Narrow" w:cs="Arial Narrow"/>
          <w:color w:val="000000"/>
          <w:sz w:val="24"/>
          <w:szCs w:val="24"/>
        </w:rPr>
        <w:t>   Kaufman J, Vichayavilas P, Rannie M, et al. Improved nutrition delivery and nutrition status in critically ill children with heart disease. Pediatrics 2015;135:e717-25.</w:t>
      </w:r>
    </w:p>
    <w:p w14:paraId="0000015C"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197.    Brown A-M, Forbes ML, Vitale VS, Tirodker UH, Zeller R. Effects of a Gastric</w:t>
      </w:r>
      <w:r>
        <w:rPr>
          <w:rFonts w:ascii="Arial Narrow" w:eastAsia="Arial Narrow" w:hAnsi="Arial Narrow" w:cs="Arial Narrow"/>
          <w:color w:val="000000"/>
          <w:sz w:val="24"/>
          <w:szCs w:val="24"/>
        </w:rPr>
        <w:t xml:space="preserve"> Feeding Protocol on Efficiency of Enteral Nutrition in Critically Ill Infants and Children. ICAN: Infant, Child, &amp; Adolescent Nutrition 2012;4:175-80.</w:t>
      </w:r>
    </w:p>
    <w:p w14:paraId="0000015D"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198.    Furlong-Dillard J, Neary A, Marietta J, et al. Evaluating the Impact of a Feeding Protocol in Ne</w:t>
      </w:r>
      <w:r>
        <w:rPr>
          <w:rFonts w:ascii="Arial Narrow" w:eastAsia="Arial Narrow" w:hAnsi="Arial Narrow" w:cs="Arial Narrow"/>
          <w:color w:val="000000"/>
          <w:sz w:val="24"/>
          <w:szCs w:val="24"/>
        </w:rPr>
        <w:t>onates before and after Biventricular Cardiac Surgery. Pediatric quality &amp; safety 2018;3:e080.</w:t>
      </w:r>
    </w:p>
    <w:p w14:paraId="0000015E"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199.    Simsic JM, Carpenito KR, Kirchner K, et al. Reducing variation in feeding newborns with congenital heart disease. Congenit Heart Dis 2017;12:275-81.</w:t>
      </w:r>
    </w:p>
    <w:p w14:paraId="0000015F" w14:textId="77777777" w:rsidR="009935D5" w:rsidRDefault="00522231">
      <w:pPr>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200.</w:t>
      </w:r>
      <w:r>
        <w:rPr>
          <w:rFonts w:ascii="Arial Narrow" w:eastAsia="Arial Narrow" w:hAnsi="Arial Narrow" w:cs="Arial Narrow"/>
          <w:color w:val="000000"/>
          <w:sz w:val="24"/>
          <w:szCs w:val="24"/>
        </w:rPr>
        <w:t>    Ang B, Han WM, Wong JJM, Lee AN, Chan YH, Lee JH. Impact of a nurse-led feeding protocol in a pediatric intensive care unit. Proc Singap Healthc 2016;25:35-42.</w:t>
      </w:r>
    </w:p>
    <w:p w14:paraId="00000160" w14:textId="77777777" w:rsidR="009935D5" w:rsidRDefault="009935D5">
      <w:pPr>
        <w:rPr>
          <w:rFonts w:ascii="Arial Narrow" w:eastAsia="Arial Narrow" w:hAnsi="Arial Narrow" w:cs="Arial Narrow"/>
          <w:sz w:val="24"/>
          <w:szCs w:val="24"/>
        </w:rPr>
      </w:pPr>
    </w:p>
    <w:sectPr w:rsidR="009935D5">
      <w:pgSz w:w="11906" w:h="16838"/>
      <w:pgMar w:top="720" w:right="720" w:bottom="720" w:left="720" w:header="708" w:footer="708"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FC928" w14:textId="77777777" w:rsidR="00522231" w:rsidRDefault="00522231">
      <w:pPr>
        <w:spacing w:after="0" w:line="240" w:lineRule="auto"/>
      </w:pPr>
      <w:r>
        <w:separator/>
      </w:r>
    </w:p>
  </w:endnote>
  <w:endnote w:type="continuationSeparator" w:id="0">
    <w:p w14:paraId="055CB9B3" w14:textId="77777777" w:rsidR="00522231" w:rsidRDefault="00522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Tahoma">
    <w:panose1 w:val="020B060403050404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62" w14:textId="7F58FC26" w:rsidR="009935D5" w:rsidRDefault="00522231">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sidR="00F33463">
      <w:rPr>
        <w:color w:val="000000"/>
      </w:rPr>
      <w:fldChar w:fldCharType="separate"/>
    </w:r>
    <w:r w:rsidR="00F33463">
      <w:rPr>
        <w:noProof/>
        <w:color w:val="000000"/>
      </w:rPr>
      <w:t>1</w:t>
    </w:r>
    <w:r>
      <w:rPr>
        <w:color w:val="000000"/>
      </w:rPr>
      <w:fldChar w:fldCharType="end"/>
    </w:r>
  </w:p>
  <w:p w14:paraId="00000163" w14:textId="77777777" w:rsidR="009935D5" w:rsidRDefault="009935D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98425" w14:textId="77777777" w:rsidR="00522231" w:rsidRDefault="00522231">
      <w:pPr>
        <w:spacing w:after="0" w:line="240" w:lineRule="auto"/>
      </w:pPr>
      <w:r>
        <w:separator/>
      </w:r>
    </w:p>
  </w:footnote>
  <w:footnote w:type="continuationSeparator" w:id="0">
    <w:p w14:paraId="200B6700" w14:textId="77777777" w:rsidR="00522231" w:rsidRDefault="00522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61" w14:textId="77777777" w:rsidR="009935D5" w:rsidRDefault="009935D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5D5"/>
    <w:rsid w:val="00522231"/>
    <w:rsid w:val="009935D5"/>
    <w:rsid w:val="00F33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A52A18-2B38-464B-986D-B49AF0BB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115C"/>
  </w:style>
  <w:style w:type="paragraph" w:styleId="Heading1">
    <w:name w:val="heading 1"/>
    <w:basedOn w:val="Normal"/>
    <w:next w:val="Normal"/>
    <w:link w:val="Heading1Char"/>
    <w:uiPriority w:val="9"/>
    <w:qFormat/>
    <w:rsid w:val="000C115C"/>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0C115C"/>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0C115C"/>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0C115C"/>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C115C"/>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C115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C115C"/>
    <w:pPr>
      <w:keepNext/>
      <w:keepLines/>
      <w:spacing w:before="480" w:after="120"/>
    </w:pPr>
    <w:rPr>
      <w:b/>
      <w:sz w:val="72"/>
      <w:szCs w:val="72"/>
    </w:rPr>
  </w:style>
  <w:style w:type="character" w:customStyle="1" w:styleId="Heading1Char">
    <w:name w:val="Heading 1 Char"/>
    <w:basedOn w:val="DefaultParagraphFont"/>
    <w:link w:val="Heading1"/>
    <w:rsid w:val="000C115C"/>
    <w:rPr>
      <w:rFonts w:ascii="Calibri" w:eastAsia="Calibri" w:hAnsi="Calibri" w:cs="Calibri"/>
      <w:b/>
      <w:sz w:val="48"/>
      <w:szCs w:val="48"/>
      <w:lang w:eastAsia="en-GB"/>
    </w:rPr>
  </w:style>
  <w:style w:type="character" w:customStyle="1" w:styleId="Heading2Char">
    <w:name w:val="Heading 2 Char"/>
    <w:basedOn w:val="DefaultParagraphFont"/>
    <w:link w:val="Heading2"/>
    <w:rsid w:val="000C115C"/>
    <w:rPr>
      <w:rFonts w:ascii="Calibri" w:eastAsia="Calibri" w:hAnsi="Calibri" w:cs="Calibri"/>
      <w:b/>
      <w:sz w:val="36"/>
      <w:szCs w:val="36"/>
      <w:lang w:eastAsia="en-GB"/>
    </w:rPr>
  </w:style>
  <w:style w:type="character" w:customStyle="1" w:styleId="Heading3Char">
    <w:name w:val="Heading 3 Char"/>
    <w:basedOn w:val="DefaultParagraphFont"/>
    <w:link w:val="Heading3"/>
    <w:rsid w:val="000C115C"/>
    <w:rPr>
      <w:rFonts w:ascii="Calibri" w:eastAsia="Calibri" w:hAnsi="Calibri" w:cs="Calibri"/>
      <w:b/>
      <w:sz w:val="28"/>
      <w:szCs w:val="28"/>
      <w:lang w:eastAsia="en-GB"/>
    </w:rPr>
  </w:style>
  <w:style w:type="character" w:customStyle="1" w:styleId="Heading4Char">
    <w:name w:val="Heading 4 Char"/>
    <w:basedOn w:val="DefaultParagraphFont"/>
    <w:link w:val="Heading4"/>
    <w:rsid w:val="000C115C"/>
    <w:rPr>
      <w:rFonts w:ascii="Calibri" w:eastAsia="Calibri" w:hAnsi="Calibri" w:cs="Calibri"/>
      <w:b/>
      <w:sz w:val="24"/>
      <w:szCs w:val="24"/>
      <w:lang w:eastAsia="en-GB"/>
    </w:rPr>
  </w:style>
  <w:style w:type="character" w:customStyle="1" w:styleId="Heading5Char">
    <w:name w:val="Heading 5 Char"/>
    <w:basedOn w:val="DefaultParagraphFont"/>
    <w:link w:val="Heading5"/>
    <w:rsid w:val="000C115C"/>
    <w:rPr>
      <w:rFonts w:ascii="Calibri" w:eastAsia="Calibri" w:hAnsi="Calibri" w:cs="Calibri"/>
      <w:b/>
      <w:lang w:eastAsia="en-GB"/>
    </w:rPr>
  </w:style>
  <w:style w:type="character" w:customStyle="1" w:styleId="Heading6Char">
    <w:name w:val="Heading 6 Char"/>
    <w:basedOn w:val="DefaultParagraphFont"/>
    <w:link w:val="Heading6"/>
    <w:rsid w:val="000C115C"/>
    <w:rPr>
      <w:rFonts w:ascii="Calibri" w:eastAsia="Calibri" w:hAnsi="Calibri" w:cs="Calibri"/>
      <w:b/>
      <w:sz w:val="20"/>
      <w:szCs w:val="20"/>
      <w:lang w:eastAsia="en-GB"/>
    </w:rPr>
  </w:style>
  <w:style w:type="character" w:customStyle="1" w:styleId="TitleChar">
    <w:name w:val="Title Char"/>
    <w:basedOn w:val="DefaultParagraphFont"/>
    <w:link w:val="Title"/>
    <w:rsid w:val="000C115C"/>
    <w:rPr>
      <w:rFonts w:ascii="Calibri" w:eastAsia="Calibri" w:hAnsi="Calibri" w:cs="Calibri"/>
      <w:b/>
      <w:sz w:val="72"/>
      <w:szCs w:val="72"/>
      <w:lang w:eastAsia="en-G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C115C"/>
    <w:rPr>
      <w:rFonts w:ascii="Georgia" w:eastAsia="Georgia" w:hAnsi="Georgia" w:cs="Georgia"/>
      <w:i/>
      <w:color w:val="666666"/>
      <w:sz w:val="48"/>
      <w:szCs w:val="48"/>
      <w:lang w:eastAsia="en-GB"/>
    </w:rPr>
  </w:style>
  <w:style w:type="paragraph" w:styleId="ListParagraph">
    <w:name w:val="List Paragraph"/>
    <w:basedOn w:val="Normal"/>
    <w:uiPriority w:val="34"/>
    <w:qFormat/>
    <w:rsid w:val="000C115C"/>
    <w:pPr>
      <w:ind w:left="720"/>
      <w:contextualSpacing/>
    </w:pPr>
  </w:style>
  <w:style w:type="paragraph" w:styleId="Header">
    <w:name w:val="header"/>
    <w:basedOn w:val="Normal"/>
    <w:link w:val="HeaderChar"/>
    <w:uiPriority w:val="99"/>
    <w:unhideWhenUsed/>
    <w:rsid w:val="000C1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15C"/>
    <w:rPr>
      <w:rFonts w:ascii="Calibri" w:eastAsia="Calibri" w:hAnsi="Calibri" w:cs="Calibri"/>
      <w:lang w:eastAsia="en-GB"/>
    </w:rPr>
  </w:style>
  <w:style w:type="paragraph" w:styleId="Footer">
    <w:name w:val="footer"/>
    <w:basedOn w:val="Normal"/>
    <w:link w:val="FooterChar"/>
    <w:uiPriority w:val="99"/>
    <w:unhideWhenUsed/>
    <w:rsid w:val="000C1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15C"/>
    <w:rPr>
      <w:rFonts w:ascii="Calibri" w:eastAsia="Calibri" w:hAnsi="Calibri" w:cs="Calibri"/>
      <w:lang w:eastAsia="en-GB"/>
    </w:rPr>
  </w:style>
  <w:style w:type="character" w:styleId="CommentReference">
    <w:name w:val="annotation reference"/>
    <w:basedOn w:val="DefaultParagraphFont"/>
    <w:uiPriority w:val="99"/>
    <w:semiHidden/>
    <w:unhideWhenUsed/>
    <w:rsid w:val="000C115C"/>
    <w:rPr>
      <w:sz w:val="16"/>
      <w:szCs w:val="16"/>
    </w:rPr>
  </w:style>
  <w:style w:type="paragraph" w:styleId="CommentText">
    <w:name w:val="annotation text"/>
    <w:basedOn w:val="Normal"/>
    <w:link w:val="CommentTextChar"/>
    <w:uiPriority w:val="99"/>
    <w:unhideWhenUsed/>
    <w:rsid w:val="000C115C"/>
    <w:pPr>
      <w:spacing w:line="240" w:lineRule="auto"/>
    </w:pPr>
    <w:rPr>
      <w:sz w:val="20"/>
      <w:szCs w:val="20"/>
    </w:rPr>
  </w:style>
  <w:style w:type="character" w:customStyle="1" w:styleId="CommentTextChar">
    <w:name w:val="Comment Text Char"/>
    <w:basedOn w:val="DefaultParagraphFont"/>
    <w:link w:val="CommentText"/>
    <w:uiPriority w:val="99"/>
    <w:rsid w:val="000C115C"/>
    <w:rPr>
      <w:rFonts w:ascii="Calibri" w:eastAsia="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0C115C"/>
    <w:rPr>
      <w:b/>
      <w:bCs/>
    </w:rPr>
  </w:style>
  <w:style w:type="character" w:customStyle="1" w:styleId="CommentSubjectChar">
    <w:name w:val="Comment Subject Char"/>
    <w:basedOn w:val="CommentTextChar"/>
    <w:link w:val="CommentSubject"/>
    <w:uiPriority w:val="99"/>
    <w:semiHidden/>
    <w:rsid w:val="000C115C"/>
    <w:rPr>
      <w:rFonts w:ascii="Calibri" w:eastAsia="Calibri" w:hAnsi="Calibri" w:cs="Calibri"/>
      <w:b/>
      <w:bCs/>
      <w:sz w:val="20"/>
      <w:szCs w:val="20"/>
      <w:lang w:eastAsia="en-GB"/>
    </w:rPr>
  </w:style>
  <w:style w:type="paragraph" w:styleId="BalloonText">
    <w:name w:val="Balloon Text"/>
    <w:basedOn w:val="Normal"/>
    <w:link w:val="BalloonTextChar"/>
    <w:uiPriority w:val="99"/>
    <w:semiHidden/>
    <w:unhideWhenUsed/>
    <w:rsid w:val="000C1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15C"/>
    <w:rPr>
      <w:rFonts w:ascii="Tahoma" w:eastAsia="Calibri" w:hAnsi="Tahoma" w:cs="Tahoma"/>
      <w:sz w:val="16"/>
      <w:szCs w:val="16"/>
      <w:lang w:eastAsia="en-GB"/>
    </w:rPr>
  </w:style>
  <w:style w:type="table" w:styleId="TableGrid">
    <w:name w:val="Table Grid"/>
    <w:basedOn w:val="TableNormal"/>
    <w:uiPriority w:val="59"/>
    <w:rsid w:val="000C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3"/>
    <w:basedOn w:val="Normal"/>
    <w:qFormat/>
    <w:rsid w:val="000C115C"/>
    <w:pPr>
      <w:spacing w:before="240" w:after="120" w:line="276" w:lineRule="auto"/>
    </w:pPr>
    <w:rPr>
      <w:rFonts w:ascii="Times New Roman" w:hAnsi="Times New Roman" w:cs="Times New Roman"/>
      <w:sz w:val="24"/>
      <w:lang w:eastAsia="en-US"/>
    </w:rPr>
  </w:style>
  <w:style w:type="paragraph" w:customStyle="1" w:styleId="para">
    <w:name w:val="para"/>
    <w:basedOn w:val="Normal"/>
    <w:link w:val="paraChar"/>
    <w:qFormat/>
    <w:rsid w:val="000C115C"/>
    <w:pPr>
      <w:spacing w:after="200" w:line="240" w:lineRule="auto"/>
      <w:ind w:firstLine="288"/>
      <w:jc w:val="both"/>
    </w:pPr>
    <w:rPr>
      <w:rFonts w:ascii="Times New Roman" w:hAnsi="Times New Roman" w:cs="Times New Roman"/>
      <w:sz w:val="24"/>
      <w:lang w:eastAsia="en-US"/>
    </w:rPr>
  </w:style>
  <w:style w:type="character" w:customStyle="1" w:styleId="paraChar">
    <w:name w:val="para Char"/>
    <w:basedOn w:val="DefaultParagraphFont"/>
    <w:link w:val="para"/>
    <w:rsid w:val="000C115C"/>
    <w:rPr>
      <w:rFonts w:ascii="Times New Roman" w:eastAsia="Calibri" w:hAnsi="Times New Roman" w:cs="Times New Roman"/>
      <w:sz w:val="24"/>
      <w:lang w:val="en-US"/>
    </w:rPr>
  </w:style>
  <w:style w:type="paragraph" w:customStyle="1" w:styleId="para1">
    <w:name w:val="para1"/>
    <w:basedOn w:val="Normal"/>
    <w:qFormat/>
    <w:rsid w:val="000C115C"/>
    <w:pPr>
      <w:spacing w:after="0" w:line="240" w:lineRule="auto"/>
      <w:ind w:firstLine="288"/>
      <w:jc w:val="both"/>
    </w:pPr>
    <w:rPr>
      <w:rFonts w:ascii="Times New Roman" w:hAnsi="Times New Roman" w:cs="Times New Roman"/>
      <w:sz w:val="24"/>
      <w:lang w:eastAsia="en-US"/>
    </w:rPr>
  </w:style>
  <w:style w:type="paragraph" w:styleId="NormalWeb">
    <w:name w:val="Normal (Web)"/>
    <w:basedOn w:val="Normal"/>
    <w:uiPriority w:val="99"/>
    <w:unhideWhenUsed/>
    <w:rsid w:val="000C11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0C115C"/>
  </w:style>
  <w:style w:type="character" w:customStyle="1" w:styleId="apple-tab-span">
    <w:name w:val="apple-tab-span"/>
    <w:basedOn w:val="DefaultParagraphFont"/>
    <w:rsid w:val="000C115C"/>
  </w:style>
  <w:style w:type="paragraph" w:customStyle="1" w:styleId="EndNoteBibliography">
    <w:name w:val="EndNote Bibliography"/>
    <w:basedOn w:val="Normal"/>
    <w:link w:val="EndNoteBibliographyChar"/>
    <w:rsid w:val="000C115C"/>
    <w:pPr>
      <w:spacing w:after="0" w:line="240" w:lineRule="auto"/>
    </w:pPr>
    <w:rPr>
      <w:rFonts w:eastAsia="Times New Roman" w:cs="Times New Roman"/>
      <w:noProof/>
      <w:szCs w:val="24"/>
      <w:lang w:eastAsia="en-US"/>
    </w:rPr>
  </w:style>
  <w:style w:type="character" w:customStyle="1" w:styleId="EndNoteBibliographyChar">
    <w:name w:val="EndNote Bibliography Char"/>
    <w:basedOn w:val="DefaultParagraphFont"/>
    <w:link w:val="EndNoteBibliography"/>
    <w:rsid w:val="000C115C"/>
    <w:rPr>
      <w:rFonts w:ascii="Calibri" w:eastAsia="Times New Roman" w:hAnsi="Calibri" w:cs="Times New Roman"/>
      <w:noProof/>
      <w:szCs w:val="24"/>
      <w:lang w:val="en-US"/>
    </w:rPr>
  </w:style>
  <w:style w:type="character" w:styleId="Hyperlink">
    <w:name w:val="Hyperlink"/>
    <w:basedOn w:val="DefaultParagraphFont"/>
    <w:uiPriority w:val="99"/>
    <w:rsid w:val="000C115C"/>
    <w:rPr>
      <w:color w:val="0563C1" w:themeColor="hyperlink"/>
      <w:u w:val="single"/>
    </w:rPr>
  </w:style>
  <w:style w:type="paragraph" w:styleId="NoSpacing">
    <w:name w:val="No Spacing"/>
    <w:uiPriority w:val="1"/>
    <w:qFormat/>
    <w:rsid w:val="000C115C"/>
    <w:pPr>
      <w:spacing w:after="0" w:line="240" w:lineRule="auto"/>
      <w:jc w:val="both"/>
    </w:pPr>
    <w:rPr>
      <w:rFonts w:ascii="Arial" w:eastAsia="Times New Roman" w:hAnsi="Arial" w:cs="Arial"/>
      <w:lang w:eastAsia="nl-NL"/>
    </w:rPr>
  </w:style>
  <w:style w:type="character" w:customStyle="1" w:styleId="apple-converted-space">
    <w:name w:val="apple-converted-space"/>
    <w:basedOn w:val="DefaultParagraphFont"/>
    <w:rsid w:val="000C115C"/>
  </w:style>
  <w:style w:type="paragraph" w:styleId="BodyText2">
    <w:name w:val="Body Text 2"/>
    <w:basedOn w:val="Normal"/>
    <w:link w:val="BodyText2Char"/>
    <w:rsid w:val="000C115C"/>
    <w:pPr>
      <w:spacing w:after="0" w:line="240" w:lineRule="auto"/>
    </w:pPr>
    <w:rPr>
      <w:rFonts w:ascii="Garamond" w:eastAsia="Times New Roman" w:hAnsi="Garamond" w:cs="Times New Roman"/>
      <w:b/>
      <w:bCs/>
      <w:sz w:val="24"/>
      <w:szCs w:val="24"/>
      <w:lang w:eastAsia="sv-SE"/>
    </w:rPr>
  </w:style>
  <w:style w:type="character" w:customStyle="1" w:styleId="BodyText2Char">
    <w:name w:val="Body Text 2 Char"/>
    <w:basedOn w:val="DefaultParagraphFont"/>
    <w:link w:val="BodyText2"/>
    <w:rsid w:val="000C115C"/>
    <w:rPr>
      <w:rFonts w:ascii="Garamond" w:eastAsia="Times New Roman" w:hAnsi="Garamond" w:cs="Times New Roman"/>
      <w:b/>
      <w:bCs/>
      <w:sz w:val="24"/>
      <w:szCs w:val="24"/>
      <w:lang w:eastAsia="sv-SE"/>
    </w:rPr>
  </w:style>
  <w:style w:type="paragraph" w:customStyle="1" w:styleId="desc">
    <w:name w:val="desc"/>
    <w:basedOn w:val="Normal"/>
    <w:rsid w:val="000C115C"/>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Revision">
    <w:name w:val="Revision"/>
    <w:hidden/>
    <w:uiPriority w:val="99"/>
    <w:semiHidden/>
    <w:rsid w:val="000C115C"/>
    <w:pPr>
      <w:spacing w:after="0" w:line="240" w:lineRule="auto"/>
    </w:pPr>
  </w:style>
  <w:style w:type="character" w:styleId="Strong">
    <w:name w:val="Strong"/>
    <w:basedOn w:val="DefaultParagraphFont"/>
    <w:uiPriority w:val="22"/>
    <w:qFormat/>
    <w:rsid w:val="000C115C"/>
    <w:rPr>
      <w:b/>
      <w:bCs/>
    </w:rPr>
  </w:style>
  <w:style w:type="paragraph" w:styleId="Bibliography">
    <w:name w:val="Bibliography"/>
    <w:basedOn w:val="Normal"/>
    <w:next w:val="Normal"/>
    <w:uiPriority w:val="37"/>
    <w:unhideWhenUsed/>
    <w:rsid w:val="000C115C"/>
  </w:style>
  <w:style w:type="character" w:customStyle="1" w:styleId="fulltext-it">
    <w:name w:val="fulltext-it"/>
    <w:basedOn w:val="DefaultParagraphFont"/>
    <w:rsid w:val="000C115C"/>
  </w:style>
  <w:style w:type="paragraph" w:customStyle="1" w:styleId="EndNoteBibliographyTitle">
    <w:name w:val="EndNote Bibliography Title"/>
    <w:basedOn w:val="Normal"/>
    <w:link w:val="EndNoteBibliographyTitleChar"/>
    <w:rsid w:val="00DC3BED"/>
    <w:pPr>
      <w:spacing w:after="0"/>
      <w:jc w:val="center"/>
    </w:pPr>
    <w:rPr>
      <w:noProof/>
    </w:rPr>
  </w:style>
  <w:style w:type="character" w:customStyle="1" w:styleId="EndNoteBibliographyTitleChar">
    <w:name w:val="EndNote Bibliography Title Char"/>
    <w:basedOn w:val="DefaultParagraphFont"/>
    <w:link w:val="EndNoteBibliographyTitle"/>
    <w:rsid w:val="00DC3BED"/>
    <w:rPr>
      <w:rFonts w:ascii="Calibri" w:eastAsia="Calibri" w:hAnsi="Calibri" w:cs="Calibri"/>
      <w:noProof/>
      <w:lang w:eastAsia="en-GB"/>
    </w:rPr>
  </w:style>
  <w:style w:type="character" w:styleId="FollowedHyperlink">
    <w:name w:val="FollowedHyperlink"/>
    <w:basedOn w:val="DefaultParagraphFont"/>
    <w:uiPriority w:val="99"/>
    <w:semiHidden/>
    <w:unhideWhenUsed/>
    <w:rsid w:val="00E90382"/>
    <w:rPr>
      <w:color w:val="954F72" w:themeColor="followedHyperlink"/>
      <w:u w:val="single"/>
    </w:rPr>
  </w:style>
  <w:style w:type="character" w:styleId="LineNumber">
    <w:name w:val="line number"/>
    <w:basedOn w:val="DefaultParagraphFont"/>
    <w:uiPriority w:val="99"/>
    <w:semiHidden/>
    <w:unhideWhenUsed/>
    <w:rsid w:val="00AB5393"/>
  </w:style>
  <w:style w:type="paragraph" w:customStyle="1" w:styleId="msonormal0">
    <w:name w:val="msonormal"/>
    <w:basedOn w:val="Normal"/>
    <w:rsid w:val="00477E69"/>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icanet.org.uk/Audit/Annual-Reporting/PICANet_2017_Annual_Report_Tables_and_Figures_FINAL_v2.0.pdf" TargetMode="External"/><Relationship Id="rId4" Type="http://schemas.openxmlformats.org/officeDocument/2006/relationships/webSettings" Target="webSettings.xml"/><Relationship Id="rId9" Type="http://schemas.openxmlformats.org/officeDocument/2006/relationships/hyperlink" Target="http://www.picanet.org.uk/Audit/Annual-Reporting/PICANet_2017_Annual_Report_Tables_and_Figures_FINAL_v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3e7XUAh0girdzpyeQNja5u9aFg==">AMUW2mWm+nGiKtgQXKxCpwETG7WauzqyKV0YHMC+wuDLELtNpt2yknWpFwcA1N7C4cs0v6SQW8czmOoTuyuFaUr0ChB+Am2OI7WPXanZvirX+kYhm/mqRJ/cDaPJYv2Ygpy3iCMLDIik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14012</Words>
  <Characters>79874</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Lyvonne Tume</dc:creator>
  <cp:lastModifiedBy>Tume Lyvonne</cp:lastModifiedBy>
  <cp:revision>2</cp:revision>
  <dcterms:created xsi:type="dcterms:W3CDTF">2019-11-14T15:37:00Z</dcterms:created>
  <dcterms:modified xsi:type="dcterms:W3CDTF">2019-11-14T15:37:00Z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