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3C17B" w14:textId="687D9F81" w:rsidR="00886986" w:rsidRPr="0033751D" w:rsidRDefault="00122D8A">
      <w:pPr>
        <w:rPr>
          <w:rFonts w:ascii="Arial" w:hAnsi="Arial" w:cs="Arial"/>
          <w:sz w:val="22"/>
          <w:szCs w:val="22"/>
        </w:rPr>
      </w:pPr>
      <w:r w:rsidRPr="0033751D">
        <w:rPr>
          <w:rFonts w:ascii="Arial" w:hAnsi="Arial" w:cs="Arial"/>
          <w:sz w:val="22"/>
          <w:szCs w:val="22"/>
        </w:rPr>
        <w:t>BOX 1: Interpretation of GRADE Recommendations</w:t>
      </w:r>
    </w:p>
    <w:p w14:paraId="416B858E" w14:textId="54EF762C" w:rsidR="00122D8A" w:rsidRPr="0033751D" w:rsidRDefault="00122D8A">
      <w:pPr>
        <w:rPr>
          <w:rFonts w:ascii="Arial" w:hAnsi="Arial" w:cs="Arial"/>
          <w:sz w:val="22"/>
          <w:szCs w:val="22"/>
        </w:rPr>
      </w:pPr>
    </w:p>
    <w:tbl>
      <w:tblPr>
        <w:tblW w:w="9456" w:type="dxa"/>
        <w:tblCellMar>
          <w:left w:w="0" w:type="dxa"/>
          <w:right w:w="0" w:type="dxa"/>
        </w:tblCellMar>
        <w:tblLook w:val="04A0" w:firstRow="1" w:lastRow="0" w:firstColumn="1" w:lastColumn="0" w:noHBand="0" w:noVBand="1"/>
      </w:tblPr>
      <w:tblGrid>
        <w:gridCol w:w="1826"/>
        <w:gridCol w:w="3456"/>
        <w:gridCol w:w="4174"/>
      </w:tblGrid>
      <w:tr w:rsidR="00122D8A" w:rsidRPr="00122D8A" w14:paraId="2DB42930" w14:textId="77777777" w:rsidTr="00122D8A">
        <w:trPr>
          <w:trHeight w:val="227"/>
        </w:trPr>
        <w:tc>
          <w:tcPr>
            <w:tcW w:w="18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52037F" w14:textId="77777777" w:rsidR="00122D8A" w:rsidRPr="00122D8A" w:rsidRDefault="00122D8A" w:rsidP="00122D8A">
            <w:pPr>
              <w:rPr>
                <w:rFonts w:ascii="Arial" w:eastAsia="Times New Roman" w:hAnsi="Arial" w:cs="Arial"/>
                <w:sz w:val="22"/>
                <w:szCs w:val="22"/>
              </w:rPr>
            </w:pPr>
          </w:p>
        </w:tc>
        <w:tc>
          <w:tcPr>
            <w:tcW w:w="34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5CE724"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b/>
                <w:bCs/>
                <w:color w:val="000000"/>
                <w:sz w:val="22"/>
                <w:szCs w:val="22"/>
              </w:rPr>
              <w:t>Strong recommendation </w:t>
            </w:r>
          </w:p>
        </w:tc>
        <w:tc>
          <w:tcPr>
            <w:tcW w:w="41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1C3F46"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b/>
                <w:bCs/>
                <w:color w:val="000000"/>
                <w:sz w:val="22"/>
                <w:szCs w:val="22"/>
              </w:rPr>
              <w:t>Weak recommendation</w:t>
            </w:r>
          </w:p>
        </w:tc>
      </w:tr>
      <w:tr w:rsidR="00122D8A" w:rsidRPr="00122D8A" w14:paraId="6FCCB3C4" w14:textId="77777777" w:rsidTr="00122D8A">
        <w:trPr>
          <w:trHeight w:val="712"/>
        </w:trPr>
        <w:tc>
          <w:tcPr>
            <w:tcW w:w="18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9CD839"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b/>
                <w:bCs/>
                <w:color w:val="000000"/>
                <w:sz w:val="22"/>
                <w:szCs w:val="22"/>
              </w:rPr>
              <w:t>For patients</w:t>
            </w:r>
          </w:p>
        </w:tc>
        <w:tc>
          <w:tcPr>
            <w:tcW w:w="34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1FEEFA"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color w:val="000000"/>
                <w:sz w:val="22"/>
                <w:szCs w:val="22"/>
              </w:rPr>
              <w:t>Most individuals in this situation would want the recommended course of action and only a small proportion would not.</w:t>
            </w:r>
          </w:p>
        </w:tc>
        <w:tc>
          <w:tcPr>
            <w:tcW w:w="41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FD8CA"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color w:val="000000"/>
                <w:sz w:val="22"/>
                <w:szCs w:val="22"/>
              </w:rPr>
              <w:t>The majority of individuals in this situation would want the suggested course of action, but many would not.</w:t>
            </w:r>
          </w:p>
        </w:tc>
      </w:tr>
      <w:tr w:rsidR="00122D8A" w:rsidRPr="00122D8A" w14:paraId="5E7AA4B6" w14:textId="77777777" w:rsidTr="00122D8A">
        <w:trPr>
          <w:trHeight w:val="1985"/>
        </w:trPr>
        <w:tc>
          <w:tcPr>
            <w:tcW w:w="18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9661C"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b/>
                <w:bCs/>
                <w:color w:val="000000"/>
                <w:sz w:val="22"/>
                <w:szCs w:val="22"/>
              </w:rPr>
              <w:t>For clinicians</w:t>
            </w:r>
          </w:p>
        </w:tc>
        <w:tc>
          <w:tcPr>
            <w:tcW w:w="34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6EF60C"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color w:val="000000"/>
                <w:sz w:val="22"/>
                <w:szCs w:val="22"/>
              </w:rPr>
              <w:t>Most individuals should receive the recommended course of action. Adherence to this recommendation according to the guideline could be used as a quality criterion or performance indicator. Formal decision aids are not likely to be needed to help individuals make decisions consistent with their values and preferences.</w:t>
            </w:r>
          </w:p>
        </w:tc>
        <w:tc>
          <w:tcPr>
            <w:tcW w:w="41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E1F4D7"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color w:val="000000"/>
                <w:sz w:val="22"/>
                <w:szCs w:val="22"/>
              </w:rPr>
              <w:t>Different choices are likely to be appropriate for different patients and therapy should be tailored to the individual patient’s circumstances. Those circumstances may include the patient or family’s values and preferences.</w:t>
            </w:r>
          </w:p>
        </w:tc>
      </w:tr>
      <w:tr w:rsidR="00122D8A" w:rsidRPr="00122D8A" w14:paraId="1475B868" w14:textId="77777777" w:rsidTr="00122D8A">
        <w:trPr>
          <w:trHeight w:val="1273"/>
        </w:trPr>
        <w:tc>
          <w:tcPr>
            <w:tcW w:w="18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0DB455" w14:textId="11E5362E"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b/>
                <w:bCs/>
                <w:color w:val="000000"/>
                <w:sz w:val="22"/>
                <w:szCs w:val="22"/>
              </w:rPr>
              <w:t>For</w:t>
            </w:r>
            <w:r w:rsidR="00BB02C5" w:rsidRPr="0033751D">
              <w:rPr>
                <w:rFonts w:ascii="Arial" w:eastAsia="Times New Roman" w:hAnsi="Arial" w:cs="Arial"/>
                <w:b/>
                <w:bCs/>
                <w:color w:val="000000"/>
                <w:sz w:val="22"/>
                <w:szCs w:val="22"/>
              </w:rPr>
              <w:t xml:space="preserve"> </w:t>
            </w:r>
            <w:r w:rsidRPr="00122D8A">
              <w:rPr>
                <w:rFonts w:ascii="Arial" w:eastAsia="Times New Roman" w:hAnsi="Arial" w:cs="Arial"/>
                <w:b/>
                <w:bCs/>
                <w:color w:val="000000"/>
                <w:sz w:val="22"/>
                <w:szCs w:val="22"/>
              </w:rPr>
              <w:t>policy-makers</w:t>
            </w:r>
          </w:p>
        </w:tc>
        <w:tc>
          <w:tcPr>
            <w:tcW w:w="34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CBEF08"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color w:val="000000"/>
                <w:sz w:val="22"/>
                <w:szCs w:val="22"/>
              </w:rPr>
              <w:t>The recommendation can be adapted as policy in most situations including for the use as performance indicators.</w:t>
            </w:r>
          </w:p>
        </w:tc>
        <w:tc>
          <w:tcPr>
            <w:tcW w:w="41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9DCAB0" w14:textId="77777777" w:rsidR="00122D8A" w:rsidRPr="00122D8A" w:rsidRDefault="00122D8A" w:rsidP="00122D8A">
            <w:pPr>
              <w:jc w:val="both"/>
              <w:rPr>
                <w:rFonts w:ascii="Arial" w:eastAsia="Times New Roman" w:hAnsi="Arial" w:cs="Arial"/>
                <w:color w:val="000000"/>
                <w:sz w:val="22"/>
                <w:szCs w:val="22"/>
              </w:rPr>
            </w:pPr>
            <w:r w:rsidRPr="00122D8A">
              <w:rPr>
                <w:rFonts w:ascii="Arial" w:eastAsia="Times New Roman" w:hAnsi="Arial" w:cs="Arial"/>
                <w:color w:val="000000"/>
                <w:sz w:val="22"/>
                <w:szCs w:val="22"/>
              </w:rPr>
              <w:t>Policy making will require substantial debates and involvement of many stakeholders. Policies are also more likely to vary between regions. Performance indicators would have to focus on the fact that adequate deliberation about the management options has taken place.</w:t>
            </w:r>
          </w:p>
        </w:tc>
      </w:tr>
    </w:tbl>
    <w:p w14:paraId="03301892" w14:textId="77777777" w:rsidR="00122D8A" w:rsidRPr="00122D8A" w:rsidRDefault="00122D8A" w:rsidP="00122D8A">
      <w:pPr>
        <w:ind w:hanging="81"/>
        <w:rPr>
          <w:rFonts w:ascii="Arial" w:eastAsia="Times New Roman" w:hAnsi="Arial" w:cs="Arial"/>
          <w:color w:val="000000"/>
          <w:sz w:val="22"/>
          <w:szCs w:val="22"/>
        </w:rPr>
      </w:pPr>
    </w:p>
    <w:p w14:paraId="50663C65" w14:textId="7A339BDA" w:rsidR="00122D8A" w:rsidRPr="0033751D" w:rsidRDefault="00122D8A" w:rsidP="00122D8A">
      <w:pPr>
        <w:rPr>
          <w:rFonts w:ascii="Arial" w:eastAsia="Times New Roman" w:hAnsi="Arial" w:cs="Arial"/>
          <w:i/>
          <w:iCs/>
          <w:sz w:val="22"/>
          <w:szCs w:val="22"/>
        </w:rPr>
      </w:pPr>
      <w:r w:rsidRPr="00122D8A">
        <w:rPr>
          <w:rFonts w:ascii="Arial" w:eastAsia="Times New Roman" w:hAnsi="Arial" w:cs="Arial"/>
          <w:color w:val="000000"/>
          <w:sz w:val="22"/>
          <w:szCs w:val="22"/>
        </w:rPr>
        <w:t>Reproduced from The GRADE Handbook</w:t>
      </w:r>
      <w:r w:rsidRPr="0033751D">
        <w:rPr>
          <w:rFonts w:ascii="Arial" w:eastAsia="Times New Roman" w:hAnsi="Arial" w:cs="Arial"/>
          <w:color w:val="000000"/>
          <w:sz w:val="22"/>
          <w:szCs w:val="22"/>
        </w:rPr>
        <w:t xml:space="preserve">: </w:t>
      </w:r>
      <w:proofErr w:type="spellStart"/>
      <w:r w:rsidRPr="0033751D">
        <w:rPr>
          <w:rFonts w:ascii="Arial" w:eastAsia="Times New Roman" w:hAnsi="Arial" w:cs="Arial"/>
          <w:i/>
          <w:iCs/>
          <w:color w:val="212529"/>
          <w:sz w:val="22"/>
          <w:szCs w:val="22"/>
          <w:shd w:val="clear" w:color="auto" w:fill="FFFFFF"/>
        </w:rPr>
        <w:t>Schünemann</w:t>
      </w:r>
      <w:proofErr w:type="spellEnd"/>
      <w:r w:rsidRPr="0033751D">
        <w:rPr>
          <w:rFonts w:ascii="Arial" w:eastAsia="Times New Roman" w:hAnsi="Arial" w:cs="Arial"/>
          <w:i/>
          <w:iCs/>
          <w:color w:val="212529"/>
          <w:sz w:val="22"/>
          <w:szCs w:val="22"/>
          <w:shd w:val="clear" w:color="auto" w:fill="FFFFFF"/>
        </w:rPr>
        <w:t xml:space="preserve"> H, </w:t>
      </w:r>
      <w:proofErr w:type="spellStart"/>
      <w:r w:rsidRPr="0033751D">
        <w:rPr>
          <w:rFonts w:ascii="Arial" w:eastAsia="Times New Roman" w:hAnsi="Arial" w:cs="Arial"/>
          <w:i/>
          <w:iCs/>
          <w:color w:val="212529"/>
          <w:sz w:val="22"/>
          <w:szCs w:val="22"/>
          <w:shd w:val="clear" w:color="auto" w:fill="FFFFFF"/>
        </w:rPr>
        <w:t>Brożek</w:t>
      </w:r>
      <w:proofErr w:type="spellEnd"/>
      <w:r w:rsidRPr="0033751D">
        <w:rPr>
          <w:rFonts w:ascii="Arial" w:eastAsia="Times New Roman" w:hAnsi="Arial" w:cs="Arial"/>
          <w:i/>
          <w:iCs/>
          <w:color w:val="212529"/>
          <w:sz w:val="22"/>
          <w:szCs w:val="22"/>
          <w:shd w:val="clear" w:color="auto" w:fill="FFFFFF"/>
        </w:rPr>
        <w:t xml:space="preserve"> J, </w:t>
      </w:r>
      <w:proofErr w:type="spellStart"/>
      <w:r w:rsidRPr="0033751D">
        <w:rPr>
          <w:rFonts w:ascii="Arial" w:eastAsia="Times New Roman" w:hAnsi="Arial" w:cs="Arial"/>
          <w:i/>
          <w:iCs/>
          <w:color w:val="212529"/>
          <w:sz w:val="22"/>
          <w:szCs w:val="22"/>
          <w:shd w:val="clear" w:color="auto" w:fill="FFFFFF"/>
        </w:rPr>
        <w:t>Guyatt</w:t>
      </w:r>
      <w:proofErr w:type="spellEnd"/>
      <w:r w:rsidRPr="0033751D">
        <w:rPr>
          <w:rFonts w:ascii="Arial" w:eastAsia="Times New Roman" w:hAnsi="Arial" w:cs="Arial"/>
          <w:i/>
          <w:iCs/>
          <w:color w:val="212529"/>
          <w:sz w:val="22"/>
          <w:szCs w:val="22"/>
          <w:shd w:val="clear" w:color="auto" w:fill="FFFFFF"/>
        </w:rPr>
        <w:t xml:space="preserve"> G, </w:t>
      </w:r>
      <w:proofErr w:type="spellStart"/>
      <w:r w:rsidRPr="0033751D">
        <w:rPr>
          <w:rFonts w:ascii="Arial" w:eastAsia="Times New Roman" w:hAnsi="Arial" w:cs="Arial"/>
          <w:i/>
          <w:iCs/>
          <w:color w:val="212529"/>
          <w:sz w:val="22"/>
          <w:szCs w:val="22"/>
          <w:shd w:val="clear" w:color="auto" w:fill="FFFFFF"/>
        </w:rPr>
        <w:t>Oxman</w:t>
      </w:r>
      <w:proofErr w:type="spellEnd"/>
      <w:r w:rsidRPr="0033751D">
        <w:rPr>
          <w:rFonts w:ascii="Arial" w:eastAsia="Times New Roman" w:hAnsi="Arial" w:cs="Arial"/>
          <w:i/>
          <w:iCs/>
          <w:color w:val="212529"/>
          <w:sz w:val="22"/>
          <w:szCs w:val="22"/>
          <w:shd w:val="clear" w:color="auto" w:fill="FFFFFF"/>
        </w:rPr>
        <w:t xml:space="preserve"> A, editors. GRADE handbook for grading quality of evidence and strength of recommendations. Updated October 2013. The GRADE Working Group, 2013. Available from </w:t>
      </w:r>
      <w:hyperlink r:id="rId4" w:history="1">
        <w:r w:rsidRPr="0033751D">
          <w:rPr>
            <w:rFonts w:ascii="Arial" w:eastAsia="Times New Roman" w:hAnsi="Arial" w:cs="Arial"/>
            <w:i/>
            <w:iCs/>
            <w:color w:val="007BFF"/>
            <w:sz w:val="22"/>
            <w:szCs w:val="22"/>
            <w:u w:val="single"/>
            <w:shd w:val="clear" w:color="auto" w:fill="FFFFFF"/>
          </w:rPr>
          <w:t>guidelinedevelopment.org/handbook</w:t>
        </w:r>
      </w:hyperlink>
      <w:r w:rsidRPr="0033751D">
        <w:rPr>
          <w:rFonts w:ascii="Arial" w:eastAsia="Times New Roman" w:hAnsi="Arial" w:cs="Arial"/>
          <w:i/>
          <w:iCs/>
          <w:color w:val="212529"/>
          <w:sz w:val="22"/>
          <w:szCs w:val="22"/>
          <w:shd w:val="clear" w:color="auto" w:fill="FFFFFF"/>
        </w:rPr>
        <w:t xml:space="preserve">. </w:t>
      </w:r>
    </w:p>
    <w:p w14:paraId="672B41A6" w14:textId="7D27C814" w:rsidR="00122D8A" w:rsidRPr="00122D8A" w:rsidRDefault="00122D8A" w:rsidP="00122D8A">
      <w:pPr>
        <w:rPr>
          <w:rFonts w:ascii="Arial" w:eastAsia="Times New Roman" w:hAnsi="Arial" w:cs="Arial"/>
          <w:color w:val="000000"/>
          <w:sz w:val="22"/>
          <w:szCs w:val="22"/>
        </w:rPr>
      </w:pPr>
    </w:p>
    <w:p w14:paraId="01954ACF" w14:textId="77777777" w:rsidR="00122D8A" w:rsidRPr="0033751D" w:rsidRDefault="00122D8A">
      <w:pPr>
        <w:rPr>
          <w:rFonts w:ascii="Arial" w:hAnsi="Arial" w:cs="Arial"/>
          <w:sz w:val="22"/>
          <w:szCs w:val="22"/>
        </w:rPr>
      </w:pPr>
    </w:p>
    <w:sectPr w:rsidR="00122D8A" w:rsidRPr="003375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8A"/>
    <w:rsid w:val="00122D8A"/>
    <w:rsid w:val="00256444"/>
    <w:rsid w:val="002F47A7"/>
    <w:rsid w:val="0033751D"/>
    <w:rsid w:val="004808A3"/>
    <w:rsid w:val="007522CA"/>
    <w:rsid w:val="00814E78"/>
    <w:rsid w:val="00886986"/>
    <w:rsid w:val="00887E1A"/>
    <w:rsid w:val="008924E5"/>
    <w:rsid w:val="00913C75"/>
    <w:rsid w:val="00B93C80"/>
    <w:rsid w:val="00BB02C5"/>
    <w:rsid w:val="00BE1484"/>
    <w:rsid w:val="00F133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843B883"/>
  <w15:chartTrackingRefBased/>
  <w15:docId w15:val="{5F85895F-979E-874C-A4F8-E79EB1E2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2D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592301">
      <w:bodyDiv w:val="1"/>
      <w:marLeft w:val="0"/>
      <w:marRight w:val="0"/>
      <w:marTop w:val="0"/>
      <w:marBottom w:val="0"/>
      <w:divBdr>
        <w:top w:val="none" w:sz="0" w:space="0" w:color="auto"/>
        <w:left w:val="none" w:sz="0" w:space="0" w:color="auto"/>
        <w:bottom w:val="none" w:sz="0" w:space="0" w:color="auto"/>
        <w:right w:val="none" w:sz="0" w:space="0" w:color="auto"/>
      </w:divBdr>
      <w:divsChild>
        <w:div w:id="16229527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526378">
              <w:marLeft w:val="0"/>
              <w:marRight w:val="0"/>
              <w:marTop w:val="0"/>
              <w:marBottom w:val="0"/>
              <w:divBdr>
                <w:top w:val="none" w:sz="0" w:space="0" w:color="auto"/>
                <w:left w:val="none" w:sz="0" w:space="0" w:color="auto"/>
                <w:bottom w:val="none" w:sz="0" w:space="0" w:color="auto"/>
                <w:right w:val="none" w:sz="0" w:space="0" w:color="auto"/>
              </w:divBdr>
              <w:divsChild>
                <w:div w:id="37559475">
                  <w:marLeft w:val="0"/>
                  <w:marRight w:val="0"/>
                  <w:marTop w:val="0"/>
                  <w:marBottom w:val="0"/>
                  <w:divBdr>
                    <w:top w:val="none" w:sz="0" w:space="0" w:color="auto"/>
                    <w:left w:val="none" w:sz="0" w:space="0" w:color="auto"/>
                    <w:bottom w:val="none" w:sz="0" w:space="0" w:color="auto"/>
                    <w:right w:val="none" w:sz="0" w:space="0" w:color="auto"/>
                  </w:divBdr>
                  <w:divsChild>
                    <w:div w:id="2135782131">
                      <w:marLeft w:val="0"/>
                      <w:marRight w:val="0"/>
                      <w:marTop w:val="0"/>
                      <w:marBottom w:val="0"/>
                      <w:divBdr>
                        <w:top w:val="none" w:sz="0" w:space="0" w:color="auto"/>
                        <w:left w:val="none" w:sz="0" w:space="0" w:color="auto"/>
                        <w:bottom w:val="none" w:sz="0" w:space="0" w:color="auto"/>
                        <w:right w:val="none" w:sz="0" w:space="0" w:color="auto"/>
                      </w:divBdr>
                      <w:divsChild>
                        <w:div w:id="1449422807">
                          <w:marLeft w:val="0"/>
                          <w:marRight w:val="0"/>
                          <w:marTop w:val="0"/>
                          <w:marBottom w:val="0"/>
                          <w:divBdr>
                            <w:top w:val="none" w:sz="0" w:space="0" w:color="auto"/>
                            <w:left w:val="none" w:sz="0" w:space="0" w:color="auto"/>
                            <w:bottom w:val="none" w:sz="0" w:space="0" w:color="auto"/>
                            <w:right w:val="none" w:sz="0" w:space="0" w:color="auto"/>
                          </w:divBdr>
                        </w:div>
                        <w:div w:id="261887311">
                          <w:marLeft w:val="81"/>
                          <w:marRight w:val="0"/>
                          <w:marTop w:val="0"/>
                          <w:marBottom w:val="0"/>
                          <w:divBdr>
                            <w:top w:val="none" w:sz="0" w:space="0" w:color="auto"/>
                            <w:left w:val="none" w:sz="0" w:space="0" w:color="auto"/>
                            <w:bottom w:val="none" w:sz="0" w:space="0" w:color="auto"/>
                            <w:right w:val="none" w:sz="0" w:space="0" w:color="auto"/>
                          </w:divBdr>
                        </w:div>
                        <w:div w:id="2127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66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radepro.org/cite/guidelinedevelopment.org/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Dionne</dc:creator>
  <cp:keywords/>
  <dc:description/>
  <cp:lastModifiedBy>Joanna Dionne</cp:lastModifiedBy>
  <cp:revision>3</cp:revision>
  <dcterms:created xsi:type="dcterms:W3CDTF">2021-08-26T19:11:00Z</dcterms:created>
  <dcterms:modified xsi:type="dcterms:W3CDTF">2021-08-26T20:05:00Z</dcterms:modified>
</cp:coreProperties>
</file>