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C7CF9" w14:textId="5760EA5C" w:rsidR="00AF4BA8" w:rsidRPr="00BB39A9" w:rsidRDefault="00C34614" w:rsidP="00BB39A9">
      <w:pPr>
        <w:pStyle w:val="Titolo1"/>
        <w:spacing w:before="0"/>
        <w:rPr>
          <w:b w:val="0"/>
          <w:bCs w:val="0"/>
          <w:sz w:val="32"/>
          <w:szCs w:val="32"/>
          <w:lang w:val="en-US"/>
        </w:rPr>
      </w:pPr>
      <w:r w:rsidRPr="00BB39A9">
        <w:rPr>
          <w:b w:val="0"/>
          <w:bCs w:val="0"/>
          <w:sz w:val="32"/>
          <w:szCs w:val="32"/>
          <w:lang w:val="en-US"/>
        </w:rPr>
        <w:t xml:space="preserve">ESM Appendix </w:t>
      </w:r>
      <w:r w:rsidR="005E6B8B" w:rsidRPr="00BB39A9">
        <w:rPr>
          <w:b w:val="0"/>
          <w:bCs w:val="0"/>
          <w:sz w:val="32"/>
          <w:szCs w:val="32"/>
          <w:lang w:val="en-US"/>
        </w:rPr>
        <w:t>1</w:t>
      </w:r>
      <w:r w:rsidR="00AF4BA8" w:rsidRPr="00BB39A9">
        <w:rPr>
          <w:b w:val="0"/>
          <w:bCs w:val="0"/>
          <w:sz w:val="32"/>
          <w:szCs w:val="32"/>
          <w:lang w:val="en-US"/>
        </w:rPr>
        <w:t xml:space="preserve"> – Supplementary Methods</w:t>
      </w:r>
    </w:p>
    <w:p w14:paraId="451CAAEE" w14:textId="77777777" w:rsidR="00AF4BA8" w:rsidRDefault="00AF4BA8" w:rsidP="00AF4BA8">
      <w:pPr>
        <w:pStyle w:val="Titolo2"/>
        <w:spacing w:line="360" w:lineRule="auto"/>
      </w:pPr>
      <w:r>
        <w:t>Categories of index tests</w:t>
      </w:r>
    </w:p>
    <w:p w14:paraId="77D64DA4" w14:textId="3C3AC949" w:rsidR="00AF4BA8" w:rsidRDefault="00AF4BA8" w:rsidP="00AF4BA8">
      <w:pPr>
        <w:spacing w:line="360" w:lineRule="auto"/>
      </w:pPr>
      <w:r>
        <w:t>Four types of index tests were assessed: clinical examination, biomarkers, electrophysiology, and neuroimaging. Clinical examination included every clinical sign that can be collected during a bedside neurological examination, e.g., brainstem reflexes, even if measured using instrumental recording (e.g., automated pupillometry). Biomarkers included chemical markers of brain injury that are measured in the blood, such as neuron specific enolase (NSE). Index tests based on electrophysiology were those which require the recording of a bioelectrical signal from the central nervous system. They included electroencephalogram (EEG) and evoked potentials (EPs).  We also considered for inclusion studies in which the EEG signal was analysed to produce a quantitative variable, such as bispectral index (BIS).  Brain imaging techniques included computed tomography (CT), magnetic resonance imaging (MRI), and ultrasound, the latter limited to optic nerve sheath diameter measurement</w:t>
      </w:r>
      <w:r w:rsidR="0075423F">
        <w:t>.</w:t>
      </w:r>
    </w:p>
    <w:p w14:paraId="736D7CF8" w14:textId="77777777" w:rsidR="00AF4BA8" w:rsidRDefault="00AF4BA8" w:rsidP="00AF4BA8">
      <w:pPr>
        <w:pStyle w:val="Titolo2"/>
        <w:spacing w:line="360" w:lineRule="auto"/>
      </w:pPr>
      <w:r>
        <w:t>Data extraction</w:t>
      </w:r>
    </w:p>
    <w:p w14:paraId="4A60219E" w14:textId="056D6027" w:rsidR="00AF4BA8" w:rsidRDefault="00AF4BA8" w:rsidP="00AF4BA8">
      <w:pPr>
        <w:spacing w:line="360" w:lineRule="auto"/>
      </w:pPr>
      <w:r w:rsidRPr="006373DA">
        <w:t xml:space="preserve">For each study included in the final analysis, the following data were extracted: study design; enrolment period; number of patients; patients’ age and presenting cardiac arrest rhythm; percentage of patients undergoing targeted temperature management (TTM), target temperature, duration, and cooling method; description of index test and the criteria for a positive test, including a threshold where applicable; timing of the index test recording; blinding of the index test and outcome assessors; criteria for WLST; neurological outcome measure and timing of its assessment; number of patients with poor neurological outcome; number of patients with true/false positive and true/false negative test result; major </w:t>
      </w:r>
      <w:r w:rsidR="0075423F">
        <w:t>sources of bias</w:t>
      </w:r>
      <w:r w:rsidRPr="006373DA">
        <w:t xml:space="preserve">, as defined </w:t>
      </w:r>
      <w:r w:rsidR="0075423F">
        <w:t xml:space="preserve"> below</w:t>
      </w:r>
      <w:r w:rsidRPr="006373DA">
        <w:t>. For continuous variables, the thresholds used to calculate test performance were recorded.</w:t>
      </w:r>
    </w:p>
    <w:p w14:paraId="2CC4C645" w14:textId="03B622ED" w:rsidR="00C34614" w:rsidRPr="00AF4BA8" w:rsidRDefault="00C34614" w:rsidP="00AF4BA8">
      <w:pPr>
        <w:pStyle w:val="Titolo2"/>
        <w:spacing w:line="360" w:lineRule="auto"/>
        <w:rPr>
          <w:b w:val="0"/>
          <w:sz w:val="28"/>
          <w:szCs w:val="28"/>
          <w:lang w:val="en-US"/>
        </w:rPr>
      </w:pPr>
      <w:r w:rsidRPr="00AF4BA8">
        <w:rPr>
          <w:b w:val="0"/>
          <w:sz w:val="28"/>
          <w:szCs w:val="28"/>
          <w:lang w:val="en-US"/>
        </w:rPr>
        <w:t>Methods for bias assessment</w:t>
      </w:r>
    </w:p>
    <w:p w14:paraId="06CEC578" w14:textId="5DC683B1" w:rsidR="00C34614" w:rsidRDefault="00C34614" w:rsidP="00AF4BA8">
      <w:pPr>
        <w:spacing w:line="360" w:lineRule="auto"/>
        <w:rPr>
          <w:lang w:val="en-US"/>
        </w:rPr>
      </w:pPr>
      <w:r>
        <w:rPr>
          <w:lang w:val="en-US"/>
        </w:rPr>
        <w:t>The Quality in Prognosis Studies (QUIPS) tool</w:t>
      </w:r>
      <w:r w:rsidR="00D60E9A">
        <w:rPr>
          <w:lang w:val="en-US"/>
        </w:rPr>
        <w:t xml:space="preserve"> </w:t>
      </w:r>
      <w:r>
        <w:rPr>
          <w:lang w:val="en-US"/>
        </w:rPr>
        <w:fldChar w:fldCharType="begin"/>
      </w:r>
      <w:r>
        <w:rPr>
          <w:lang w:val="en-US"/>
        </w:rPr>
        <w:instrText xml:space="preserve"> ADDIN EN.CITE &lt;EndNote&gt;&lt;Cite&gt;&lt;Author&gt;Hayden&lt;/Author&gt;&lt;Year&gt;2013&lt;/Year&gt;&lt;RecNum&gt;8512&lt;/RecNum&gt;&lt;DisplayText&gt;[1]&lt;/DisplayText&gt;&lt;record&gt;&lt;rec-number&gt;8512&lt;/rec-number&gt;&lt;foreign-keys&gt;&lt;key app="EN" db-id="s0w5925pz0f2pqe0e2pp2deb2za2fa00rfdz"&gt;8512&lt;/key&gt;&lt;/foreign-keys&gt;&lt;ref-type name="Journal Article"&gt;17&lt;/ref-type&gt;&lt;contributors&gt;&lt;authors&gt;&lt;author&gt;Hayden, J. A.&lt;/author&gt;&lt;author&gt;van der Windt, D. A.&lt;/author&gt;&lt;author&gt;Cartwright, J. L.&lt;/author&gt;&lt;author&gt;Cote, P.&lt;/author&gt;&lt;author&gt;Bombardier, C.&lt;/author&gt;&lt;/authors&gt;&lt;/contributors&gt;&lt;auth-address&gt;Department of Community Health &amp;amp; Epidemiology, Dalhousie University, 5790 University Avenue, Room 222, Halifax, Nova Scotia B3H 1V7, Canada. jhayden@dal.ca&lt;/auth-address&gt;&lt;titles&gt;&lt;title&gt;Assessing bias in studies of prognostic factors&lt;/title&gt;&lt;secondary-title&gt;Ann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medicine&lt;/abbr-1&gt;&lt;/alt-periodical&gt;&lt;pages&gt;280-6&lt;/pages&gt;&lt;volume&gt;158&lt;/volume&gt;&lt;number&gt;4&lt;/number&gt;&lt;keywords&gt;&lt;keyword&gt;*Bias&lt;/keyword&gt;&lt;keyword&gt;Humans&lt;/keyword&gt;&lt;keyword&gt;Low Back Pain/therapy&lt;/keyword&gt;&lt;keyword&gt;*Prognosis&lt;/keyword&gt;&lt;keyword&gt;*Research Design&lt;/keyword&gt;&lt;keyword&gt;*Review Literature as Topic&lt;/keyword&gt;&lt;/keywords&gt;&lt;dates&gt;&lt;year&gt;2013&lt;/year&gt;&lt;pub-dates&gt;&lt;date&gt;Feb 19&lt;/date&gt;&lt;/pub-dates&gt;&lt;/dates&gt;&lt;isbn&gt;1539-3704 (Electronic)&amp;#xD;0003-4819 (Linking)&lt;/isbn&gt;&lt;accession-num&gt;23420236&lt;/accession-num&gt;&lt;label&gt;U&lt;/label&gt;&lt;urls&gt;&lt;related-urls&gt;&lt;url&gt;http://www.ncbi.nlm.nih.gov/pubmed/23420236&lt;/url&gt;&lt;/related-urls&gt;&lt;/urls&gt;&lt;electronic-resource-num&gt;10.7326/0003-4819-158-4-201302190-00009&lt;/electronic-resource-num&gt;&lt;/record&gt;&lt;/Cite&gt;&lt;/EndNote&gt;</w:instrText>
      </w:r>
      <w:r>
        <w:rPr>
          <w:lang w:val="en-US"/>
        </w:rPr>
        <w:fldChar w:fldCharType="separate"/>
      </w:r>
      <w:r>
        <w:rPr>
          <w:noProof/>
          <w:lang w:val="en-US"/>
        </w:rPr>
        <w:t>[</w:t>
      </w:r>
      <w:hyperlink w:anchor="_ENREF_1" w:tooltip="Hayden, 2013 #8512" w:history="1">
        <w:r>
          <w:rPr>
            <w:noProof/>
            <w:lang w:val="en-US"/>
          </w:rPr>
          <w:t>1</w:t>
        </w:r>
      </w:hyperlink>
      <w:r>
        <w:rPr>
          <w:noProof/>
          <w:lang w:val="en-US"/>
        </w:rPr>
        <w:t>]</w:t>
      </w:r>
      <w:r>
        <w:rPr>
          <w:lang w:val="en-US"/>
        </w:rPr>
        <w:fldChar w:fldCharType="end"/>
      </w:r>
      <w:r>
        <w:rPr>
          <w:lang w:val="en-US"/>
        </w:rPr>
        <w:t xml:space="preserve"> was used for the assessment of the methodological quality. The tool uses 6 domains for the evaluation of the validity and bias in prognostic studies. The 6 domains describe elements of (1) study participation, (2) study attrition, (3) prognostic factor measurement, (4) outcome measurement, (5) study confounding and (6) statistical analysis and reporting. Items for each domain were rated as described in the original publication. </w:t>
      </w:r>
    </w:p>
    <w:p w14:paraId="457A5221" w14:textId="284108DE" w:rsidR="00C34614" w:rsidRDefault="00C34614" w:rsidP="00AF4BA8">
      <w:pPr>
        <w:spacing w:line="360" w:lineRule="auto"/>
        <w:rPr>
          <w:lang w:val="en-US"/>
        </w:rPr>
      </w:pPr>
      <w:r>
        <w:rPr>
          <w:lang w:val="en-US"/>
        </w:rPr>
        <w:t xml:space="preserve">The items were summarized within each domain and classified as low, moderate or high risk of bias and illustrated as green, orange or red bars. Bias from these 6 domains was summarized into a final score for each study. The weight of the individual items on the final classification was rated </w:t>
      </w:r>
      <w:r>
        <w:rPr>
          <w:lang w:val="en-US"/>
        </w:rPr>
        <w:lastRenderedPageBreak/>
        <w:t>depending on impact of this item on the risk of bias</w:t>
      </w:r>
      <w:r w:rsidR="002D1782">
        <w:rPr>
          <w:lang w:val="en-US"/>
        </w:rPr>
        <w:t>.</w:t>
      </w:r>
      <w:r>
        <w:rPr>
          <w:lang w:val="en-US"/>
        </w:rPr>
        <w:t xml:space="preserve"> Study participation, study attrition, statistical analysis and reporting were given a lower impact, prognostic factor measurement and outcome measurement an intermediate and study confounding the highest impact on the final score. </w:t>
      </w:r>
    </w:p>
    <w:p w14:paraId="00AD850C" w14:textId="0C507A51" w:rsidR="00C34614" w:rsidRDefault="00C34614" w:rsidP="00AF4BA8">
      <w:pPr>
        <w:spacing w:line="360" w:lineRule="auto"/>
        <w:rPr>
          <w:lang w:val="en-US"/>
        </w:rPr>
      </w:pPr>
      <w:r>
        <w:rPr>
          <w:lang w:val="en-US"/>
        </w:rPr>
        <w:t xml:space="preserve">The tool was customized by adding items specific for </w:t>
      </w:r>
      <w:proofErr w:type="spellStart"/>
      <w:r>
        <w:rPr>
          <w:lang w:val="en-US"/>
        </w:rPr>
        <w:t>neuroprognostication</w:t>
      </w:r>
      <w:proofErr w:type="spellEnd"/>
      <w:r>
        <w:rPr>
          <w:lang w:val="en-US"/>
        </w:rPr>
        <w:t xml:space="preserve"> after cardiac arrest and tailored by using different criteria for the specific predictors. Studies were rated independently by two authors (CH, MK). </w:t>
      </w:r>
      <w:r w:rsidRPr="00CD452E">
        <w:rPr>
          <w:lang w:val="en-US"/>
        </w:rPr>
        <w:t xml:space="preserve">Disagreement between quality assessors were resolved </w:t>
      </w:r>
      <w:r>
        <w:rPr>
          <w:lang w:val="en-US"/>
        </w:rPr>
        <w:t>by</w:t>
      </w:r>
      <w:r w:rsidRPr="00CD452E">
        <w:rPr>
          <w:lang w:val="en-US"/>
        </w:rPr>
        <w:t xml:space="preserve"> consensus</w:t>
      </w:r>
      <w:r>
        <w:rPr>
          <w:lang w:val="en-US"/>
        </w:rPr>
        <w:t xml:space="preserve">. </w:t>
      </w:r>
    </w:p>
    <w:p w14:paraId="1BD5D4A9" w14:textId="7B2574C8" w:rsidR="00C34614" w:rsidRDefault="00C34614" w:rsidP="00AF4BA8">
      <w:pPr>
        <w:spacing w:line="360" w:lineRule="auto"/>
        <w:rPr>
          <w:lang w:val="en-US"/>
        </w:rPr>
      </w:pPr>
      <w:r>
        <w:rPr>
          <w:lang w:val="en-US"/>
        </w:rPr>
        <w:t xml:space="preserve">The withdrawal of life support likely influences the outcome of patients and thus the sensitivity and specificity of the index test. The prognostic protocol and criteria for WLST were considered to influence the risk of bias significantly and given more weight in the rating of the risk of bias. In case no protocol was reported, the risk of bias due to confounding was graded as high, regardless of other items within this domain. </w:t>
      </w:r>
      <w:r w:rsidRPr="007C3058">
        <w:rPr>
          <w:lang w:val="en-US"/>
        </w:rPr>
        <w:t xml:space="preserve">In studies on prognostication of poor outcome, self-fulfilling prophecy is a bias that occurs when the treating team is not blinded to the results of the outcome predictor so that decisions on treatment limitations may be influenced or even based on that predictor. </w:t>
      </w:r>
      <w:bookmarkStart w:id="0" w:name="_Hlk86478279"/>
      <w:r w:rsidRPr="007C3058">
        <w:rPr>
          <w:lang w:val="en-US"/>
        </w:rPr>
        <w:t>Given the importance of the risk of self-fulfilling prophecy</w:t>
      </w:r>
      <w:r>
        <w:fldChar w:fldCharType="begin"/>
      </w:r>
      <w:r>
        <w:instrText xml:space="preserve"> ADDIN EN.CITE &lt;EndNote&gt;&lt;Cite&gt;&lt;Author&gt;Geocadin&lt;/Author&gt;&lt;Year&gt;2019&lt;/Year&gt;&lt;RecNum&gt;8520&lt;/RecNum&gt;&lt;DisplayText&gt;[2]&lt;/DisplayText&gt;&lt;record&gt;&lt;rec-number&gt;8520&lt;/rec-number&gt;&lt;foreign-keys&gt;&lt;key app="EN" db-id="s0w5925pz0f2pqe0e2pp2deb2za2fa00rfdz"&gt;8520&lt;/key&gt;&lt;/foreign-keys&gt;&lt;ref-type name="Journal Article"&gt;17&lt;/ref-type&gt;&lt;contributors&gt;&lt;authors&gt;&lt;author&gt;Geocadin, R. G.&lt;/author&gt;&lt;author&gt;Callaway, C. W.&lt;/author&gt;&lt;author&gt;Fink, E. L.&lt;/author&gt;&lt;author&gt;Golan, E.&lt;/author&gt;&lt;author&gt;Greer, D. M.&lt;/author&gt;&lt;author&gt;Ko, N. U.&lt;/author&gt;&lt;author&gt;Lang, E.&lt;/author&gt;&lt;author&gt;Licht, D. J.&lt;/author&gt;&lt;author&gt;Marino, B. S.&lt;/author&gt;&lt;author&gt;McNair, N. D.&lt;/author&gt;&lt;author&gt;Peberdy, M. A.&lt;/author&gt;&lt;author&gt;Perman, S. M.&lt;/author&gt;&lt;author&gt;Sims, D. B.&lt;/author&gt;&lt;author&gt;Soar, J.&lt;/author&gt;&lt;author&gt;Sandroni, C.&lt;/author&gt;&lt;author&gt;American Heart Association Emergency Cardiovascular Care, Committee&lt;/author&gt;&lt;/authors&gt;&lt;/contributors&gt;&lt;titles&gt;&lt;title&gt;Standards for Studies of Neurological Prognostication in Comatose Survivors of Cardiac Arrest: A Scientific Statement From the American Heart Association&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pages&gt;e517-e542&lt;/pages&gt;&lt;volume&gt;140&lt;/volume&gt;&lt;number&gt;9&lt;/number&gt;&lt;dates&gt;&lt;year&gt;2019&lt;/year&gt;&lt;pub-dates&gt;&lt;date&gt;Aug 27&lt;/date&gt;&lt;/pub-dates&gt;&lt;/dates&gt;&lt;isbn&gt;1524-4539 (Electronic)&amp;#xD;0009-7322 (Linking)&lt;/isbn&gt;&lt;accession-num&gt;31291775&lt;/accession-num&gt;&lt;label&gt;U&lt;/label&gt;&lt;urls&gt;&lt;related-urls&gt;&lt;url&gt;http://www.ncbi.nlm.nih.gov/pubmed/31291775&lt;/url&gt;&lt;/related-urls&gt;&lt;/urls&gt;&lt;electronic-resource-num&gt;10.1161/CIR.0000000000000702&lt;/electronic-resource-num&gt;&lt;/record&gt;&lt;/Cite&gt;&lt;/EndNote&gt;</w:instrText>
      </w:r>
      <w:r>
        <w:fldChar w:fldCharType="separate"/>
      </w:r>
      <w:r>
        <w:rPr>
          <w:noProof/>
        </w:rPr>
        <w:t>[</w:t>
      </w:r>
      <w:hyperlink w:anchor="_ENREF_2" w:tooltip="Geocadin, 2019 #8520" w:history="1">
        <w:r>
          <w:rPr>
            <w:noProof/>
          </w:rPr>
          <w:t>2</w:t>
        </w:r>
      </w:hyperlink>
      <w:r>
        <w:rPr>
          <w:noProof/>
        </w:rPr>
        <w:t>]</w:t>
      </w:r>
      <w:r>
        <w:fldChar w:fldCharType="end"/>
      </w:r>
      <w:r w:rsidR="0075423F">
        <w:t>,</w:t>
      </w:r>
      <w:r w:rsidRPr="007C3058">
        <w:rPr>
          <w:lang w:val="en-US"/>
        </w:rPr>
        <w:t xml:space="preserve"> the </w:t>
      </w:r>
      <w:r>
        <w:rPr>
          <w:lang w:val="en-US"/>
        </w:rPr>
        <w:t xml:space="preserve">risk of </w:t>
      </w:r>
      <w:r w:rsidRPr="007C3058">
        <w:rPr>
          <w:lang w:val="en-US"/>
        </w:rPr>
        <w:t xml:space="preserve">bias was graded as </w:t>
      </w:r>
      <w:r>
        <w:rPr>
          <w:lang w:val="en-US"/>
        </w:rPr>
        <w:t>high</w:t>
      </w:r>
      <w:r w:rsidRPr="007C3058">
        <w:rPr>
          <w:lang w:val="en-US"/>
        </w:rPr>
        <w:t xml:space="preserve"> when the index test was not assessed blindly, and very </w:t>
      </w:r>
      <w:r>
        <w:rPr>
          <w:lang w:val="en-US"/>
        </w:rPr>
        <w:t>high</w:t>
      </w:r>
      <w:r w:rsidRPr="007C3058">
        <w:rPr>
          <w:lang w:val="en-US"/>
        </w:rPr>
        <w:t xml:space="preserve"> when the index test was part of the WLST criteria, regardless of the presence of other limitations. </w:t>
      </w:r>
    </w:p>
    <w:bookmarkEnd w:id="0"/>
    <w:p w14:paraId="754C0CD1" w14:textId="77777777" w:rsidR="00C34614" w:rsidRDefault="00C34614" w:rsidP="005A7F83">
      <w:pPr>
        <w:pStyle w:val="Titolo1"/>
        <w:spacing w:line="360" w:lineRule="auto"/>
        <w:rPr>
          <w:lang w:val="en-US"/>
        </w:rPr>
      </w:pPr>
      <w:r>
        <w:rPr>
          <w:lang w:val="en-US"/>
        </w:rPr>
        <w:t>References</w:t>
      </w:r>
    </w:p>
    <w:p w14:paraId="0194A6D4" w14:textId="77777777" w:rsidR="00C34614" w:rsidRPr="00FC7D59" w:rsidRDefault="00C34614" w:rsidP="005A7F83">
      <w:pPr>
        <w:spacing w:line="360" w:lineRule="auto"/>
        <w:ind w:left="720" w:hanging="720"/>
        <w:rPr>
          <w:rFonts w:ascii="Calibri" w:hAnsi="Calibri" w:cs="Calibri"/>
          <w:noProof/>
          <w:lang w:val="en-US"/>
        </w:rPr>
      </w:pPr>
      <w:r>
        <w:rPr>
          <w:lang w:val="en-US"/>
        </w:rPr>
        <w:fldChar w:fldCharType="begin"/>
      </w:r>
      <w:r>
        <w:rPr>
          <w:lang w:val="en-US"/>
        </w:rPr>
        <w:instrText xml:space="preserve"> ADDIN EN.REFLIST </w:instrText>
      </w:r>
      <w:r>
        <w:rPr>
          <w:lang w:val="en-US"/>
        </w:rPr>
        <w:fldChar w:fldCharType="separate"/>
      </w:r>
      <w:bookmarkStart w:id="1" w:name="_ENREF_1"/>
      <w:r w:rsidRPr="00FC7D59">
        <w:rPr>
          <w:rFonts w:ascii="Calibri" w:hAnsi="Calibri" w:cs="Calibri"/>
          <w:noProof/>
          <w:lang w:val="en-US"/>
        </w:rPr>
        <w:t>1.</w:t>
      </w:r>
      <w:r w:rsidRPr="00FC7D59">
        <w:rPr>
          <w:rFonts w:ascii="Calibri" w:hAnsi="Calibri" w:cs="Calibri"/>
          <w:noProof/>
          <w:lang w:val="en-US"/>
        </w:rPr>
        <w:tab/>
        <w:t xml:space="preserve">Hayden JA, van der Windt DA, Cartwright JL, Cote P, Bombardier C (2013) Assessing bias in studies of prognostic factors. Ann Intern Med 158: 280-286. </w:t>
      </w:r>
      <w:bookmarkEnd w:id="1"/>
    </w:p>
    <w:p w14:paraId="1AC5AFEE" w14:textId="322E6C87" w:rsidR="006E7134" w:rsidRDefault="00C34614" w:rsidP="000275B6">
      <w:pPr>
        <w:spacing w:line="360" w:lineRule="auto"/>
        <w:ind w:left="720" w:hanging="720"/>
        <w:rPr>
          <w:lang w:val="en-US"/>
        </w:rPr>
      </w:pPr>
      <w:bookmarkStart w:id="2" w:name="_ENREF_2"/>
      <w:r w:rsidRPr="00FC7D59">
        <w:rPr>
          <w:rFonts w:ascii="Calibri" w:hAnsi="Calibri" w:cs="Calibri"/>
          <w:noProof/>
          <w:lang w:val="en-US"/>
        </w:rPr>
        <w:t>2.</w:t>
      </w:r>
      <w:r w:rsidRPr="00FC7D59">
        <w:rPr>
          <w:rFonts w:ascii="Calibri" w:hAnsi="Calibri" w:cs="Calibri"/>
          <w:noProof/>
          <w:lang w:val="en-US"/>
        </w:rPr>
        <w:tab/>
        <w:t xml:space="preserve">Geocadin RG, Callaway CW, Fink EL, Golan E, Greer DM, Ko NU, Lang E, Licht DJ, Marino BS, McNair ND, Peberdy MA, Perman SM, Sims DB, Soar J, Sandroni C, American Heart Association Emergency Cardiovascular Care C (2019) Standards for Studies of Neurological Prognostication in Comatose Survivors of Cardiac Arrest: A Scientific Statement From the American Heart Association. Circulation 140: e517-e542. </w:t>
      </w:r>
      <w:bookmarkEnd w:id="2"/>
      <w:r>
        <w:rPr>
          <w:lang w:val="en-US"/>
        </w:rPr>
        <w:fldChar w:fldCharType="end"/>
      </w:r>
      <w:bookmarkStart w:id="3" w:name="_GoBack"/>
      <w:bookmarkEnd w:id="3"/>
    </w:p>
    <w:sectPr w:rsidR="006E7134" w:rsidSect="000275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B81C1" w14:textId="77777777" w:rsidR="00B13EBF" w:rsidRDefault="00B13EBF" w:rsidP="00C34614">
      <w:pPr>
        <w:spacing w:after="0" w:line="240" w:lineRule="auto"/>
      </w:pPr>
      <w:r>
        <w:separator/>
      </w:r>
    </w:p>
  </w:endnote>
  <w:endnote w:type="continuationSeparator" w:id="0">
    <w:p w14:paraId="53902899" w14:textId="77777777" w:rsidR="00B13EBF" w:rsidRDefault="00B13EBF" w:rsidP="00C34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EBFCA" w14:textId="77777777" w:rsidR="00C34614" w:rsidRDefault="00C34614">
    <w:pPr>
      <w:pStyle w:val="Pidipagina"/>
    </w:pPr>
  </w:p>
  <w:p w14:paraId="4304CCE3" w14:textId="77777777" w:rsidR="00C34614" w:rsidRDefault="00C346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BE715" w14:textId="77777777" w:rsidR="00B13EBF" w:rsidRDefault="00B13EBF" w:rsidP="00C34614">
      <w:pPr>
        <w:spacing w:after="0" w:line="240" w:lineRule="auto"/>
      </w:pPr>
      <w:r>
        <w:separator/>
      </w:r>
    </w:p>
  </w:footnote>
  <w:footnote w:type="continuationSeparator" w:id="0">
    <w:p w14:paraId="10A85210" w14:textId="77777777" w:rsidR="00B13EBF" w:rsidRDefault="00B13EBF" w:rsidP="00C346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E03"/>
    <w:rsid w:val="0000251E"/>
    <w:rsid w:val="00006726"/>
    <w:rsid w:val="000275B6"/>
    <w:rsid w:val="000403BF"/>
    <w:rsid w:val="000564A2"/>
    <w:rsid w:val="00074797"/>
    <w:rsid w:val="00087A91"/>
    <w:rsid w:val="0009085C"/>
    <w:rsid w:val="000A38E0"/>
    <w:rsid w:val="000B2642"/>
    <w:rsid w:val="00106B9E"/>
    <w:rsid w:val="0011772D"/>
    <w:rsid w:val="00122462"/>
    <w:rsid w:val="00146922"/>
    <w:rsid w:val="00171471"/>
    <w:rsid w:val="00192F2E"/>
    <w:rsid w:val="001B073F"/>
    <w:rsid w:val="001C570F"/>
    <w:rsid w:val="00224C12"/>
    <w:rsid w:val="002267CD"/>
    <w:rsid w:val="00243276"/>
    <w:rsid w:val="00245612"/>
    <w:rsid w:val="002B3898"/>
    <w:rsid w:val="002D1782"/>
    <w:rsid w:val="002E4632"/>
    <w:rsid w:val="00312348"/>
    <w:rsid w:val="00316588"/>
    <w:rsid w:val="00364CDB"/>
    <w:rsid w:val="00366505"/>
    <w:rsid w:val="00392C2E"/>
    <w:rsid w:val="003A2267"/>
    <w:rsid w:val="003F7E03"/>
    <w:rsid w:val="0040688D"/>
    <w:rsid w:val="00416B84"/>
    <w:rsid w:val="00417F4E"/>
    <w:rsid w:val="00427204"/>
    <w:rsid w:val="00433A3F"/>
    <w:rsid w:val="0045169A"/>
    <w:rsid w:val="00456EFD"/>
    <w:rsid w:val="004624EC"/>
    <w:rsid w:val="00474DCE"/>
    <w:rsid w:val="004E037C"/>
    <w:rsid w:val="005A7F83"/>
    <w:rsid w:val="005B1467"/>
    <w:rsid w:val="005E6B8B"/>
    <w:rsid w:val="005E7ACE"/>
    <w:rsid w:val="005F6D7C"/>
    <w:rsid w:val="006424A6"/>
    <w:rsid w:val="00662FD5"/>
    <w:rsid w:val="00675AB4"/>
    <w:rsid w:val="006B66AD"/>
    <w:rsid w:val="006C4533"/>
    <w:rsid w:val="006D2911"/>
    <w:rsid w:val="006E7134"/>
    <w:rsid w:val="006F7CB9"/>
    <w:rsid w:val="00705D4B"/>
    <w:rsid w:val="007072CD"/>
    <w:rsid w:val="00717F4D"/>
    <w:rsid w:val="0075423F"/>
    <w:rsid w:val="007A7BA2"/>
    <w:rsid w:val="007D3848"/>
    <w:rsid w:val="007E26D5"/>
    <w:rsid w:val="007F7C9B"/>
    <w:rsid w:val="00800271"/>
    <w:rsid w:val="008421AA"/>
    <w:rsid w:val="00865E03"/>
    <w:rsid w:val="008B5F7C"/>
    <w:rsid w:val="009227CB"/>
    <w:rsid w:val="0095483B"/>
    <w:rsid w:val="009809F3"/>
    <w:rsid w:val="00987D9B"/>
    <w:rsid w:val="009901C8"/>
    <w:rsid w:val="009A2B1C"/>
    <w:rsid w:val="009C1952"/>
    <w:rsid w:val="009C7CF0"/>
    <w:rsid w:val="00A02CC1"/>
    <w:rsid w:val="00A43AEF"/>
    <w:rsid w:val="00A6459D"/>
    <w:rsid w:val="00A82605"/>
    <w:rsid w:val="00AF4BA8"/>
    <w:rsid w:val="00B13EBF"/>
    <w:rsid w:val="00B16246"/>
    <w:rsid w:val="00B17D98"/>
    <w:rsid w:val="00B56F8C"/>
    <w:rsid w:val="00B9188C"/>
    <w:rsid w:val="00BB39A9"/>
    <w:rsid w:val="00C34614"/>
    <w:rsid w:val="00C437E4"/>
    <w:rsid w:val="00C97114"/>
    <w:rsid w:val="00CC692B"/>
    <w:rsid w:val="00D565A5"/>
    <w:rsid w:val="00D60E9A"/>
    <w:rsid w:val="00D65CB4"/>
    <w:rsid w:val="00D96ACC"/>
    <w:rsid w:val="00DC2A48"/>
    <w:rsid w:val="00DC37B1"/>
    <w:rsid w:val="00DE3A6B"/>
    <w:rsid w:val="00E3567E"/>
    <w:rsid w:val="00EC5D2A"/>
    <w:rsid w:val="00EC5E2E"/>
    <w:rsid w:val="00EC76C8"/>
    <w:rsid w:val="00ED289F"/>
    <w:rsid w:val="00ED339D"/>
    <w:rsid w:val="00EE2CB8"/>
    <w:rsid w:val="00EF689B"/>
    <w:rsid w:val="00F24638"/>
    <w:rsid w:val="00FC2E71"/>
    <w:rsid w:val="00FD48AF"/>
    <w:rsid w:val="00FE674D"/>
    <w:rsid w:val="00FE7A2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99C6A"/>
  <w15:docId w15:val="{5D6161AB-F13B-4B2C-A190-5EA703E3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65CB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C34614"/>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65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65E03"/>
    <w:pPr>
      <w:ind w:left="720"/>
      <w:contextualSpacing/>
    </w:pPr>
  </w:style>
  <w:style w:type="paragraph" w:styleId="Testofumetto">
    <w:name w:val="Balloon Text"/>
    <w:basedOn w:val="Normale"/>
    <w:link w:val="TestofumettoCarattere"/>
    <w:uiPriority w:val="99"/>
    <w:semiHidden/>
    <w:unhideWhenUsed/>
    <w:rsid w:val="00192F2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2F2E"/>
    <w:rPr>
      <w:rFonts w:ascii="Segoe UI" w:hAnsi="Segoe UI" w:cs="Segoe UI"/>
      <w:sz w:val="18"/>
      <w:szCs w:val="18"/>
    </w:rPr>
  </w:style>
  <w:style w:type="character" w:styleId="Rimandocommento">
    <w:name w:val="annotation reference"/>
    <w:basedOn w:val="Carpredefinitoparagrafo"/>
    <w:uiPriority w:val="99"/>
    <w:semiHidden/>
    <w:unhideWhenUsed/>
    <w:rsid w:val="0000251E"/>
    <w:rPr>
      <w:sz w:val="16"/>
      <w:szCs w:val="16"/>
    </w:rPr>
  </w:style>
  <w:style w:type="paragraph" w:styleId="Testocommento">
    <w:name w:val="annotation text"/>
    <w:basedOn w:val="Normale"/>
    <w:link w:val="TestocommentoCarattere"/>
    <w:uiPriority w:val="99"/>
    <w:semiHidden/>
    <w:unhideWhenUsed/>
    <w:rsid w:val="0000251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0251E"/>
    <w:rPr>
      <w:sz w:val="20"/>
      <w:szCs w:val="20"/>
    </w:rPr>
  </w:style>
  <w:style w:type="paragraph" w:styleId="Soggettocommento">
    <w:name w:val="annotation subject"/>
    <w:basedOn w:val="Testocommento"/>
    <w:next w:val="Testocommento"/>
    <w:link w:val="SoggettocommentoCarattere"/>
    <w:uiPriority w:val="99"/>
    <w:semiHidden/>
    <w:unhideWhenUsed/>
    <w:rsid w:val="0000251E"/>
    <w:rPr>
      <w:b/>
      <w:bCs/>
    </w:rPr>
  </w:style>
  <w:style w:type="character" w:customStyle="1" w:styleId="SoggettocommentoCarattere">
    <w:name w:val="Soggetto commento Carattere"/>
    <w:basedOn w:val="TestocommentoCarattere"/>
    <w:link w:val="Soggettocommento"/>
    <w:uiPriority w:val="99"/>
    <w:semiHidden/>
    <w:rsid w:val="0000251E"/>
    <w:rPr>
      <w:b/>
      <w:bCs/>
      <w:sz w:val="20"/>
      <w:szCs w:val="20"/>
    </w:rPr>
  </w:style>
  <w:style w:type="paragraph" w:styleId="Sottotitolo">
    <w:name w:val="Subtitle"/>
    <w:basedOn w:val="Normale"/>
    <w:next w:val="Normale"/>
    <w:link w:val="SottotitoloCarattere"/>
    <w:uiPriority w:val="11"/>
    <w:qFormat/>
    <w:rsid w:val="00E3567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ottotitoloCarattere">
    <w:name w:val="Sottotitolo Carattere"/>
    <w:basedOn w:val="Carpredefinitoparagrafo"/>
    <w:link w:val="Sottotitolo"/>
    <w:uiPriority w:val="11"/>
    <w:rsid w:val="00E3567E"/>
    <w:rPr>
      <w:rFonts w:asciiTheme="majorHAnsi" w:eastAsiaTheme="majorEastAsia" w:hAnsiTheme="majorHAnsi" w:cstheme="majorBidi"/>
      <w:i/>
      <w:iCs/>
      <w:color w:val="5B9BD5" w:themeColor="accent1"/>
      <w:spacing w:val="15"/>
      <w:sz w:val="24"/>
      <w:szCs w:val="24"/>
    </w:rPr>
  </w:style>
  <w:style w:type="paragraph" w:styleId="Citazioneintensa">
    <w:name w:val="Intense Quote"/>
    <w:basedOn w:val="Normale"/>
    <w:next w:val="Normale"/>
    <w:link w:val="CitazioneintensaCarattere"/>
    <w:uiPriority w:val="30"/>
    <w:qFormat/>
    <w:rsid w:val="00E3567E"/>
    <w:pPr>
      <w:pBdr>
        <w:bottom w:val="single" w:sz="4" w:space="4" w:color="5B9BD5" w:themeColor="accent1"/>
      </w:pBdr>
      <w:spacing w:before="200" w:after="280"/>
      <w:ind w:left="936" w:right="936"/>
    </w:pPr>
    <w:rPr>
      <w:b/>
      <w:bCs/>
      <w:i/>
      <w:iCs/>
      <w:color w:val="5B9BD5" w:themeColor="accent1"/>
    </w:rPr>
  </w:style>
  <w:style w:type="character" w:customStyle="1" w:styleId="CitazioneintensaCarattere">
    <w:name w:val="Citazione intensa Carattere"/>
    <w:basedOn w:val="Carpredefinitoparagrafo"/>
    <w:link w:val="Citazioneintensa"/>
    <w:uiPriority w:val="30"/>
    <w:rsid w:val="00E3567E"/>
    <w:rPr>
      <w:b/>
      <w:bCs/>
      <w:i/>
      <w:iCs/>
      <w:color w:val="5B9BD5" w:themeColor="accent1"/>
    </w:rPr>
  </w:style>
  <w:style w:type="paragraph" w:styleId="Revisione">
    <w:name w:val="Revision"/>
    <w:hidden/>
    <w:uiPriority w:val="99"/>
    <w:semiHidden/>
    <w:rsid w:val="009901C8"/>
    <w:pPr>
      <w:spacing w:after="0" w:line="240" w:lineRule="auto"/>
    </w:pPr>
  </w:style>
  <w:style w:type="character" w:customStyle="1" w:styleId="Titolo1Carattere">
    <w:name w:val="Titolo 1 Carattere"/>
    <w:basedOn w:val="Carpredefinitoparagrafo"/>
    <w:link w:val="Titolo1"/>
    <w:uiPriority w:val="9"/>
    <w:rsid w:val="00D65CB4"/>
    <w:rPr>
      <w:rFonts w:asciiTheme="majorHAnsi" w:eastAsiaTheme="majorEastAsia" w:hAnsiTheme="majorHAnsi" w:cstheme="majorBidi"/>
      <w:b/>
      <w:bCs/>
      <w:color w:val="2E74B5" w:themeColor="accent1" w:themeShade="BF"/>
      <w:sz w:val="28"/>
      <w:szCs w:val="28"/>
    </w:rPr>
  </w:style>
  <w:style w:type="character" w:customStyle="1" w:styleId="Titolo2Carattere">
    <w:name w:val="Titolo 2 Carattere"/>
    <w:basedOn w:val="Carpredefinitoparagrafo"/>
    <w:link w:val="Titolo2"/>
    <w:uiPriority w:val="9"/>
    <w:rsid w:val="00C34614"/>
    <w:rPr>
      <w:rFonts w:asciiTheme="majorHAnsi" w:eastAsiaTheme="majorEastAsia" w:hAnsiTheme="majorHAnsi" w:cstheme="majorBidi"/>
      <w:b/>
      <w:bCs/>
      <w:color w:val="5B9BD5" w:themeColor="accent1"/>
      <w:sz w:val="26"/>
      <w:szCs w:val="26"/>
    </w:rPr>
  </w:style>
  <w:style w:type="paragraph" w:styleId="Intestazione">
    <w:name w:val="header"/>
    <w:basedOn w:val="Normale"/>
    <w:link w:val="IntestazioneCarattere"/>
    <w:uiPriority w:val="99"/>
    <w:unhideWhenUsed/>
    <w:rsid w:val="00C346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4614"/>
  </w:style>
  <w:style w:type="paragraph" w:styleId="Pidipagina">
    <w:name w:val="footer"/>
    <w:basedOn w:val="Normale"/>
    <w:link w:val="PidipaginaCarattere"/>
    <w:uiPriority w:val="99"/>
    <w:unhideWhenUsed/>
    <w:rsid w:val="00C346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4614"/>
  </w:style>
  <w:style w:type="table" w:customStyle="1" w:styleId="TableGrid">
    <w:name w:val="TableGrid"/>
    <w:rsid w:val="00171471"/>
    <w:pPr>
      <w:spacing w:after="0" w:line="240" w:lineRule="auto"/>
    </w:pPr>
    <w:rPr>
      <w:rFonts w:eastAsiaTheme="minorEastAsia"/>
      <w:lang w:eastAsia="nl-NL"/>
    </w:rPr>
    <w:tblPr>
      <w:tblCellMar>
        <w:top w:w="0" w:type="dxa"/>
        <w:left w:w="0" w:type="dxa"/>
        <w:bottom w:w="0" w:type="dxa"/>
        <w:right w:w="0" w:type="dxa"/>
      </w:tblCellMar>
    </w:tblPr>
  </w:style>
  <w:style w:type="table" w:styleId="Tabellaelenco3-colore1">
    <w:name w:val="List Table 3 Accent 1"/>
    <w:basedOn w:val="Tabellanormale"/>
    <w:uiPriority w:val="48"/>
    <w:rsid w:val="00BB39A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6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4BAE2-E3AD-4D48-80A2-72DF3201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1267</Words>
  <Characters>7227</Characters>
  <Application>Microsoft Office Word</Application>
  <DocSecurity>0</DocSecurity>
  <Lines>60</Lines>
  <Paragraphs>16</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Catharina Ziekenhuis Eindhoven</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Marlijn Kamps</dc:creator>
  <cp:lastModifiedBy>Sonia D'Arrigo</cp:lastModifiedBy>
  <cp:revision>3</cp:revision>
  <dcterms:created xsi:type="dcterms:W3CDTF">2021-11-02T09:26:00Z</dcterms:created>
  <dcterms:modified xsi:type="dcterms:W3CDTF">2021-11-02T09:26:00Z</dcterms:modified>
</cp:coreProperties>
</file>