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C8A6B" w14:textId="4C4A02F8" w:rsidR="000D4BB6" w:rsidRPr="00D07339" w:rsidRDefault="00BB3A81" w:rsidP="00313EC9">
      <w:pPr>
        <w:spacing w:before="120" w:after="120" w:line="360" w:lineRule="auto"/>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PiCO 4a and 4b long rational</w:t>
      </w:r>
      <w:r w:rsidR="004C085F" w:rsidRPr="00D07339">
        <w:rPr>
          <w:rFonts w:ascii="Times New Roman" w:eastAsia="Arial" w:hAnsi="Times New Roman" w:cs="Times New Roman"/>
          <w:b/>
          <w:sz w:val="24"/>
          <w:szCs w:val="24"/>
          <w:lang w:val="en-GB"/>
        </w:rPr>
        <w:t>es</w:t>
      </w:r>
      <w:r w:rsidRPr="00D07339">
        <w:rPr>
          <w:rFonts w:ascii="Times New Roman" w:eastAsia="Arial" w:hAnsi="Times New Roman" w:cs="Times New Roman"/>
          <w:b/>
          <w:sz w:val="24"/>
          <w:szCs w:val="24"/>
          <w:lang w:val="en-GB"/>
        </w:rPr>
        <w:t>: Composition of IV-MFT (outside Na and Cl)</w:t>
      </w:r>
    </w:p>
    <w:p w14:paraId="078C8A6D" w14:textId="14817BE2" w:rsidR="000D4BB6" w:rsidRPr="00D07339" w:rsidRDefault="00BB3A81" w:rsidP="00313EC9">
      <w:pPr>
        <w:spacing w:before="120" w:after="120" w:line="360" w:lineRule="auto"/>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 xml:space="preserve">PICO 4a and 4b: </w:t>
      </w:r>
    </w:p>
    <w:p w14:paraId="078C8A6E" w14:textId="7728503A" w:rsidR="000D4BB6" w:rsidRPr="00D07339" w:rsidRDefault="00BB3A81" w:rsidP="00313EC9">
      <w:pPr>
        <w:spacing w:before="120" w:after="120"/>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 xml:space="preserve">What is the optimal composition of IV maintenance fluid therapy in acute and critically ill children (glucose, K, Ca, P, Mg, </w:t>
      </w:r>
      <w:proofErr w:type="gramStart"/>
      <w:r w:rsidRPr="00D07339">
        <w:rPr>
          <w:rFonts w:ascii="Times New Roman" w:eastAsia="Arial" w:hAnsi="Times New Roman" w:cs="Times New Roman"/>
          <w:b/>
          <w:sz w:val="24"/>
          <w:szCs w:val="24"/>
          <w:lang w:val="en-GB"/>
        </w:rPr>
        <w:t>Vitamins</w:t>
      </w:r>
      <w:proofErr w:type="gramEnd"/>
      <w:r w:rsidRPr="00D07339">
        <w:rPr>
          <w:rFonts w:ascii="Times New Roman" w:eastAsia="Arial" w:hAnsi="Times New Roman" w:cs="Times New Roman"/>
          <w:b/>
          <w:sz w:val="24"/>
          <w:szCs w:val="24"/>
          <w:lang w:val="en-GB"/>
        </w:rPr>
        <w:t xml:space="preserve"> and trace elements)?</w:t>
      </w:r>
    </w:p>
    <w:p w14:paraId="078C8A6F" w14:textId="4808A6D2" w:rsidR="000D4BB6" w:rsidRPr="00D07339" w:rsidRDefault="00BB3A81" w:rsidP="004C085F">
      <w:pPr>
        <w:pStyle w:val="Paragraphedeliste"/>
        <w:numPr>
          <w:ilvl w:val="0"/>
          <w:numId w:val="4"/>
        </w:numPr>
        <w:spacing w:before="120" w:after="120"/>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PiCO 4a: What is the optimal glucose content of IV maintenance fluid therapy in acute and critically ill children?</w:t>
      </w:r>
    </w:p>
    <w:p w14:paraId="078C8A70" w14:textId="2A3AC018" w:rsidR="000D4BB6" w:rsidRPr="00D07339" w:rsidRDefault="00BB3A81" w:rsidP="004C085F">
      <w:pPr>
        <w:pStyle w:val="Paragraphedeliste"/>
        <w:numPr>
          <w:ilvl w:val="0"/>
          <w:numId w:val="4"/>
        </w:numPr>
        <w:spacing w:before="120" w:after="120"/>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 xml:space="preserve">PiCO 4b: What is the optimal composition of IV maintenance fluid therapy in acute and critically ill children (K, Ca, P, Mg, </w:t>
      </w:r>
      <w:proofErr w:type="gramStart"/>
      <w:r w:rsidRPr="00D07339">
        <w:rPr>
          <w:rFonts w:ascii="Times New Roman" w:eastAsia="Arial" w:hAnsi="Times New Roman" w:cs="Times New Roman"/>
          <w:b/>
          <w:sz w:val="24"/>
          <w:szCs w:val="24"/>
          <w:lang w:val="en-GB"/>
        </w:rPr>
        <w:t>Vitamins</w:t>
      </w:r>
      <w:proofErr w:type="gramEnd"/>
      <w:r w:rsidRPr="00D07339">
        <w:rPr>
          <w:rFonts w:ascii="Times New Roman" w:eastAsia="Arial" w:hAnsi="Times New Roman" w:cs="Times New Roman"/>
          <w:b/>
          <w:sz w:val="24"/>
          <w:szCs w:val="24"/>
          <w:lang w:val="en-GB"/>
        </w:rPr>
        <w:t xml:space="preserve"> and trace elements)?</w:t>
      </w:r>
    </w:p>
    <w:p w14:paraId="078C8A71" w14:textId="77777777" w:rsidR="000D4BB6" w:rsidRPr="00D07339" w:rsidRDefault="000D4BB6" w:rsidP="00313EC9">
      <w:pPr>
        <w:spacing w:before="120" w:after="120" w:line="360" w:lineRule="auto"/>
        <w:jc w:val="both"/>
        <w:rPr>
          <w:rFonts w:ascii="Times New Roman" w:eastAsia="Arial" w:hAnsi="Times New Roman" w:cs="Times New Roman"/>
          <w:b/>
          <w:sz w:val="24"/>
          <w:szCs w:val="24"/>
          <w:lang w:val="en-GB"/>
        </w:rPr>
      </w:pPr>
    </w:p>
    <w:p w14:paraId="078C8A74" w14:textId="35A128C4" w:rsidR="000D4BB6" w:rsidRPr="00D07339" w:rsidRDefault="00BB3A81" w:rsidP="00313EC9">
      <w:pPr>
        <w:spacing w:before="120" w:after="120" w:line="360" w:lineRule="auto"/>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PiCO 4</w:t>
      </w:r>
      <w:r w:rsidR="0037775B" w:rsidRPr="00D07339">
        <w:rPr>
          <w:rFonts w:ascii="Times New Roman" w:eastAsia="Arial" w:hAnsi="Times New Roman" w:cs="Times New Roman"/>
          <w:b/>
          <w:sz w:val="24"/>
          <w:szCs w:val="24"/>
          <w:lang w:val="en-GB"/>
        </w:rPr>
        <w:t>a:</w:t>
      </w:r>
      <w:r w:rsidRPr="00D07339">
        <w:rPr>
          <w:rFonts w:ascii="Times New Roman" w:eastAsia="Arial" w:hAnsi="Times New Roman" w:cs="Times New Roman"/>
          <w:b/>
          <w:sz w:val="24"/>
          <w:szCs w:val="24"/>
          <w:lang w:val="en-GB"/>
        </w:rPr>
        <w:t xml:space="preserve"> IV-MFT Glucose content </w:t>
      </w:r>
    </w:p>
    <w:p w14:paraId="078C8A75" w14:textId="77777777" w:rsidR="000D4BB6" w:rsidRPr="00D07339" w:rsidRDefault="00BB3A81" w:rsidP="00B70F75">
      <w:pPr>
        <w:pStyle w:val="Titre1"/>
      </w:pPr>
      <w:r w:rsidRPr="00D07339">
        <w:t xml:space="preserve">Background and pathophysiology </w:t>
      </w:r>
    </w:p>
    <w:p w14:paraId="078C8A78" w14:textId="3408248E" w:rsidR="000D4BB6" w:rsidRPr="00D07339" w:rsidRDefault="00103CA9"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Recommendations around g</w:t>
      </w:r>
      <w:r w:rsidR="00BB3A81" w:rsidRPr="00D07339">
        <w:rPr>
          <w:rFonts w:ascii="Times New Roman" w:eastAsia="Arial" w:hAnsi="Times New Roman" w:cs="Times New Roman"/>
          <w:sz w:val="24"/>
          <w:szCs w:val="24"/>
          <w:lang w:val="en-GB"/>
        </w:rPr>
        <w:t xml:space="preserve">lucose intake are usually based on </w:t>
      </w:r>
      <w:r w:rsidRPr="00D07339">
        <w:rPr>
          <w:rFonts w:ascii="Times New Roman" w:eastAsia="Arial" w:hAnsi="Times New Roman" w:cs="Times New Roman"/>
          <w:sz w:val="24"/>
          <w:szCs w:val="24"/>
          <w:lang w:val="en-GB"/>
        </w:rPr>
        <w:t xml:space="preserve">the </w:t>
      </w:r>
      <w:r w:rsidR="00BB3A81" w:rsidRPr="00D07339">
        <w:rPr>
          <w:rFonts w:ascii="Times New Roman" w:eastAsia="Arial" w:hAnsi="Times New Roman" w:cs="Times New Roman"/>
          <w:sz w:val="24"/>
          <w:szCs w:val="24"/>
          <w:lang w:val="en-GB"/>
        </w:rPr>
        <w:t xml:space="preserve">amounts required for </w:t>
      </w:r>
      <w:r w:rsidRPr="00D07339">
        <w:rPr>
          <w:rFonts w:ascii="Times New Roman" w:eastAsia="Arial" w:hAnsi="Times New Roman" w:cs="Times New Roman"/>
          <w:sz w:val="24"/>
          <w:szCs w:val="24"/>
          <w:lang w:val="en-GB"/>
        </w:rPr>
        <w:t xml:space="preserve">the </w:t>
      </w:r>
      <w:r w:rsidR="00BB3A81" w:rsidRPr="00D07339">
        <w:rPr>
          <w:rFonts w:ascii="Times New Roman" w:eastAsia="Arial" w:hAnsi="Times New Roman" w:cs="Times New Roman"/>
          <w:sz w:val="24"/>
          <w:szCs w:val="24"/>
          <w:lang w:val="en-GB"/>
        </w:rPr>
        <w:t>endogenous glucose production rate and maximal glucose oxidation capacity</w:t>
      </w:r>
      <w:r w:rsidR="00190AEC" w:rsidRPr="00D07339">
        <w:rPr>
          <w:rFonts w:ascii="Times New Roman" w:eastAsia="Arial" w:hAnsi="Times New Roman" w:cs="Times New Roman"/>
          <w:sz w:val="24"/>
          <w:szCs w:val="24"/>
          <w:lang w:val="en-GB"/>
        </w:rPr>
        <w:t xml:space="preserve"> </w:t>
      </w:r>
      <w:r w:rsidR="00190AEC"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{"citationID":"256BEMn3","properties":{"formattedCitation":"[1]","plainCitation":"[1]","noteIndex":0},"citationItems":[{"id":36027,"uris":["http://zotero.org/users/874466/items/6UXRGKTR"],"itemData":{"id":36027,"type":"article-journal","abstract":"Carbohydrates are the major source of energy for humans. Following their digestion, almost all ingested carbohydrates are converted to glucose. Glucose is the primary oxidative fuel for the brain. Although few studies have been done in infants and children to define the upper and lower limits of carbohydrate intake, such information may be derived from the published data on glucose metabolism in vivo. The upper and lower limits are determined by the need to provide for total energy expenditure, need for other essential nutrients such as protein and fats, requirements of the glucose dependent tissues such as the brain, and the need to minimize the protein cost of gluconeogenesis and thus irreversible loss of nitrogen. With these considerations, the upper and lower boundaries of carbohydrate intake in relation to age are described.","container-title":"European Journal of Clinical Nutrition","DOI":"10.1038/sj.ejcn.1600749","ISSN":"0954-3007","journalAbbreviation":"Eur J Clin Nutr","language":"eng","note":"PMID: 10365985","page":"S94-100","source":"PubMed","title":"Carbohydrate as nutrient in the infant and child: range of acceptable intake","title-short":"Carbohydrate as nutrient in the infant and child","volume":"53 Suppl 1","author":[{"family":"Kalhan","given":"S. C."},{"family":"Kiliç","given":"I."}],"issued":{"date-parts":[["1999",4]]}}}],"schema":"https://github.com/citation-style-language/schema/raw/master/csl-citation.json"} </w:instrText>
      </w:r>
      <w:r w:rsidR="00190AEC"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[1]</w:t>
      </w:r>
      <w:r w:rsidR="00190AEC"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Few kinetic studies are available for glucose utili</w:t>
      </w:r>
      <w:r w:rsidRPr="00D07339">
        <w:rPr>
          <w:rFonts w:ascii="Times New Roman" w:eastAsia="Arial" w:hAnsi="Times New Roman" w:cs="Times New Roman"/>
          <w:sz w:val="24"/>
          <w:szCs w:val="24"/>
          <w:lang w:val="en-GB"/>
        </w:rPr>
        <w:t>s</w:t>
      </w:r>
      <w:r w:rsidR="00BB3A81" w:rsidRPr="00D07339">
        <w:rPr>
          <w:rFonts w:ascii="Times New Roman" w:eastAsia="Arial" w:hAnsi="Times New Roman" w:cs="Times New Roman"/>
          <w:sz w:val="24"/>
          <w:szCs w:val="24"/>
          <w:lang w:val="en-GB"/>
        </w:rPr>
        <w:t xml:space="preserve">ation in infants and children, and even fewer during the acute phase of critical illness. Glycemia </w:t>
      </w:r>
      <w:r w:rsidR="009E7A76" w:rsidRPr="00D07339">
        <w:rPr>
          <w:rFonts w:ascii="Times New Roman" w:eastAsia="Arial" w:hAnsi="Times New Roman" w:cs="Times New Roman"/>
          <w:sz w:val="24"/>
          <w:szCs w:val="24"/>
          <w:lang w:val="en-GB"/>
        </w:rPr>
        <w:t>homeostasis depends</w:t>
      </w:r>
      <w:r w:rsidR="00BB3A81" w:rsidRPr="00D07339">
        <w:rPr>
          <w:rFonts w:ascii="Times New Roman" w:eastAsia="Arial" w:hAnsi="Times New Roman" w:cs="Times New Roman"/>
          <w:sz w:val="24"/>
          <w:szCs w:val="24"/>
          <w:lang w:val="en-GB"/>
        </w:rPr>
        <w:t xml:space="preserve"> </w:t>
      </w:r>
      <w:r w:rsidR="00425501" w:rsidRPr="00D07339">
        <w:rPr>
          <w:rFonts w:ascii="Times New Roman" w:eastAsia="Arial" w:hAnsi="Times New Roman" w:cs="Times New Roman"/>
          <w:sz w:val="24"/>
          <w:szCs w:val="24"/>
          <w:lang w:val="en-GB"/>
        </w:rPr>
        <w:t xml:space="preserve">mainly </w:t>
      </w:r>
      <w:r w:rsidR="00BB3A81" w:rsidRPr="00D07339">
        <w:rPr>
          <w:rFonts w:ascii="Times New Roman" w:eastAsia="Arial" w:hAnsi="Times New Roman" w:cs="Times New Roman"/>
          <w:sz w:val="24"/>
          <w:szCs w:val="24"/>
          <w:lang w:val="en-GB"/>
        </w:rPr>
        <w:t>on energy and glucose intakes, body stores, and regulatory hormones (e.g. insulin and counter</w:t>
      </w:r>
      <w:r w:rsidR="009E7A76" w:rsidRPr="00D07339">
        <w:rPr>
          <w:rFonts w:ascii="Times New Roman" w:eastAsia="Arial" w:hAnsi="Times New Roman" w:cs="Times New Roman"/>
          <w:sz w:val="24"/>
          <w:szCs w:val="24"/>
          <w:lang w:val="en-GB"/>
        </w:rPr>
        <w:t>-</w:t>
      </w:r>
      <w:r w:rsidR="00BB3A81" w:rsidRPr="00D07339">
        <w:rPr>
          <w:rFonts w:ascii="Times New Roman" w:eastAsia="Arial" w:hAnsi="Times New Roman" w:cs="Times New Roman"/>
          <w:sz w:val="24"/>
          <w:szCs w:val="24"/>
          <w:lang w:val="en-GB"/>
        </w:rPr>
        <w:t xml:space="preserve">regulatory hormones), which can all be altered to </w:t>
      </w:r>
      <w:r w:rsidR="00425501" w:rsidRPr="00D07339">
        <w:rPr>
          <w:rFonts w:ascii="Times New Roman" w:eastAsia="Arial" w:hAnsi="Times New Roman" w:cs="Times New Roman"/>
          <w:sz w:val="24"/>
          <w:szCs w:val="24"/>
          <w:lang w:val="en-GB"/>
        </w:rPr>
        <w:t xml:space="preserve">a degree </w:t>
      </w:r>
      <w:r w:rsidR="009E7A76" w:rsidRPr="00D07339">
        <w:rPr>
          <w:rFonts w:ascii="Times New Roman" w:eastAsia="Arial" w:hAnsi="Times New Roman" w:cs="Times New Roman"/>
          <w:sz w:val="24"/>
          <w:szCs w:val="24"/>
          <w:lang w:val="en-GB"/>
        </w:rPr>
        <w:t>in acute</w:t>
      </w:r>
      <w:r w:rsidR="00BB3A81" w:rsidRPr="00D07339">
        <w:rPr>
          <w:rFonts w:ascii="Times New Roman" w:eastAsia="Arial" w:hAnsi="Times New Roman" w:cs="Times New Roman"/>
          <w:sz w:val="24"/>
          <w:szCs w:val="24"/>
          <w:lang w:val="en-GB"/>
        </w:rPr>
        <w:t xml:space="preserve"> or critical illness</w:t>
      </w:r>
      <w:r w:rsidR="009E7A76" w:rsidRPr="00D07339">
        <w:rPr>
          <w:rFonts w:ascii="Times New Roman" w:eastAsia="Arial" w:hAnsi="Times New Roman" w:cs="Times New Roman"/>
          <w:sz w:val="24"/>
          <w:szCs w:val="24"/>
          <w:lang w:val="en-GB"/>
        </w:rPr>
        <w:t xml:space="preserve"> </w:t>
      </w:r>
      <w:r w:rsidR="009E7A76"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{"citationID":"6dK8dtXe","properties":{"formattedCitation":"[2]","plainCitation":"[2]","noteIndex":0},"citationItems":[{"id":36029,"uris":["http://zotero.org/users/874466/items/RZMVCVI3"],"itemData":{"id":36029,"type":"article-journal","abstract":"Glucose is the main source of nonprotein calories in total parenteral nutrition (TPN). However, its use has been associated with various nutritional, metabolic, and respiratory complications. The aim of this study was to determine, in the stable surgical newborn infant, the characteristics of carbohydrate metabolism, in particular the maximum oxidative threshold for intravenous glucose and the thermogenic effect of glucose. Twenty-one studies were done on 11 infants (weight 2.82 +/- 0.19 kg) receiving TPN containing constant amounts of amino acids (2.5 g/kg/d) and fat (3.0 g/kg/d), and different amounts of glucose (range, 10 to 25 g/kg/d). Oxygen consumption (VO2), carbon-dioxide production (VCO2), and resting energy expenditure (REE) were measured by indirect calorimetry. Urinary nitrogen excretion rate was measured and substrate utilization calculated from the nonprotein respiratory quotient (NPRQ). There was a positive correlation between the predictor variable glucose intake and the dependent variables VO2 (r = .55; P &lt; .05), VCO2 (r = .83; P &lt; .0001), REE (r = .65; P &lt; .005), NPRQ (r = .94; P &lt; .0001), respiratory rate (r = .46; P = .06), and plasma triglycerides level (r = .67; P &lt; .01). When glucose intake exceeded 18 g/kg/d the NPRQ was greater than 1.0, indicating glucose conversion to fat. Above this level of intake, the gradient of the correlation between the predictor variable glucose intake and the dependent variables VCO2 and REE increased. From this study we conclude that: (1) Glucose intake is the principal determinant of glucose utilization and exerts an influence on the metabolism of exogenous fat.(ABSTRACT TRUNCATED AT 250 WORDS)","container-title":"Journal of Pediatric Surgery","DOI":"10.1016/0022-3468(93)90144-a","ISSN":"0022-3468","issue":"9","journalAbbreviation":"J Pediatr Surg","language":"eng","note":"PMID: 8308674","page":"1121-1125","source":"PubMed","title":"Glucose utilization in the surgical newborn infant receiving total parenteral nutrition","volume":"28","author":[{"family":"Jones","given":"M. O."},{"family":"Pierro","given":"A."},{"family":"Hammond","given":"P."},{"family":"Nunn","given":"A."},{"family":"Lloyd","given":"D. A."}],"issued":{"date-parts":[["1993",9]]}}}],"schema":"https://github.com/citation-style-language/schema/raw/master/csl-citation.json"} </w:instrText>
      </w:r>
      <w:r w:rsidR="009E7A76"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[2]</w:t>
      </w:r>
      <w:r w:rsidR="009E7A76"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w:t>
      </w:r>
      <w:r w:rsidR="00425501" w:rsidRPr="00D07339">
        <w:rPr>
          <w:rFonts w:ascii="Times New Roman" w:eastAsia="Arial" w:hAnsi="Times New Roman" w:cs="Times New Roman"/>
          <w:sz w:val="24"/>
          <w:szCs w:val="24"/>
          <w:lang w:val="en-GB"/>
        </w:rPr>
        <w:t>I</w:t>
      </w:r>
      <w:r w:rsidR="00BB3A81" w:rsidRPr="00D07339">
        <w:rPr>
          <w:rFonts w:ascii="Times New Roman" w:eastAsia="Arial" w:hAnsi="Times New Roman" w:cs="Times New Roman"/>
          <w:sz w:val="24"/>
          <w:szCs w:val="24"/>
          <w:lang w:val="en-GB"/>
        </w:rPr>
        <w:t>ntravenous maintenance fluid therapy (IV-MFT) is usually indicated when enteral feeding/fluid</w:t>
      </w:r>
      <w:r w:rsidR="00892F3E" w:rsidRPr="00D07339">
        <w:rPr>
          <w:rFonts w:ascii="Times New Roman" w:eastAsia="Arial" w:hAnsi="Times New Roman" w:cs="Times New Roman"/>
          <w:sz w:val="24"/>
          <w:szCs w:val="24"/>
          <w:lang w:val="en-GB"/>
        </w:rPr>
        <w:t xml:space="preserve"> intake is</w:t>
      </w:r>
      <w:r w:rsidR="00BB3A81" w:rsidRPr="00D07339">
        <w:rPr>
          <w:rFonts w:ascii="Times New Roman" w:eastAsia="Arial" w:hAnsi="Times New Roman" w:cs="Times New Roman"/>
          <w:sz w:val="24"/>
          <w:szCs w:val="24"/>
          <w:lang w:val="en-GB"/>
        </w:rPr>
        <w:t xml:space="preserve"> </w:t>
      </w:r>
      <w:r w:rsidR="00892F3E" w:rsidRPr="00D07339">
        <w:rPr>
          <w:rFonts w:ascii="Times New Roman" w:eastAsia="Arial" w:hAnsi="Times New Roman" w:cs="Times New Roman"/>
          <w:sz w:val="24"/>
          <w:szCs w:val="24"/>
          <w:lang w:val="en-GB"/>
        </w:rPr>
        <w:t>in</w:t>
      </w:r>
      <w:r w:rsidR="00BB3A81" w:rsidRPr="00D07339">
        <w:rPr>
          <w:rFonts w:ascii="Times New Roman" w:eastAsia="Arial" w:hAnsi="Times New Roman" w:cs="Times New Roman"/>
          <w:sz w:val="24"/>
          <w:szCs w:val="24"/>
          <w:lang w:val="en-GB"/>
        </w:rPr>
        <w:t xml:space="preserve">sufficient. </w:t>
      </w:r>
      <w:r w:rsidR="00892F3E" w:rsidRPr="00D07339">
        <w:rPr>
          <w:rFonts w:ascii="Times New Roman" w:eastAsia="Arial" w:hAnsi="Times New Roman" w:cs="Times New Roman"/>
          <w:sz w:val="24"/>
          <w:szCs w:val="24"/>
          <w:lang w:val="en-GB"/>
        </w:rPr>
        <w:t>The g</w:t>
      </w:r>
      <w:r w:rsidR="00BB3A81" w:rsidRPr="00D07339">
        <w:rPr>
          <w:rFonts w:ascii="Times New Roman" w:eastAsia="Arial" w:hAnsi="Times New Roman" w:cs="Times New Roman"/>
          <w:sz w:val="24"/>
          <w:szCs w:val="24"/>
          <w:lang w:val="en-GB"/>
        </w:rPr>
        <w:t xml:space="preserve">lucose provided in IV-MFT </w:t>
      </w:r>
      <w:r w:rsidR="00892F3E" w:rsidRPr="00D07339">
        <w:rPr>
          <w:rFonts w:ascii="Times New Roman" w:eastAsia="Arial" w:hAnsi="Times New Roman" w:cs="Times New Roman"/>
          <w:sz w:val="24"/>
          <w:szCs w:val="24"/>
          <w:lang w:val="en-GB"/>
        </w:rPr>
        <w:t xml:space="preserve">aims </w:t>
      </w:r>
      <w:r w:rsidR="00BB3A81" w:rsidRPr="00D07339">
        <w:rPr>
          <w:rFonts w:ascii="Times New Roman" w:eastAsia="Arial" w:hAnsi="Times New Roman" w:cs="Times New Roman"/>
          <w:sz w:val="24"/>
          <w:szCs w:val="24"/>
          <w:lang w:val="en-GB"/>
        </w:rPr>
        <w:t xml:space="preserve">to compensate for the deficit </w:t>
      </w:r>
      <w:r w:rsidR="00892F3E" w:rsidRPr="00D07339">
        <w:rPr>
          <w:rFonts w:ascii="Times New Roman" w:eastAsia="Arial" w:hAnsi="Times New Roman" w:cs="Times New Roman"/>
          <w:sz w:val="24"/>
          <w:szCs w:val="24"/>
          <w:lang w:val="en-GB"/>
        </w:rPr>
        <w:t>in</w:t>
      </w:r>
      <w:r w:rsidR="00BB3A81" w:rsidRPr="00D07339">
        <w:rPr>
          <w:rFonts w:ascii="Times New Roman" w:eastAsia="Arial" w:hAnsi="Times New Roman" w:cs="Times New Roman"/>
          <w:sz w:val="24"/>
          <w:szCs w:val="24"/>
          <w:lang w:val="en-GB"/>
        </w:rPr>
        <w:t xml:space="preserve"> energy intakes</w:t>
      </w:r>
      <w:r w:rsidR="00892F3E" w:rsidRPr="00D07339">
        <w:rPr>
          <w:rFonts w:ascii="Times New Roman" w:eastAsia="Arial" w:hAnsi="Times New Roman" w:cs="Times New Roman"/>
          <w:sz w:val="24"/>
          <w:szCs w:val="24"/>
          <w:lang w:val="en-GB"/>
        </w:rPr>
        <w:t xml:space="preserve"> and</w:t>
      </w:r>
      <w:r w:rsidR="00BB3A81" w:rsidRPr="00D07339">
        <w:rPr>
          <w:rFonts w:ascii="Times New Roman" w:eastAsia="Arial" w:hAnsi="Times New Roman" w:cs="Times New Roman"/>
          <w:sz w:val="24"/>
          <w:szCs w:val="24"/>
          <w:lang w:val="en-GB"/>
        </w:rPr>
        <w:t xml:space="preserve"> avoid </w:t>
      </w:r>
      <w:r w:rsidR="00F01625" w:rsidRPr="00D07339">
        <w:rPr>
          <w:rFonts w:ascii="Times New Roman" w:eastAsia="Arial" w:hAnsi="Times New Roman" w:cs="Times New Roman"/>
          <w:sz w:val="24"/>
          <w:szCs w:val="24"/>
          <w:lang w:val="en-GB"/>
        </w:rPr>
        <w:t>hypoglycaemia</w:t>
      </w:r>
      <w:r w:rsidR="00BB3A81" w:rsidRPr="00D07339">
        <w:rPr>
          <w:rFonts w:ascii="Times New Roman" w:eastAsia="Arial" w:hAnsi="Times New Roman" w:cs="Times New Roman"/>
          <w:sz w:val="24"/>
          <w:szCs w:val="24"/>
          <w:lang w:val="en-GB"/>
        </w:rPr>
        <w:t>.</w:t>
      </w:r>
      <w:r w:rsidR="00892F3E" w:rsidRPr="00D07339">
        <w:rPr>
          <w:rFonts w:ascii="Times New Roman" w:eastAsia="Arial" w:hAnsi="Times New Roman" w:cs="Times New Roman"/>
          <w:sz w:val="24"/>
          <w:szCs w:val="24"/>
          <w:lang w:val="en-GB"/>
        </w:rPr>
        <w:t xml:space="preserve"> </w:t>
      </w:r>
      <w:r w:rsidR="0032651F" w:rsidRPr="00D07339">
        <w:rPr>
          <w:rFonts w:ascii="Times New Roman" w:eastAsia="Arial" w:hAnsi="Times New Roman" w:cs="Times New Roman"/>
          <w:sz w:val="24"/>
          <w:szCs w:val="24"/>
          <w:lang w:val="en-GB"/>
        </w:rPr>
        <w:t>Conversely</w:t>
      </w:r>
      <w:r w:rsidR="00BB3A81" w:rsidRPr="00D07339">
        <w:rPr>
          <w:rFonts w:ascii="Times New Roman" w:eastAsia="Arial" w:hAnsi="Times New Roman" w:cs="Times New Roman"/>
          <w:sz w:val="24"/>
          <w:szCs w:val="24"/>
          <w:lang w:val="en-GB"/>
        </w:rPr>
        <w:t xml:space="preserve">, </w:t>
      </w:r>
      <w:r w:rsidR="00F01625" w:rsidRPr="00D07339">
        <w:rPr>
          <w:rFonts w:ascii="Times New Roman" w:eastAsia="Arial" w:hAnsi="Times New Roman" w:cs="Times New Roman"/>
          <w:sz w:val="24"/>
          <w:szCs w:val="24"/>
          <w:lang w:val="en-GB"/>
        </w:rPr>
        <w:t>hyperglycaemia</w:t>
      </w:r>
      <w:r w:rsidR="00BB3A81" w:rsidRPr="00D07339">
        <w:rPr>
          <w:rFonts w:ascii="Times New Roman" w:eastAsia="Arial" w:hAnsi="Times New Roman" w:cs="Times New Roman"/>
          <w:sz w:val="24"/>
          <w:szCs w:val="24"/>
          <w:lang w:val="en-GB"/>
        </w:rPr>
        <w:t xml:space="preserve"> may </w:t>
      </w:r>
      <w:r w:rsidR="0032651F" w:rsidRPr="00D07339">
        <w:rPr>
          <w:rFonts w:ascii="Times New Roman" w:eastAsia="Arial" w:hAnsi="Times New Roman" w:cs="Times New Roman"/>
          <w:sz w:val="24"/>
          <w:szCs w:val="24"/>
          <w:lang w:val="en-GB"/>
        </w:rPr>
        <w:t>be</w:t>
      </w:r>
      <w:r w:rsidR="00BB3A81" w:rsidRPr="00D07339">
        <w:rPr>
          <w:rFonts w:ascii="Times New Roman" w:eastAsia="Arial" w:hAnsi="Times New Roman" w:cs="Times New Roman"/>
          <w:sz w:val="24"/>
          <w:szCs w:val="24"/>
          <w:lang w:val="en-GB"/>
        </w:rPr>
        <w:t xml:space="preserve"> an adverse effect</w:t>
      </w:r>
      <w:r w:rsidR="0032651F" w:rsidRPr="00D07339">
        <w:rPr>
          <w:rFonts w:ascii="Times New Roman" w:eastAsia="Arial" w:hAnsi="Times New Roman" w:cs="Times New Roman"/>
          <w:sz w:val="24"/>
          <w:szCs w:val="24"/>
          <w:lang w:val="en-GB"/>
        </w:rPr>
        <w:t xml:space="preserve"> of IVM-FT</w:t>
      </w:r>
      <w:r w:rsidR="00F01625" w:rsidRPr="00D07339">
        <w:rPr>
          <w:rFonts w:ascii="Times New Roman" w:eastAsia="Arial" w:hAnsi="Times New Roman" w:cs="Times New Roman"/>
          <w:sz w:val="24"/>
          <w:szCs w:val="24"/>
          <w:lang w:val="en-GB"/>
        </w:rPr>
        <w:t>.</w:t>
      </w:r>
    </w:p>
    <w:p w14:paraId="078C8A7B" w14:textId="3D240AE8"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Insufficient intake of carbohydrate</w:t>
      </w:r>
      <w:r w:rsidR="00000B39" w:rsidRPr="00D07339">
        <w:rPr>
          <w:rFonts w:ascii="Times New Roman" w:eastAsia="Arial" w:hAnsi="Times New Roman" w:cs="Times New Roman"/>
          <w:sz w:val="24"/>
          <w:szCs w:val="24"/>
          <w:lang w:val="en-GB"/>
        </w:rPr>
        <w:t>s</w:t>
      </w:r>
      <w:r w:rsidRPr="00D07339">
        <w:rPr>
          <w:rFonts w:ascii="Times New Roman" w:eastAsia="Arial" w:hAnsi="Times New Roman" w:cs="Times New Roman"/>
          <w:sz w:val="24"/>
          <w:szCs w:val="24"/>
          <w:lang w:val="en-GB"/>
        </w:rPr>
        <w:t xml:space="preserve"> lead</w:t>
      </w:r>
      <w:r w:rsidR="00F01625" w:rsidRPr="00D07339">
        <w:rPr>
          <w:rFonts w:ascii="Times New Roman" w:eastAsia="Arial" w:hAnsi="Times New Roman" w:cs="Times New Roman"/>
          <w:sz w:val="24"/>
          <w:szCs w:val="24"/>
          <w:lang w:val="en-GB"/>
        </w:rPr>
        <w:t>s</w:t>
      </w:r>
      <w:r w:rsidRPr="00D07339">
        <w:rPr>
          <w:rFonts w:ascii="Times New Roman" w:eastAsia="Arial" w:hAnsi="Times New Roman" w:cs="Times New Roman"/>
          <w:sz w:val="24"/>
          <w:szCs w:val="24"/>
          <w:lang w:val="en-GB"/>
        </w:rPr>
        <w:t xml:space="preserve"> to carbohydrate store oxidation and then to lipolysis; lipid stores are </w:t>
      </w:r>
      <w:r w:rsidR="00000B39" w:rsidRPr="00D07339">
        <w:rPr>
          <w:rFonts w:ascii="Times New Roman" w:eastAsia="Arial" w:hAnsi="Times New Roman" w:cs="Times New Roman"/>
          <w:sz w:val="24"/>
          <w:szCs w:val="24"/>
          <w:lang w:val="en-GB"/>
        </w:rPr>
        <w:t xml:space="preserve">then </w:t>
      </w:r>
      <w:r w:rsidRPr="00D07339">
        <w:rPr>
          <w:rFonts w:ascii="Times New Roman" w:eastAsia="Arial" w:hAnsi="Times New Roman" w:cs="Times New Roman"/>
          <w:sz w:val="24"/>
          <w:szCs w:val="24"/>
          <w:lang w:val="en-GB"/>
        </w:rPr>
        <w:t xml:space="preserve">used as an alternative source of energy. The lipolysis metabolic pathways lead to ketone body production, which may be responsible for vomiting, especially in younger children. </w:t>
      </w:r>
      <w:r w:rsidR="00000B39" w:rsidRPr="00D07339">
        <w:rPr>
          <w:rFonts w:ascii="Times New Roman" w:eastAsia="Arial" w:hAnsi="Times New Roman" w:cs="Times New Roman"/>
          <w:sz w:val="24"/>
          <w:szCs w:val="24"/>
          <w:lang w:val="en-GB"/>
        </w:rPr>
        <w:t>The g</w:t>
      </w:r>
      <w:r w:rsidRPr="00D07339">
        <w:rPr>
          <w:rFonts w:ascii="Times New Roman" w:eastAsia="Arial" w:hAnsi="Times New Roman" w:cs="Times New Roman"/>
          <w:sz w:val="24"/>
          <w:szCs w:val="24"/>
          <w:lang w:val="en-GB"/>
        </w:rPr>
        <w:t xml:space="preserve">lucose requirements during acute illness are affected by the release of stress hormones, such as cortisol, glucagon and catecholamines leading to insulin resistance and </w:t>
      </w:r>
      <w:r w:rsidR="00EA3AAE"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w:t>
      </w:r>
      <w:r w:rsidR="00F71F0E"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t>During th</w:t>
      </w:r>
      <w:r w:rsidR="00F71F0E" w:rsidRPr="00D07339">
        <w:rPr>
          <w:rFonts w:ascii="Times New Roman" w:eastAsia="Arial" w:hAnsi="Times New Roman" w:cs="Times New Roman"/>
          <w:sz w:val="24"/>
          <w:szCs w:val="24"/>
          <w:lang w:val="en-GB"/>
        </w:rPr>
        <w:t>is</w:t>
      </w:r>
      <w:r w:rsidRPr="00D07339">
        <w:rPr>
          <w:rFonts w:ascii="Times New Roman" w:eastAsia="Arial" w:hAnsi="Times New Roman" w:cs="Times New Roman"/>
          <w:sz w:val="24"/>
          <w:szCs w:val="24"/>
          <w:lang w:val="en-GB"/>
        </w:rPr>
        <w:t xml:space="preserve"> acute phase of critical illness, numerous factors </w:t>
      </w:r>
      <w:r w:rsidR="00F71F0E" w:rsidRPr="00D07339">
        <w:rPr>
          <w:rFonts w:ascii="Times New Roman" w:eastAsia="Arial" w:hAnsi="Times New Roman" w:cs="Times New Roman"/>
          <w:sz w:val="24"/>
          <w:szCs w:val="24"/>
          <w:lang w:val="en-GB"/>
        </w:rPr>
        <w:t xml:space="preserve">can </w:t>
      </w:r>
      <w:r w:rsidRPr="00D07339">
        <w:rPr>
          <w:rFonts w:ascii="Times New Roman" w:eastAsia="Arial" w:hAnsi="Times New Roman" w:cs="Times New Roman"/>
          <w:sz w:val="24"/>
          <w:szCs w:val="24"/>
          <w:lang w:val="en-GB"/>
        </w:rPr>
        <w:t xml:space="preserve">affect glucose homeostasis such as stress-induced insulin resistance, electrolyte disturbances and persistent endogenous gluconeogenesis </w:t>
      </w:r>
      <w:r w:rsidR="00EA3AAE"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{"citationID":"px4dTTgb","properties":{"formattedCitation":"[3]","plainCitation":"[3]","noteIndex":0},"citationItems":[{"id":36031,"uris":["http://zotero.org/users/874466/items/NLFZ2Z2J"],"itemData":{"id":36031,"type":"article-journal","abstract":"PURPOSE OF REVIEW: Nutrition impacts outcome in critically ill children. Based on evolving neuro-endocrine, immunologic and metabolic alterations, three different phases can be proposed during the course of illness. The different phases each demand for tailored macronutrient intakes in critically ill children.\nRECENT FINDINGS: Early enteral nutrition is associated with decreased morbidity and mortality, but several misconceptions concerning the provision of enteral nutrition prevent adequate intake. Parenteral nutrition in critically ill children is associated with potential disadvantages, as nosocomial infections, but evidence on the effect on clinical outcome is lacking. Nutrient restriction early during critical illness might be beneficial for short and long-term outcomes by decreasing the incidence of side-effects and possibly by amplifying the acute catabolic stress response and stimulating autophagy and muscle integrity. Higher caloric and protein intake via the enteral route are associated with higher 60-day survival, asking for a more aggressive feeding approach in subsequent phases.\nSUMMARY: Understanding the stress response to critical illness and its phases is essential for nutritional recommendations in critically ill children. Although parenteral nutrient restriction during the acute phase might be beneficial, inclining requirements ask for a more aggressive approach during the stable and recovery phase to enable recovery, growth and catch-up growth.","container-title":"Current Opinion in Clinical Nutrition and Metabolic Care","DOI":"10.1097/MCO.0000000000000268","ISSN":"1473-6519","issue":"3","journalAbbreviation":"Curr Opin Clin Nutr Metab Care","language":"eng","note":"PMID: 26963579","page":"226-233","source":"PubMed","title":"Nutritional support and the role of the stress response in critically ill children","volume":"19","author":[{"family":"Joosten","given":"Koen F. M."},{"family":"Kerklaan","given":"Dorian"},{"family":"Verbruggen","given":"Sascha C. A. T."}],"issued":{"date-parts":[["2016",5]]}}}],"schema":"https://github.com/citation-style-language/schema/raw/master/csl-citation.json"} </w:instrText>
      </w:r>
      <w:r w:rsidR="00EA3AAE"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[3]</w:t>
      </w:r>
      <w:r w:rsidR="00EA3AAE"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w:t>
      </w:r>
    </w:p>
    <w:p w14:paraId="078C8A7D" w14:textId="5CAB0D91"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Over-delive</w:t>
      </w:r>
      <w:r w:rsidR="00AE0833" w:rsidRPr="00D07339">
        <w:rPr>
          <w:rFonts w:ascii="Times New Roman" w:eastAsia="Arial" w:hAnsi="Times New Roman" w:cs="Times New Roman"/>
          <w:sz w:val="24"/>
          <w:szCs w:val="24"/>
          <w:lang w:val="en-GB"/>
        </w:rPr>
        <w:t>ry of</w:t>
      </w:r>
      <w:r w:rsidRPr="00D07339">
        <w:rPr>
          <w:rFonts w:ascii="Times New Roman" w:eastAsia="Arial" w:hAnsi="Times New Roman" w:cs="Times New Roman"/>
          <w:sz w:val="24"/>
          <w:szCs w:val="24"/>
          <w:lang w:val="en-GB"/>
        </w:rPr>
        <w:t xml:space="preserve"> glucose, particularly during critical illness, may increase lipogenesis leading to fat tissue accumulation and hepatic steatosis and </w:t>
      </w:r>
      <w:r w:rsidR="00AE0833" w:rsidRPr="00D07339">
        <w:rPr>
          <w:rFonts w:ascii="Times New Roman" w:eastAsia="Arial" w:hAnsi="Times New Roman" w:cs="Times New Roman"/>
          <w:sz w:val="24"/>
          <w:szCs w:val="24"/>
          <w:lang w:val="en-GB"/>
        </w:rPr>
        <w:t xml:space="preserve">results in hypercapnia </w:t>
      </w:r>
      <w:r w:rsidRPr="00D07339">
        <w:rPr>
          <w:rFonts w:ascii="Times New Roman" w:eastAsia="Arial" w:hAnsi="Times New Roman" w:cs="Times New Roman"/>
          <w:sz w:val="24"/>
          <w:szCs w:val="24"/>
          <w:lang w:val="en-GB"/>
        </w:rPr>
        <w:t>due to lipogenesis-related endogenous carbon dioxide production</w:t>
      </w:r>
      <w:r w:rsidR="009F3ABD" w:rsidRPr="00D07339">
        <w:rPr>
          <w:rFonts w:ascii="Times New Roman" w:eastAsia="Arial" w:hAnsi="Times New Roman" w:cs="Times New Roman"/>
          <w:sz w:val="24"/>
          <w:szCs w:val="24"/>
          <w:lang w:val="en-GB"/>
        </w:rPr>
        <w:t xml:space="preserve"> </w:t>
      </w:r>
      <w:r w:rsidR="009F3ABD"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{"citationID":"dPBGjEWf","properties":{"formattedCitation":"[4, 5]","plainCitation":"[4, 5]","noteIndex":0},"citationItems":[{"id":36033,"uris":["http://zotero.org/users/874466/items/EUUH7ABC"],"itemData":{"id":36033,"type":"article-journal","abstract":"AIM OF STUDY: Energy needs in infants are decreased after surgery because of growth inhibition (resulting from catabolic stress metabolism), decreased insensible losses, and inactivity. Using standardized formulas that account for growth, activity, and insensible losses during this stress period can lead to overfeeding in excess of 200% of the actual measured requirement. Overfeeding during this acute injury period can result in increased CO2 production from lipogenesis. This study determined the effects of a reduced rate of mixed caloric repletion on infant energy use during the early postoperative period.\nMETHODS: C-reactive protein (CRP), oxygen consumption (VO2), carbon dioxide production (VCO2), measured energy expenditure (MEE), and total urinary nitrogen (TUN) were measured serially in seven infants (average age, 78 days) during the first 72 hours after abdominal or thoracic surgery. Nonprotein respiratory quotient (RQnp), and values for oxidation of carbohydrate (Ce) and fat (Fe) were calculated. Injury severity was stratified based on serum CRP concentrations of &gt; or = 6.0 mg/dL (high stress) or &lt; 6.0 mg/dL (low stress). Recovery from acute stress was analyzed by comparing studies in which CRP had decreased to &lt; or = 2.0 mg/dL (resolving stress group) with those in which CRP values were greater than 2.0 mg/dL (acute stress group).\nRESULTS: Average total caloric intake (64.56 +/- 18.51 kcal/kg/d; approximately 50% of predicted energy requirement) exceeded average MEE (42.90 +/- 9.98 kcal/kg/d) by approximately 50%. Average TUN was 0.18 +/- 0.07 g/kg/d (high stress 0.2 +/- 0.05 versus low stress 0.16 +/- 0.09 g/kg/d). Average RQnp was 1.05 +/- 0.13 and average Ce was 37.28 +/- 16.86 kcal/kg/d. The average calculated Fe was 0.0 +/- 12.27 kcal/kg/d, reflecting approximately equal amounts of fat oxidized compared with fat generated from excess glucose (lipogenesis). When individual studies were analyzed at a CRP cutpoint of 2.0 mg/dL, overfeeding (RQ &gt; 1.0) was significantly less likely in the resolving (2/6 studies, 33.4%) versus acute stress (9/13 studies, 69.2%, Z test P &lt; .001) group. Five of seven (5/7) patients (9/19 individual studies) had negative Fe values (average -9.89 +/- 10.02) reflecting net lipogenesis. The RQnp for these nine studies was 1.14 +/- 0.11 versus 0.97 +/- 0.09 for the remaining 10, and this difference was significant (P &lt; .01). A significant correlation existed between carbohydrate intake and VCO2 (Pearson r = .6951, P &lt; .01). In addition, there was a good correlation between carbohydrate intake and VCO2 (Pearson r = .6591, P &lt; .01). The coefficient of variation for MEE was 8.0% (low stress) versus 30.2% (high stress).\nCONCLUSION: Lipogenesis with increased CO2 production is substantial, even at reduced caloric delivery rates that exceeded MEE by only 50%, during the early postoperative acute metabolic stress period in infants. These data suggest that caloric requirements during stress are likely equal to or only minimally in excess of actual MEE. Intersubject variability, especially in more severely stressed infants, underscores the importance of serial measurements of energy expenditure to enable precise caloric delivery and avoid overfeeding. In the absence of calorimetric measurement, the data suggest that PBMR (predicted basal metabolic rate) should be used to estimate caloric delivery until CRP values are &lt; or = 2.0 mg/dL.","container-title":"Journal of Pediatric Surgery","DOI":"10.1016/0022-3468(95)90327-5","ISSN":"0022-3468","issue":"7","journalAbbreviation":"J Pediatr Surg","language":"eng","note":"PMID: 7472959","page":"988-992; discussion 992-993","source":"PubMed","title":"Early postoperative alterations in infant energy use increase the risk of overfeeding","volume":"30","author":[{"family":"Letton","given":"R. W."},{"family":"Chwals","given":"W. J."},{"family":"Jamie","given":"A."},{"family":"Charles","given":"B."}],"issued":{"date-parts":[["1995",7]]}},"label":"page"},{"id":36035,"uris":["http://zotero.org/users/874466/items/UXD2ZQE3"],"itemData":{"id":36035,"type":"article-journal","abstract":"OBJECTIVE: To compare the effects of isocaloric, isonitrogenous carbohydrate nutrition vs. lipid-based total parenteral nutrition on respiratory gas exchange and intermediary metabolism in critically ill patients.\nDESIGN: Prospective, clinical trial.\nSETTING: Surgical intensive care unit in a major university hospital in Switzerland.\nPATIENTS: Sixteen patients admitted to the surgical intensive care unit.\nINTERVENTIONS: Patients were randomized to receive isocaloric isonitrogenous total parenteral nutrition (TPN) containing 75% (TPN-glucose) or 15% (TPN-lipid) glucose over a 5-day period.\nMEASUREMENTS AND MAIN RESULTS: Indirect glucose metabolism was assessed from plasma carbon-13 (13C)-labeled glucose and 13C-labeled CO2 production during a tracer infusion of uniformly 13C-labeled glucose, and de novo lipogenesis was estimated from the incorporation of 13C into palmitate-very low density lipoproteins (VLDL) during a tracer infusion of 1-(13)C acetate. Compared with TPN-lipid, TPN-glucose increased plasma glucose more (by 26% vs. 7%, p &lt; .05), increased insulin more (by 284% vs. 40%, p &lt; .01), and increased total CO2 more (by 15% vs. 0%, p &lt; .01). Both nutrient mixtures failed to inhibit endogenous glucose production and net protein oxidation, suggesting absence of suppression of gluconeogenesis. Fractional de novo lipogenesis was markedly increased by TPN-glucose to 17.4% vs. 3.3% with TPN lipids.\nCONCLUSIONS: The rate of glucose administration commonly used during TPN of critically ill patients does not suppress endogenous glucose production or net protein loss, but markedly stimulates de novo lipogenesis and CO2 production. Increasing the proportion of fat may be beneficial, provided that lipid emulsion has no adverse effects.","container-title":"Critical Care Medicine","DOI":"10.1097/00003246-199805000-00018","ISSN":"0090-3493","issue":"5","journalAbbreviation":"Crit Care Med","language":"eng","note":"PMID: 9590315","page":"860-867","source":"PubMed","title":"Effects of isoenergetic glucose-based or lipid-based parenteral nutrition on glucose metabolism, de novo lipogenesis, and respiratory gas exchanges in critically ill patients","volume":"26","author":[{"family":"Tappy","given":"L."},{"family":"Schwarz","given":"J. M."},{"family":"Schneiter","given":"P."},{"family":"Cayeux","given":"C."},{"family":"Revelly","given":"J. P."},{"family":"Fagerquist","given":"C. K."},{"family":"Jéquier","given":"E."},{"family":"Chioléro","given":"R."}],"issued":{"date-parts":[["1998",5]]}},"label":"page"}],"schema":"https://github.com/citation-style-language/schema/raw/master/csl-citation.json"} </w:instrText>
      </w:r>
      <w:r w:rsidR="009F3ABD"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[4, 5]</w:t>
      </w:r>
      <w:r w:rsidR="009F3ABD"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w:t>
      </w:r>
      <w:r w:rsidR="00AE0833" w:rsidRPr="00D07339">
        <w:rPr>
          <w:rFonts w:ascii="Times New Roman" w:eastAsia="Arial" w:hAnsi="Times New Roman" w:cs="Times New Roman"/>
          <w:sz w:val="24"/>
          <w:szCs w:val="24"/>
          <w:lang w:val="en-GB"/>
        </w:rPr>
        <w:t xml:space="preserve">Consequently, </w:t>
      </w:r>
      <w:r w:rsidRPr="00D07339">
        <w:rPr>
          <w:rFonts w:ascii="Times New Roman" w:eastAsia="Arial" w:hAnsi="Times New Roman" w:cs="Times New Roman"/>
          <w:sz w:val="24"/>
          <w:szCs w:val="24"/>
          <w:lang w:val="en-GB"/>
        </w:rPr>
        <w:t xml:space="preserve">close glucose monitoring in critically ill children is </w:t>
      </w:r>
      <w:r w:rsidR="00AE0833" w:rsidRPr="00D07339">
        <w:rPr>
          <w:rFonts w:ascii="Times New Roman" w:eastAsia="Arial" w:hAnsi="Times New Roman" w:cs="Times New Roman"/>
          <w:sz w:val="24"/>
          <w:szCs w:val="24"/>
          <w:lang w:val="en-GB"/>
        </w:rPr>
        <w:t xml:space="preserve">essential </w:t>
      </w:r>
      <w:r w:rsidRPr="00D07339">
        <w:rPr>
          <w:rFonts w:ascii="Times New Roman" w:eastAsia="Arial" w:hAnsi="Times New Roman" w:cs="Times New Roman"/>
          <w:sz w:val="24"/>
          <w:szCs w:val="24"/>
          <w:lang w:val="en-GB"/>
        </w:rPr>
        <w:t xml:space="preserve">to prevent hypo- and </w:t>
      </w:r>
      <w:r w:rsidR="009F3ABD"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 xml:space="preserve"> </w:t>
      </w:r>
      <w:r w:rsidR="00970ACC"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{"citationID":"iGsYDK7r","properties":{"formattedCitation":"[6]","plainCitation":"[6]","noteIndex":0},"citationItems":[{"id":9416,"uris":["http://zotero.org/users/874466/items/P8DSM2DN"],"itemData":{"id":9416,"type":"article-journal","abstract":"Nutritional support is considered essential for the outcome of paediatric critical illness. There is a lack of methodologically sound trials to provide evidence-based guidelines leading to diverse practices in PICUs worldwide. Acknowledging these limitations, we aimed to summarize the available literature and provide practical guidance for the paediatric critical care clinicians around important clinical questions many of which are not covered by previous guidelines.","container-title":"Intensive Care Medicine","DOI":"10.1007/s00134-019-05922-5","ISSN":"1432-1238","issue":"46","journalAbbreviation":"Intensive Care Med","language":"en","page":"411-425","source":"Springer Link","title":"Nutritional support for children during critical illness: European Society of Pediatric and Neonatal Intensive Care (ESPNIC) metabolism, endocrine and nutrition section position statement and clinical recommendations","title-short":"Nutritional support for children during critical illness","volume":"46","author":[{"family":"Tume","given":"Lyvonne N."},{"family":"Valla","given":"Frederic V."},{"family":"Joosten","given":"Koen"},{"family":"Chaparro","given":"Corinne Jotterand"},{"family":"Latten","given":"Lynne"},{"family":"Marino","given":"Luise V."},{"family":"Macleod","given":"Isobel"},{"family":"Moullet","given":"Clémence"},{"family":"Pathan","given":"Nazima"},{"family":"Rooze","given":"Shancy"},{"family":"Rosmalen","given":"Joost","non-dropping-particle":"van"},{"family":"Verbruggen","given":"Sascha C. A. T."}],"issued":{"date-parts":[["2020",2,20]]}}}],"schema":"https://github.com/citation-style-language/schema/raw/master/csl-citation.json"} </w:instrText>
      </w:r>
      <w:r w:rsidR="00970ACC"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[6]</w:t>
      </w:r>
      <w:r w:rsidR="00970ACC"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w:t>
      </w:r>
    </w:p>
    <w:p w14:paraId="078C8A7E" w14:textId="167149E7"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lastRenderedPageBreak/>
        <w:t xml:space="preserve">In children and young people in hospital with IV-MFT, the </w:t>
      </w:r>
      <w:r w:rsidR="004E2DB4" w:rsidRPr="00D07339">
        <w:rPr>
          <w:rFonts w:ascii="Times New Roman" w:eastAsia="Arial" w:hAnsi="Times New Roman" w:cs="Times New Roman"/>
          <w:sz w:val="24"/>
          <w:szCs w:val="24"/>
          <w:lang w:val="en-GB"/>
        </w:rPr>
        <w:t xml:space="preserve">UK </w:t>
      </w:r>
      <w:r w:rsidRPr="00D07339">
        <w:rPr>
          <w:rFonts w:ascii="Times New Roman" w:eastAsia="Arial" w:hAnsi="Times New Roman" w:cs="Times New Roman"/>
          <w:sz w:val="24"/>
          <w:szCs w:val="24"/>
          <w:lang w:val="en-GB"/>
        </w:rPr>
        <w:t xml:space="preserve">NICE guidelines recommend that blood glucose should be measured at least every 24 hours, and more frequently in children with </w:t>
      </w:r>
      <w:r w:rsidR="004E2DB4" w:rsidRPr="00D07339">
        <w:rPr>
          <w:rFonts w:ascii="Times New Roman" w:eastAsia="Arial" w:hAnsi="Times New Roman" w:cs="Times New Roman"/>
          <w:sz w:val="24"/>
          <w:szCs w:val="24"/>
          <w:lang w:val="en-GB"/>
        </w:rPr>
        <w:t xml:space="preserve">a </w:t>
      </w:r>
      <w:r w:rsidRPr="00D07339">
        <w:rPr>
          <w:rFonts w:ascii="Times New Roman" w:eastAsia="Arial" w:hAnsi="Times New Roman" w:cs="Times New Roman"/>
          <w:sz w:val="24"/>
          <w:szCs w:val="24"/>
          <w:lang w:val="en-GB"/>
        </w:rPr>
        <w:t xml:space="preserve">risk of </w:t>
      </w:r>
      <w:r w:rsidR="00F84070" w:rsidRPr="00D07339">
        <w:rPr>
          <w:rFonts w:ascii="Times New Roman" w:eastAsia="Arial" w:hAnsi="Times New Roman" w:cs="Times New Roman"/>
          <w:sz w:val="24"/>
          <w:szCs w:val="24"/>
          <w:lang w:val="en-GB"/>
        </w:rPr>
        <w:t xml:space="preserve">hypoglycaemia </w:t>
      </w:r>
      <w:r w:rsidR="00F84070"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{"citationID":"8ONKkCtF","properties":{"formattedCitation":"[7, 8]","plainCitation":"[7, 8]","noteIndex":0},"citationItems":[{"id":36037,"uris":["http://zotero.org/users/874466/items/SPBE7WIA"],"itemData":{"id":36037,"type":"book","abstract":"This guideline contains recommendations about general principles for managing intravenous (IV) fluids in children and young people under 16 years, and applies to a range of conditions and different settings. It does not include recommendations relating to specific conditions.\n \nRecommendations on the management of intravenous fluids in adults (from their 16th birthday) in hospital settings can be found in NICE clinical guideline 174 IV fluids in adults. Healthcare professionals should use their clinical judgement when managing young people transitioning between paediatric and adult services and paediatric and adult healthcare teams should work together to provide assessment and services to young people who need IV fluids. Diagnosis and management should be reviewed throughout the transition process, and there should be clarity about who is the lead clinician to ensure continuity of care.","call-number":"NBK338141","collection-title":"National Institute for Health and Care Excellence: Clinical Guidelines","event-place":"London","language":"eng","note":"PMID: 26741016","publisher":"National Institute for Health and Care Excellence (UK)","publisher-place":"London","source":"PubMed","title":"IV Fluids in Children: Intravenous Fluid Therapy in Children and Young People in Hospital","title-short":"IV Fluids in Children","URL":"http://www.ncbi.nlm.nih.gov/books/NBK338141/","author":[{"literal":"National Clinical Guideline Centre"}],"accessed":{"date-parts":[["2022",4,9]]},"issued":{"date-parts":[["2015"]]}},"label":"page"},{"id":36039,"uris":["http://zotero.org/users/874466/items/LPE2G24D"],"itemData":{"id":36039,"type":"webpage","abstract":"This guideline covers general principles for managing intravenous (IV) fluids for children and young people under 16 years, including assessing fluid and","language":"eng","note":"publisher: NICE","title":"Overview | Intravenous fluid therapy in children and young people in hospital | Guidance | NICE","URL":"https://www.nice.org.uk/guidance/ng29","accessed":{"date-parts":[["2022",4,9]]}},"label":"page"}],"schema":"https://github.com/citation-style-language/schema/raw/master/csl-citation.json"} </w:instrText>
      </w:r>
      <w:r w:rsidR="00F84070"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[7, 8]</w:t>
      </w:r>
      <w:r w:rsidR="00F84070"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They also recommend the use of isotonic </w:t>
      </w:r>
      <w:r w:rsidR="004E2DB4" w:rsidRPr="00D07339">
        <w:rPr>
          <w:rFonts w:ascii="Times New Roman" w:eastAsia="Arial" w:hAnsi="Times New Roman" w:cs="Times New Roman"/>
          <w:sz w:val="24"/>
          <w:szCs w:val="24"/>
          <w:lang w:val="en-GB"/>
        </w:rPr>
        <w:t>IV fluid</w:t>
      </w:r>
      <w:r w:rsidR="00AC093C"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t xml:space="preserve">solution with 5-10% </w:t>
      </w:r>
      <w:r w:rsidR="00AC093C" w:rsidRPr="00D07339">
        <w:rPr>
          <w:rFonts w:ascii="Times New Roman" w:eastAsia="Arial" w:hAnsi="Times New Roman" w:cs="Times New Roman"/>
          <w:sz w:val="24"/>
          <w:szCs w:val="24"/>
          <w:lang w:val="en-GB"/>
        </w:rPr>
        <w:t xml:space="preserve">added </w:t>
      </w:r>
      <w:r w:rsidRPr="00D07339">
        <w:rPr>
          <w:rFonts w:ascii="Times New Roman" w:eastAsia="Arial" w:hAnsi="Times New Roman" w:cs="Times New Roman"/>
          <w:sz w:val="24"/>
          <w:szCs w:val="24"/>
          <w:lang w:val="en-GB"/>
        </w:rPr>
        <w:t xml:space="preserve">glucose in term neonates aged 8 days or over, while highlighting that this glucose concentration may be too low for younger term neonates (NICE Guidelines 2020). </w:t>
      </w:r>
    </w:p>
    <w:p w14:paraId="49EEF647" w14:textId="5F41C13D" w:rsidR="005E7544"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The question of tight glucose control using prophylactic insulin infusion has been debated in different populations including critically ill adults, </w:t>
      </w:r>
      <w:r w:rsidR="00713175" w:rsidRPr="00D07339">
        <w:rPr>
          <w:rFonts w:ascii="Times New Roman" w:eastAsia="Arial" w:hAnsi="Times New Roman" w:cs="Times New Roman"/>
          <w:sz w:val="24"/>
          <w:szCs w:val="24"/>
          <w:lang w:val="en-GB"/>
        </w:rPr>
        <w:t>children,</w:t>
      </w:r>
      <w:r w:rsidRPr="00D07339">
        <w:rPr>
          <w:rFonts w:ascii="Times New Roman" w:eastAsia="Arial" w:hAnsi="Times New Roman" w:cs="Times New Roman"/>
          <w:sz w:val="24"/>
          <w:szCs w:val="24"/>
          <w:lang w:val="en-GB"/>
        </w:rPr>
        <w:t xml:space="preserve"> and very-low birth weight infants. RCTs </w:t>
      </w:r>
      <w:r w:rsidR="00AC093C" w:rsidRPr="00D07339">
        <w:rPr>
          <w:rFonts w:ascii="Times New Roman" w:eastAsia="Arial" w:hAnsi="Times New Roman" w:cs="Times New Roman"/>
          <w:sz w:val="24"/>
          <w:szCs w:val="24"/>
          <w:lang w:val="en-GB"/>
        </w:rPr>
        <w:t xml:space="preserve">have not </w:t>
      </w:r>
      <w:r w:rsidRPr="00D07339">
        <w:rPr>
          <w:rFonts w:ascii="Times New Roman" w:eastAsia="Arial" w:hAnsi="Times New Roman" w:cs="Times New Roman"/>
          <w:sz w:val="24"/>
          <w:szCs w:val="24"/>
          <w:lang w:val="en-GB"/>
        </w:rPr>
        <w:t>show</w:t>
      </w:r>
      <w:r w:rsidR="00AC093C" w:rsidRPr="00D07339">
        <w:rPr>
          <w:rFonts w:ascii="Times New Roman" w:eastAsia="Arial" w:hAnsi="Times New Roman" w:cs="Times New Roman"/>
          <w:sz w:val="24"/>
          <w:szCs w:val="24"/>
          <w:lang w:val="en-GB"/>
        </w:rPr>
        <w:t>n any</w:t>
      </w:r>
      <w:r w:rsidRPr="00D07339">
        <w:rPr>
          <w:rFonts w:ascii="Times New Roman" w:eastAsia="Arial" w:hAnsi="Times New Roman" w:cs="Times New Roman"/>
          <w:sz w:val="24"/>
          <w:szCs w:val="24"/>
          <w:lang w:val="en-GB"/>
        </w:rPr>
        <w:t xml:space="preserve"> clear benefits </w:t>
      </w:r>
      <w:r w:rsidR="00AC093C" w:rsidRPr="00D07339">
        <w:rPr>
          <w:rFonts w:ascii="Times New Roman" w:eastAsia="Arial" w:hAnsi="Times New Roman" w:cs="Times New Roman"/>
          <w:sz w:val="24"/>
          <w:szCs w:val="24"/>
          <w:lang w:val="en-GB"/>
        </w:rPr>
        <w:t xml:space="preserve">in </w:t>
      </w:r>
      <w:r w:rsidR="00713175" w:rsidRPr="00D07339">
        <w:rPr>
          <w:rFonts w:ascii="Times New Roman" w:eastAsia="Arial" w:hAnsi="Times New Roman" w:cs="Times New Roman"/>
          <w:sz w:val="24"/>
          <w:szCs w:val="24"/>
          <w:lang w:val="en-GB"/>
        </w:rPr>
        <w:t>children,</w:t>
      </w:r>
      <w:r w:rsidR="00AC093C" w:rsidRPr="00D07339">
        <w:rPr>
          <w:rFonts w:ascii="Times New Roman" w:eastAsia="Arial" w:hAnsi="Times New Roman" w:cs="Times New Roman"/>
          <w:sz w:val="24"/>
          <w:szCs w:val="24"/>
          <w:lang w:val="en-GB"/>
        </w:rPr>
        <w:t xml:space="preserve"> with a </w:t>
      </w:r>
      <w:r w:rsidRPr="00D07339">
        <w:rPr>
          <w:rFonts w:ascii="Times New Roman" w:eastAsia="Arial" w:hAnsi="Times New Roman" w:cs="Times New Roman"/>
          <w:sz w:val="24"/>
          <w:szCs w:val="24"/>
          <w:lang w:val="en-GB"/>
        </w:rPr>
        <w:t xml:space="preserve">higher incidence of </w:t>
      </w:r>
      <w:r w:rsidR="00713175" w:rsidRPr="00D07339">
        <w:rPr>
          <w:rFonts w:ascii="Times New Roman" w:eastAsia="Arial" w:hAnsi="Times New Roman" w:cs="Times New Roman"/>
          <w:sz w:val="24"/>
          <w:szCs w:val="24"/>
          <w:lang w:val="en-GB"/>
        </w:rPr>
        <w:t>hypoglycaemia</w:t>
      </w:r>
      <w:r w:rsidRPr="00D07339">
        <w:rPr>
          <w:rFonts w:ascii="Times New Roman" w:eastAsia="Arial" w:hAnsi="Times New Roman" w:cs="Times New Roman"/>
          <w:sz w:val="24"/>
          <w:szCs w:val="24"/>
          <w:lang w:val="en-GB"/>
        </w:rPr>
        <w:t xml:space="preserve"> </w:t>
      </w:r>
      <w:r w:rsidR="00713175"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{"citationID":"Zwtc6nQT","properties":{"formattedCitation":"[9]","plainCitation":"[9]","noteIndex":0},"citationItems":[{"id":36041,"uris":["http://zotero.org/users/874466/items/4AYAJEVU"],"itemData":{"id":36041,"type":"article-journal","abstract":"Background\nHyperglycemia is prevalent in patients in the pediatric intensive care unit. The purpose of this study was to describe the benefits and risks of tight glucose control (TGC) in critically ill children.\n\nMethods\nA systemic review and meta-analysis of the literature was carried out on randomized controlled trials of TGC in critically ill children admitted to the pediatric intensive care unit. The databases searched were Medline, Embase, and CENTRAL databases until May 1, 2017. Paired reviewers independently screened citations, assessed risk of bias of included studies, and extracted data. A random-effects model was used to report all outcomes. The Grading of Recommendations Assessment, Development and Evaluation system was used to quantify absolute effects and quality of evidence. The primary outcome was hospital mortality. The secondary outcomes were hypoglycemia (any, severe), sepsis, new need for dialysis, and seizures.\n\nResults\nA total of 4030 patients were included from six studies. All six studies were rated as at low risk of bias. Our meta-analysis showed that TGC did not result in a decrease in risk of hospital mortality (odds ratio (OR), 0.95; 95% confidence interval (CI), 0.62–1.45; I2 = 40%; moderate quality), sepsis (OR, 0.82; 95% CI, 0.63–1.08), or seizures (OR, 0.98; 95% CI, 0.59–1.63). TGC was associated with a decrease in new need for dialysis (OR, 0.63; 95% CI, 0.45–0.86). However, TGC was associated with a significant increase in any hypoglycemia (OR, 4.39; 95% CI, 2.39–8.06) and severe hypoglycemia (OR, 4.11; 95% CI, 2.67–6.32).\n\nConclusions\nAmong critically ill children with hyperglycemia, TGC does not result in a decrease in hospital mortality, but appears to reduce a new need for dialysis. However, TGC is associated with higher incidence of hypoglycemia.\n\nSystematic review registration\nPROSPERO registration number CRD42017074039.\n\nElectronic supplementary material\nThe online version of this article (10.1186/s13054-018-1976-2) contains supplementary material, which is available to authorized users.","container-title":"Critical Care","DOI":"10.1186/s13054-018-1976-2","ISSN":"1364-8535","journalAbbreviation":"Crit Care","note":"PMID: 29501063\nPMCID: PMC5835325","page":"57","source":"PubMed Central","title":"Tight glycemic control in critically ill pediatric patients: a systematic review and meta-analysis","title-short":"Tight glycemic control in critically ill pediatric patients","volume":"22","author":[{"family":"Chen","given":"Lvlin"},{"family":"Li","given":"Tiangui"},{"family":"Fang","given":"Fang"},{"family":"Zhang","given":"Yu"},{"family":"Faramand","given":"Andrew"}],"issued":{"date-parts":[["2018",3,4]]}}}],"schema":"https://github.com/citation-style-language/schema/raw/master/csl-citation.json"} </w:instrText>
      </w:r>
      <w:r w:rsidR="00713175"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[9]</w:t>
      </w:r>
      <w:r w:rsidR="00713175"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and higher risk of mortality in very-low birth weight infants </w:t>
      </w:r>
      <w:r w:rsidR="005E7544"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{"citationID":"T6f2yp2Z","properties":{"formattedCitation":"[10]","plainCitation":"[10]","noteIndex":0},"citationItems":[{"id":36044,"uris":["http://zotero.org/users/874466/items/77Y82YM3"],"itemData":{"id":36044,"type":"article-journal","abstract":"BACKGROUND: Studies involving adults and children being treated in intensive care units indicate that insulin therapy and glucose control may influence survival. Hyperglycemia in very-low-birth-weight infants is also associated with morbidity and mortality. This international randomized, controlled trial aimed to determine whether early insulin replacement reduced hyperglycemia and affected outcomes in such neonates.\nMETHODS: In this multicenter trial, we assigned 195 infants to continuous infusion of insulin at a dose of 0.05 U per kilogram of body weight per hour with 20% dextrose support and 194 to standard neonatal care on days 1 to 7. The efficacy of glucose control was assessed by continuous glucose monitoring. The primary outcome was mortality at the expected date of delivery. The study was discontinued early because of concerns about futility with regard to the primary outcome and potential harm.\nRESULTS: As compared with infants in the control group, infants in the early-insulin group had lower mean (+/-SD) glucose levels (6.2+/-1.4 vs. 6.7+/-2.2 mmol per liter [112+/-25 vs. 121+/-40 mg per deciliter], P=0.007). Fewer infants in the early-insulin group had hyperglycemia for more than 10% of the first week of life (21% vs. 33%, P=0.008). The early-insulin group had significantly more carbohydrate infused (51+/-13 vs. 43+/-10 kcal per kilogram per day, P&lt;0.001) and less weight loss in the first week (standard-deviation score for change in weight, -0.55+/-0.52 vs. -0.70+/-0.47; P=0.006). More infants in the early-insulin group had episodes of hypoglycemia (defined as a blood glucose level of &lt;2.6 mmol per liter [47 mg per deciliter] for &gt;1 hour) (29% in the early-insulin group vs. 17% in the control group, P=0.005), and the increase in hypoglycemia was significant in infants with birth weights of more than 1 kg. There were no differences in the intention-to-treat analyses for the primary outcome (mortality at the expected date of delivery) and the secondary outcome (morbidity). In the intention-to-treat analysis, mortality at 28 days was higher in the early-insulin group than in the control group (P=0.04).\nCONCLUSIONS: Early insulin therapy offers little clinical benefit in very-low-birth-weight infants. It reduces hyperglycemia but may increase hypoglycemia (Current Controlled Trials number, ISRCTN78428828.)","container-title":"The New England Journal of Medicine","DOI":"10.1056/NEJMoa0803725","ISSN":"1533-4406","issue":"18","journalAbbreviation":"N Engl J Med","language":"eng","note":"PMID: 18971490","page":"1873-1884","source":"PubMed","title":"Early insulin therapy in very-low-birth-weight infants","volume":"359","author":[{"family":"Beardsall","given":"Kathryn"},{"family":"Vanhaesebrouck","given":"Sophie"},{"family":"Ogilvy-Stuart","given":"Amanda L."},{"family":"Vanhole","given":"Christine"},{"family":"Palmer","given":"Christopher R."},{"family":"Weissenbruch","given":"Mirjam","non-dropping-particle":"van"},{"family":"Midgley","given":"Paula"},{"family":"Thompson","given":"Michael"},{"family":"Thio","given":"Marta"},{"family":"Cornette","given":"Luc"},{"family":"Ossuetta","given":"Iviano"},{"family":"Iglesias","given":"Isabel"},{"family":"Theyskens","given":"Claire"},{"family":"Jong","given":"Miranda","non-dropping-particle":"de"},{"family":"Ahluwalia","given":"Jag S."},{"family":"Zegher","given":"Francis","non-dropping-particle":"de"},{"family":"Dunger","given":"David B."}],"issued":{"date-parts":[["2008",10,30]]}}}],"schema":"https://github.com/citation-style-language/schema/raw/master/csl-citation.json"} </w:instrText>
      </w:r>
      <w:r w:rsidR="005E7544"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[10]</w:t>
      </w:r>
      <w:r w:rsidR="005E7544"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w:t>
      </w:r>
    </w:p>
    <w:p w14:paraId="078C8A81" w14:textId="514306A0" w:rsidR="000D4BB6" w:rsidRPr="00D07339" w:rsidRDefault="00BB3A81" w:rsidP="00B70F75">
      <w:pPr>
        <w:pStyle w:val="Titre1"/>
      </w:pPr>
      <w:r w:rsidRPr="00D07339">
        <w:t xml:space="preserve">IV-MFT survey </w:t>
      </w:r>
      <w:r w:rsidR="00AC093C" w:rsidRPr="00D07339">
        <w:t xml:space="preserve">of current practice </w:t>
      </w:r>
    </w:p>
    <w:p w14:paraId="078C8A83" w14:textId="0DEBA09B" w:rsidR="000D4BB6" w:rsidRPr="00D07339" w:rsidRDefault="0051482E"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A</w:t>
      </w:r>
      <w:r w:rsidR="00BB3A81" w:rsidRPr="00D07339">
        <w:rPr>
          <w:rFonts w:ascii="Times New Roman" w:eastAsia="Arial" w:hAnsi="Times New Roman" w:cs="Times New Roman"/>
          <w:sz w:val="24"/>
          <w:szCs w:val="24"/>
          <w:lang w:val="en-GB"/>
        </w:rPr>
        <w:t xml:space="preserve"> recent </w:t>
      </w:r>
      <w:r w:rsidRPr="00D07339">
        <w:rPr>
          <w:rFonts w:ascii="Times New Roman" w:eastAsia="Arial" w:hAnsi="Times New Roman" w:cs="Times New Roman"/>
          <w:sz w:val="24"/>
          <w:szCs w:val="24"/>
          <w:lang w:val="en-GB"/>
        </w:rPr>
        <w:t xml:space="preserve">international </w:t>
      </w:r>
      <w:r w:rsidR="00BB3A81" w:rsidRPr="00D07339">
        <w:rPr>
          <w:rFonts w:ascii="Times New Roman" w:eastAsia="Arial" w:hAnsi="Times New Roman" w:cs="Times New Roman"/>
          <w:sz w:val="24"/>
          <w:szCs w:val="24"/>
          <w:lang w:val="en-GB"/>
        </w:rPr>
        <w:t>survey on IV-MFT practices in acute and critically ill children</w:t>
      </w:r>
      <w:r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fldChar w:fldCharType="begin"/>
      </w:r>
      <w:r w:rsidRPr="00D07339">
        <w:rPr>
          <w:rFonts w:ascii="Times New Roman" w:eastAsia="Arial" w:hAnsi="Times New Roman" w:cs="Times New Roman"/>
          <w:sz w:val="24"/>
          <w:szCs w:val="24"/>
          <w:lang w:val="en-GB"/>
        </w:rPr>
        <w:instrText xml:space="preserve"> ADDIN ZOTERO_ITEM CSL_CITATION {"citationID":"xcH5GIVW","properties":{"formattedCitation":"[11]","plainCitation":"[11]","noteIndex":0},"citationItems":[{"id":36253,"uris":["http://zotero.org/users/874466/items/B5PBBPKB"],"itemData":{"id":36253,"type":"article-journal","abstract":"The ideal fluid for intravenous maintenance fluid therapy (IV-MFT) in acutely and critically ill children is controversial, and evidence-based clinical practice guidelines are lacking and current prescribing practices remain unknown. We aimed to describe the current practices in prescribing IV-MFT in the context of acute and critically ill children with regard to the amount, tonicity, composition, use of balanced fluids, and prescribing strategies in various clinical contexts. A cross-sectional electronic 27-item survey was emailed in April-May 2021 to pediatric critical care physicians across European and Middle East countries. The survey instrument was developed by an expert multi-professional panel within the European Society of Pediatric and Neonatal Intensive Care (ESPNIC). A total of 154 respondents from 35 European and Middle East countries participated (response rate 64%). Respondents were physicians in charge of acute or critically ill children. All respondents indicated they routinely use a predefined formula to prescribe the amount of IV-MFT and considered fluid balance monitoring very important in the management of acute and critically ill children. The use of balanced solution was preferred if there were altered serum sodium and chloride levels or metabolic acidosis. Just under half (42%, 65/153) of respondents believed balanced solutions should always be used. Respondents considered the use of isotonic IV solutions as important for acute and critically ill children. In terms of the indication and the composition of IV-MFT prescribed, responses were heterogeneous among centers. Almost 70% (107/154) respondents believed there was a gap between current practice and what they considered ideal IV-MFT due to a lack of guidelines and inadequate training of healthcare professionals.   Conclusions: Our study showed considerable variability in clinical prescribing practice of IV-MFT in acute pediatric settings across Europe and the Middle East. There is an urgent need to develop evidence-based guidelines for IV-MFT prescription in acute and critically ill children. What is Known: • The administration of maintenance intravenous fluid therapy is a standard of care for a lot of hospitalized children • Maintenance intravenous fluid therapy prescriptions are often based on Holliday and Segar's historical guidelines even if this practice has been associated with several complications. What is New: • This study provided information on the prescribing practice regarding fluid restriction, fluid tonicity, and balance. • This study showed considerable variability in clinical prescribing practice of intravenous maintenance fluid therapy across Europe and the Middle East.","container-title":"European Journal of Pediatrics","DOI":"10.1007/s00431-022-04467-y","ISSN":"1432-1076","journalAbbreviation":"Eur J Pediatr","language":"eng","note":"PMID: 35503578","source":"PubMed","title":"Intravenous maintenance fluid therapy practice in the pediatric acute and critical care settings: a European and Middle Eastern survey","title-short":"Intravenous maintenance fluid therapy practice in the pediatric acute and critical care settings","author":[{"family":"Morice","given":"Claire"},{"family":"Alsohime","given":"Fahad"},{"family":"Mayberry","given":"Huw"},{"family":"Tume","given":"Lyvonne N."},{"family":"Brossier","given":"David"},{"family":"Valla","given":"Frederic V."},{"literal":"ESPNICIVMFT group"}],"issued":{"date-parts":[["2022",5,3]]}}}],"schema":"https://github.com/citation-style-language/schema/raw/master/csl-citation.json"} </w:instrText>
      </w:r>
      <w:r w:rsidRPr="00D07339">
        <w:rPr>
          <w:rFonts w:ascii="Times New Roman" w:eastAsia="Arial" w:hAnsi="Times New Roman" w:cs="Times New Roman"/>
          <w:sz w:val="24"/>
          <w:szCs w:val="24"/>
          <w:lang w:val="en-GB"/>
        </w:rPr>
        <w:fldChar w:fldCharType="separate"/>
      </w:r>
      <w:r w:rsidRPr="00D07339">
        <w:rPr>
          <w:rFonts w:ascii="Times New Roman" w:hAnsi="Times New Roman" w:cs="Times New Roman"/>
          <w:sz w:val="24"/>
        </w:rPr>
        <w:t>[11]</w:t>
      </w:r>
      <w:r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w:t>
      </w:r>
      <w:r w:rsidR="00FF0383" w:rsidRPr="00D07339">
        <w:rPr>
          <w:rFonts w:ascii="Times New Roman" w:eastAsia="Arial" w:hAnsi="Times New Roman" w:cs="Times New Roman"/>
          <w:sz w:val="24"/>
          <w:szCs w:val="24"/>
          <w:lang w:val="en-GB"/>
        </w:rPr>
        <w:t xml:space="preserve">showed </w:t>
      </w:r>
      <w:r w:rsidR="00BB3A81" w:rsidRPr="00D07339">
        <w:rPr>
          <w:rFonts w:ascii="Times New Roman" w:eastAsia="Arial" w:hAnsi="Times New Roman" w:cs="Times New Roman"/>
          <w:sz w:val="24"/>
          <w:szCs w:val="24"/>
          <w:lang w:val="en-GB"/>
        </w:rPr>
        <w:t>glucose provision in IV-MFT was considered important</w:t>
      </w:r>
      <w:r w:rsidR="002B2053" w:rsidRPr="00D07339">
        <w:rPr>
          <w:rFonts w:ascii="Times New Roman" w:eastAsia="Arial" w:hAnsi="Times New Roman" w:cs="Times New Roman"/>
          <w:sz w:val="24"/>
          <w:szCs w:val="24"/>
          <w:lang w:val="en-GB"/>
        </w:rPr>
        <w:t>, with 46% always and 46%</w:t>
      </w:r>
      <w:r w:rsidR="006C09C5" w:rsidRPr="00D07339">
        <w:rPr>
          <w:rFonts w:ascii="Times New Roman" w:eastAsia="Arial" w:hAnsi="Times New Roman" w:cs="Times New Roman"/>
          <w:sz w:val="24"/>
          <w:szCs w:val="24"/>
          <w:lang w:val="en-GB"/>
        </w:rPr>
        <w:t xml:space="preserve"> often prescribing glucose </w:t>
      </w:r>
      <w:r w:rsidR="00BB3A81" w:rsidRPr="00D07339">
        <w:rPr>
          <w:rFonts w:ascii="Times New Roman" w:eastAsia="Arial" w:hAnsi="Times New Roman" w:cs="Times New Roman"/>
          <w:sz w:val="24"/>
          <w:szCs w:val="24"/>
          <w:lang w:val="en-GB"/>
        </w:rPr>
        <w:t xml:space="preserve">in IV-MFT. However, the age at which glucose was no longer considered mandatory in IV-MFT was very heterogeneous (large inter-quartile </w:t>
      </w:r>
      <w:r w:rsidR="006C09C5" w:rsidRPr="00D07339">
        <w:rPr>
          <w:rFonts w:ascii="Times New Roman" w:eastAsia="Arial" w:hAnsi="Times New Roman" w:cs="Times New Roman"/>
          <w:sz w:val="24"/>
          <w:szCs w:val="24"/>
          <w:lang w:val="en-GB"/>
        </w:rPr>
        <w:t>range of responses</w:t>
      </w:r>
      <w:r w:rsidR="00BB3A81" w:rsidRPr="00D07339">
        <w:rPr>
          <w:rFonts w:ascii="Times New Roman" w:eastAsia="Arial" w:hAnsi="Times New Roman" w:cs="Times New Roman"/>
          <w:sz w:val="24"/>
          <w:szCs w:val="24"/>
          <w:lang w:val="en-GB"/>
        </w:rPr>
        <w:t>), with a median age of 12 years (</w:t>
      </w:r>
      <w:r w:rsidR="006C09C5" w:rsidRPr="00D07339">
        <w:rPr>
          <w:rFonts w:ascii="Times New Roman" w:eastAsia="Arial" w:hAnsi="Times New Roman" w:cs="Times New Roman"/>
          <w:sz w:val="24"/>
          <w:szCs w:val="24"/>
          <w:lang w:val="en-GB"/>
        </w:rPr>
        <w:t>IQR</w:t>
      </w:r>
      <w:r w:rsidR="00BB3A81" w:rsidRPr="00D07339">
        <w:rPr>
          <w:rFonts w:ascii="Times New Roman" w:eastAsia="Arial" w:hAnsi="Times New Roman" w:cs="Times New Roman"/>
          <w:sz w:val="24"/>
          <w:szCs w:val="24"/>
          <w:lang w:val="en-GB"/>
        </w:rPr>
        <w:t>: 4.8-16). This show</w:t>
      </w:r>
      <w:r w:rsidR="003D4100" w:rsidRPr="00D07339">
        <w:rPr>
          <w:rFonts w:ascii="Times New Roman" w:eastAsia="Arial" w:hAnsi="Times New Roman" w:cs="Times New Roman"/>
          <w:sz w:val="24"/>
          <w:szCs w:val="24"/>
          <w:lang w:val="en-GB"/>
        </w:rPr>
        <w:t>s</w:t>
      </w:r>
      <w:r w:rsidR="00BB3A81" w:rsidRPr="00D07339">
        <w:rPr>
          <w:rFonts w:ascii="Times New Roman" w:eastAsia="Arial" w:hAnsi="Times New Roman" w:cs="Times New Roman"/>
          <w:sz w:val="24"/>
          <w:szCs w:val="24"/>
          <w:lang w:val="en-GB"/>
        </w:rPr>
        <w:t xml:space="preserve"> the </w:t>
      </w:r>
      <w:r w:rsidR="003D4100" w:rsidRPr="00D07339">
        <w:rPr>
          <w:rFonts w:ascii="Times New Roman" w:eastAsia="Arial" w:hAnsi="Times New Roman" w:cs="Times New Roman"/>
          <w:sz w:val="24"/>
          <w:szCs w:val="24"/>
          <w:lang w:val="en-GB"/>
        </w:rPr>
        <w:t xml:space="preserve">considerable variation in current </w:t>
      </w:r>
      <w:r w:rsidR="00BB3A81" w:rsidRPr="00D07339">
        <w:rPr>
          <w:rFonts w:ascii="Times New Roman" w:eastAsia="Arial" w:hAnsi="Times New Roman" w:cs="Times New Roman"/>
          <w:sz w:val="24"/>
          <w:szCs w:val="24"/>
          <w:lang w:val="en-GB"/>
        </w:rPr>
        <w:t xml:space="preserve">practices </w:t>
      </w:r>
      <w:proofErr w:type="gramStart"/>
      <w:r w:rsidR="00BB3A81" w:rsidRPr="00D07339">
        <w:rPr>
          <w:rFonts w:ascii="Times New Roman" w:eastAsia="Arial" w:hAnsi="Times New Roman" w:cs="Times New Roman"/>
          <w:sz w:val="24"/>
          <w:szCs w:val="24"/>
          <w:lang w:val="en-GB"/>
        </w:rPr>
        <w:t>as a result of</w:t>
      </w:r>
      <w:proofErr w:type="gramEnd"/>
      <w:r w:rsidR="00BB3A81" w:rsidRPr="00D07339">
        <w:rPr>
          <w:rFonts w:ascii="Times New Roman" w:eastAsia="Arial" w:hAnsi="Times New Roman" w:cs="Times New Roman"/>
          <w:sz w:val="24"/>
          <w:szCs w:val="24"/>
          <w:lang w:val="en-GB"/>
        </w:rPr>
        <w:t xml:space="preserve"> the absence of clear recommendations. </w:t>
      </w:r>
    </w:p>
    <w:p w14:paraId="078C8A84" w14:textId="77777777" w:rsidR="000D4BB6" w:rsidRPr="00D07339" w:rsidRDefault="00BB3A81" w:rsidP="00B70F75">
      <w:pPr>
        <w:pStyle w:val="Titre1"/>
      </w:pPr>
      <w:r w:rsidRPr="00D07339">
        <w:t>Adult IV-MFT recommendations</w:t>
      </w:r>
    </w:p>
    <w:p w14:paraId="078C8A86" w14:textId="0AB6425B"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There is no evidence to support the use of glucose containing IV-MF in adult critically ill patients.</w:t>
      </w:r>
    </w:p>
    <w:p w14:paraId="078C8A88" w14:textId="50ECDF50" w:rsidR="000D4BB6" w:rsidRPr="00D07339" w:rsidRDefault="00BB3A81" w:rsidP="00B70F75">
      <w:pPr>
        <w:pStyle w:val="Titre1"/>
      </w:pPr>
      <w:r w:rsidRPr="00D07339">
        <w:t xml:space="preserve">Published recommendations in other </w:t>
      </w:r>
      <w:proofErr w:type="spellStart"/>
      <w:r w:rsidRPr="00D07339">
        <w:t>pediatric</w:t>
      </w:r>
      <w:proofErr w:type="spellEnd"/>
      <w:r w:rsidRPr="00D07339">
        <w:t xml:space="preserve"> settings (outside the scope of the current guidelines)</w:t>
      </w:r>
    </w:p>
    <w:p w14:paraId="078C8A8B" w14:textId="41C7E1AF" w:rsidR="000D4BB6" w:rsidRPr="00D07339" w:rsidRDefault="00977D39"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F</w:t>
      </w:r>
      <w:r w:rsidR="00BB3A81" w:rsidRPr="00D07339">
        <w:rPr>
          <w:rFonts w:ascii="Times New Roman" w:eastAsia="Arial" w:hAnsi="Times New Roman" w:cs="Times New Roman"/>
          <w:sz w:val="24"/>
          <w:szCs w:val="24"/>
          <w:lang w:val="en-GB"/>
        </w:rPr>
        <w:t>ew nutritional guidelines for</w:t>
      </w:r>
      <w:r w:rsidRPr="00D07339">
        <w:rPr>
          <w:rFonts w:ascii="Times New Roman" w:eastAsia="Arial" w:hAnsi="Times New Roman" w:cs="Times New Roman"/>
          <w:sz w:val="24"/>
          <w:szCs w:val="24"/>
          <w:lang w:val="en-GB"/>
        </w:rPr>
        <w:t xml:space="preserve"> </w:t>
      </w:r>
      <w:r w:rsidR="003A17C5" w:rsidRPr="00D07339">
        <w:rPr>
          <w:rFonts w:ascii="Times New Roman" w:eastAsia="Arial" w:hAnsi="Times New Roman" w:cs="Times New Roman"/>
          <w:sz w:val="24"/>
          <w:szCs w:val="24"/>
          <w:lang w:val="en-GB"/>
        </w:rPr>
        <w:t>paediatric</w:t>
      </w:r>
      <w:r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 xml:space="preserve">populations mention glucose intake. The European Society of </w:t>
      </w:r>
      <w:r w:rsidR="003A17C5" w:rsidRPr="00D07339">
        <w:rPr>
          <w:rFonts w:ascii="Times New Roman" w:eastAsia="Arial" w:hAnsi="Times New Roman" w:cs="Times New Roman"/>
          <w:sz w:val="24"/>
          <w:szCs w:val="24"/>
          <w:lang w:val="en-GB"/>
        </w:rPr>
        <w:t>Paediatric</w:t>
      </w:r>
      <w:r w:rsidR="00BB3A81" w:rsidRPr="00D07339">
        <w:rPr>
          <w:rFonts w:ascii="Times New Roman" w:eastAsia="Arial" w:hAnsi="Times New Roman" w:cs="Times New Roman"/>
          <w:sz w:val="24"/>
          <w:szCs w:val="24"/>
          <w:lang w:val="en-GB"/>
        </w:rPr>
        <w:t xml:space="preserve"> and Neonatal Intensive Care (ESPNIC) recommend</w:t>
      </w:r>
      <w:r w:rsidR="007B6AAB" w:rsidRPr="00D07339">
        <w:rPr>
          <w:rFonts w:ascii="Times New Roman" w:eastAsia="Arial" w:hAnsi="Times New Roman" w:cs="Times New Roman"/>
          <w:sz w:val="24"/>
          <w:szCs w:val="24"/>
          <w:lang w:val="en-GB"/>
        </w:rPr>
        <w:t>s</w:t>
      </w:r>
      <w:r w:rsidR="00BB3A81" w:rsidRPr="00D07339">
        <w:rPr>
          <w:rFonts w:ascii="Times New Roman" w:eastAsia="Arial" w:hAnsi="Times New Roman" w:cs="Times New Roman"/>
          <w:sz w:val="24"/>
          <w:szCs w:val="24"/>
          <w:lang w:val="en-GB"/>
        </w:rPr>
        <w:t xml:space="preserve"> that parenteral glucose provision in critically ill children should be sufficient to avoid </w:t>
      </w:r>
      <w:r w:rsidR="003A17C5" w:rsidRPr="00D07339">
        <w:rPr>
          <w:rFonts w:ascii="Times New Roman" w:eastAsia="Arial" w:hAnsi="Times New Roman" w:cs="Times New Roman"/>
          <w:sz w:val="24"/>
          <w:szCs w:val="24"/>
          <w:lang w:val="en-GB"/>
        </w:rPr>
        <w:t>hypoglycaemia</w:t>
      </w:r>
      <w:r w:rsidR="00BB3A81" w:rsidRPr="00D07339">
        <w:rPr>
          <w:rFonts w:ascii="Times New Roman" w:eastAsia="Arial" w:hAnsi="Times New Roman" w:cs="Times New Roman"/>
          <w:sz w:val="24"/>
          <w:szCs w:val="24"/>
          <w:lang w:val="en-GB"/>
        </w:rPr>
        <w:t xml:space="preserve"> but not excessive to prevent </w:t>
      </w:r>
      <w:r w:rsidR="003A17C5" w:rsidRPr="00D07339">
        <w:rPr>
          <w:rFonts w:ascii="Times New Roman" w:eastAsia="Arial" w:hAnsi="Times New Roman" w:cs="Times New Roman"/>
          <w:sz w:val="24"/>
          <w:szCs w:val="24"/>
          <w:lang w:val="en-GB"/>
        </w:rPr>
        <w:t>hyperglycaemia</w:t>
      </w:r>
      <w:r w:rsidR="00BB3A81" w:rsidRPr="00D07339">
        <w:rPr>
          <w:rFonts w:ascii="Times New Roman" w:eastAsia="Arial" w:hAnsi="Times New Roman" w:cs="Times New Roman"/>
          <w:sz w:val="24"/>
          <w:szCs w:val="24"/>
          <w:lang w:val="en-GB"/>
        </w:rPr>
        <w:t xml:space="preserve"> (Grade D recommendation) </w:t>
      </w:r>
      <w:r w:rsidR="003A17C5"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{"citationID":"xqlKPp7y","properties":{"formattedCitation":"[6]","plainCitation":"[6]","noteIndex":0},"citationItems":[{"id":9416,"uris":["http://zotero.org/users/874466/items/P8DSM2DN"],"itemData":{"id":9416,"type":"article-journal","abstract":"Nutritional support is considered essential for the outcome of paediatric critical illness. There is a lack of methodologically sound trials to provide evidence-based guidelines leading to diverse practices in PICUs worldwide. Acknowledging these limitations, we aimed to summarize the available literature and provide practical guidance for the paediatric critical care clinicians around important clinical questions many of which are not covered by previous guidelines.","container-title":"Intensive Care Medicine","DOI":"10.1007/s00134-019-05922-5","ISSN":"1432-1238","issue":"46","journalAbbreviation":"Intensive Care Med","language":"en","page":"411-425","source":"Springer Link","title":"Nutritional support for children during critical illness: European Society of Pediatric and Neonatal Intensive Care (ESPNIC) metabolism, endocrine and nutrition section position statement and clinical recommendations","title-short":"Nutritional support for children during critical illness","volume":"46","author":[{"family":"Tume","given":"Lyvonne N."},{"family":"Valla","given":"Frederic V."},{"family":"Joosten","given":"Koen"},{"family":"Chaparro","given":"Corinne Jotterand"},{"family":"Latten","given":"Lynne"},{"family":"Marino","given":"Luise V."},{"family":"Macleod","given":"Isobel"},{"family":"Moullet","given":"Clémence"},{"family":"Pathan","given":"Nazima"},{"family":"Rooze","given":"Shancy"},{"family":"Rosmalen","given":"Joost","non-dropping-particle":"van"},{"family":"Verbruggen","given":"Sascha C. A. T."}],"issued":{"date-parts":[["2020",2,20]]}}}],"schema":"https://github.com/citation-style-language/schema/raw/master/csl-citation.json"} </w:instrText>
      </w:r>
      <w:r w:rsidR="003A17C5"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[6]</w:t>
      </w:r>
      <w:r w:rsidR="003A17C5"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The nutrition guidelines for critically ill neonates of the European Society for Paediatric Gastroenterology, Hepatology and Nutrition (ESPGHAN) </w:t>
      </w:r>
      <w:r w:rsidR="00BE38EA" w:rsidRPr="00D07339">
        <w:rPr>
          <w:rFonts w:ascii="Times New Roman" w:eastAsia="Arial" w:hAnsi="Times New Roman" w:cs="Times New Roman"/>
          <w:sz w:val="24"/>
          <w:szCs w:val="24"/>
          <w:lang w:val="en-GB"/>
        </w:rPr>
        <w:t>suggest</w:t>
      </w:r>
      <w:r w:rsidR="00BB3A81" w:rsidRPr="00D07339">
        <w:rPr>
          <w:rFonts w:ascii="Times New Roman" w:eastAsia="Arial" w:hAnsi="Times New Roman" w:cs="Times New Roman"/>
          <w:sz w:val="24"/>
          <w:szCs w:val="24"/>
          <w:lang w:val="en-GB"/>
        </w:rPr>
        <w:t xml:space="preserve"> theoretical glucose needs during different phases of critical illness in the preterm infants and term neonates </w:t>
      </w:r>
      <w:r w:rsidR="006A17FA"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{"citationID":"5fEGsFER","properties":{"formattedCitation":"[12]","plainCitation":"[12]","noteIndex":0},"citationItems":[{"id":36046,"uris":["http://zotero.org/users/874466/items/IPVXY97X"],"itemData":{"id":36046,"type":"article-journal","abstract":"OBJECTIVES: The nutritional management of critically ill term neonates and preterm infants varies widely, and controversies exist in regard to when to initiate nutrition, mode of feeding, energy requirements, and composition of enteral and parenteral feeds. Recommendations for nutritional support in critical illness are needed.\nMETHODS: The ESPGHAN Committee on Nutrition (ESPGHAN-CoN) conducted a systematic literature search on nutritional support in critically ill neonates, including studies on basic metabolism. The Medline database and the Cochrane Library were used in the search for relevant publications. The quality of evidence was reviewed and discussed before voting on recommendations, and a consensus of 90% or more was required for the final approval. Important research gaps were also identified.\nRESULTS: This position paper provides clinical recommendations on nutritional support during different phases of critical illness in preterm and term neonates based on available literature and expert opinion.\nCONCLUSION: Basic research along with adequately powered trials are urgently needed to resolve key uncertainties on metabolism and nutrient requirements in this heterogeneous patient population.","container-title":"Journal of Pediatric Gastroenterology and Nutrition","DOI":"10.1097/MPG.0000000000003076","ISSN":"1536-4801","issue":"2","journalAbbreviation":"J Pediatr Gastroenterol Nutr","language":"eng","note":"PMID: 33605663","page":"274-289","source":"PubMed","title":"Nutritional Management of the Critically Ill Neonate: A Position Paper of the ESPGHAN Committee on Nutrition","title-short":"Nutritional Management of the Critically Ill Neonate","volume":"73","author":[{"family":"Moltu","given":"Sissel Jennifer"},{"family":"Bronsky","given":"Jiri"},{"family":"Embleton","given":"Nicholas"},{"family":"Gerasimidis","given":"Konstantinos"},{"family":"Indrio","given":"Flavia"},{"family":"Köglmeier","given":"Jutta"},{"family":"Koning","given":"Barbara","non-dropping-particle":"de"},{"family":"Lapillonne","given":"Alexandre"},{"family":"Norsa","given":"Lorenzo"},{"family":"Verduci","given":"Elvira"},{"family":"Domellöf","given":"Magnus"},{"literal":"ESPGHAN Committee on Nutrition"}],"issued":{"date-parts":[["2021",8,1]]}}}],"schema":"https://github.com/citation-style-language/schema/raw/master/csl-citation.json"} </w:instrText>
      </w:r>
      <w:r w:rsidR="006A17FA"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[12]</w:t>
      </w:r>
      <w:r w:rsidR="006A17FA"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The</w:t>
      </w:r>
      <w:r w:rsidR="00BE38EA" w:rsidRPr="00D07339">
        <w:rPr>
          <w:rFonts w:ascii="Times New Roman" w:eastAsia="Arial" w:hAnsi="Times New Roman" w:cs="Times New Roman"/>
          <w:sz w:val="24"/>
          <w:szCs w:val="24"/>
          <w:lang w:val="en-GB"/>
        </w:rPr>
        <w:t>se</w:t>
      </w:r>
      <w:r w:rsidR="00BB3A81" w:rsidRPr="00D07339">
        <w:rPr>
          <w:rFonts w:ascii="Times New Roman" w:eastAsia="Arial" w:hAnsi="Times New Roman" w:cs="Times New Roman"/>
          <w:sz w:val="24"/>
          <w:szCs w:val="24"/>
          <w:lang w:val="en-GB"/>
        </w:rPr>
        <w:t xml:space="preserve"> experts also recommend </w:t>
      </w:r>
      <w:r w:rsidR="00BE38EA" w:rsidRPr="00D07339">
        <w:rPr>
          <w:rFonts w:ascii="Times New Roman" w:eastAsia="Arial" w:hAnsi="Times New Roman" w:cs="Times New Roman"/>
          <w:sz w:val="24"/>
          <w:szCs w:val="24"/>
          <w:lang w:val="en-GB"/>
        </w:rPr>
        <w:t>that</w:t>
      </w:r>
      <w:r w:rsidR="00BB3A81" w:rsidRPr="00D07339">
        <w:rPr>
          <w:rFonts w:ascii="Times New Roman" w:eastAsia="Arial" w:hAnsi="Times New Roman" w:cs="Times New Roman"/>
          <w:sz w:val="24"/>
          <w:szCs w:val="24"/>
          <w:lang w:val="en-GB"/>
        </w:rPr>
        <w:t xml:space="preserve"> in case of </w:t>
      </w:r>
      <w:r w:rsidR="006A17FA" w:rsidRPr="00D07339">
        <w:rPr>
          <w:rFonts w:ascii="Times New Roman" w:eastAsia="Arial" w:hAnsi="Times New Roman" w:cs="Times New Roman"/>
          <w:sz w:val="24"/>
          <w:szCs w:val="24"/>
          <w:lang w:val="en-GB"/>
        </w:rPr>
        <w:t>hyperglycaemia</w:t>
      </w:r>
      <w:r w:rsidR="00BB3A81" w:rsidRPr="00D07339">
        <w:rPr>
          <w:rFonts w:ascii="Times New Roman" w:eastAsia="Arial" w:hAnsi="Times New Roman" w:cs="Times New Roman"/>
          <w:sz w:val="24"/>
          <w:szCs w:val="24"/>
          <w:lang w:val="en-GB"/>
        </w:rPr>
        <w:t xml:space="preserve">, </w:t>
      </w:r>
      <w:r w:rsidR="00BE38EA" w:rsidRPr="00D07339">
        <w:rPr>
          <w:rFonts w:ascii="Times New Roman" w:eastAsia="Arial" w:hAnsi="Times New Roman" w:cs="Times New Roman"/>
          <w:sz w:val="24"/>
          <w:szCs w:val="24"/>
          <w:lang w:val="en-GB"/>
        </w:rPr>
        <w:t xml:space="preserve">an </w:t>
      </w:r>
      <w:r w:rsidR="00BB3A81" w:rsidRPr="00D07339">
        <w:rPr>
          <w:rFonts w:ascii="Times New Roman" w:eastAsia="Arial" w:hAnsi="Times New Roman" w:cs="Times New Roman"/>
          <w:sz w:val="24"/>
          <w:szCs w:val="24"/>
          <w:lang w:val="en-GB"/>
        </w:rPr>
        <w:t xml:space="preserve">insulin infusion should be </w:t>
      </w:r>
      <w:r w:rsidR="00BE38EA" w:rsidRPr="00D07339">
        <w:rPr>
          <w:rFonts w:ascii="Times New Roman" w:eastAsia="Arial" w:hAnsi="Times New Roman" w:cs="Times New Roman"/>
          <w:sz w:val="24"/>
          <w:szCs w:val="24"/>
          <w:lang w:val="en-GB"/>
        </w:rPr>
        <w:t xml:space="preserve">initiated </w:t>
      </w:r>
      <w:r w:rsidR="00BB3A81" w:rsidRPr="00D07339">
        <w:rPr>
          <w:rFonts w:ascii="Times New Roman" w:eastAsia="Arial" w:hAnsi="Times New Roman" w:cs="Times New Roman"/>
          <w:sz w:val="24"/>
          <w:szCs w:val="24"/>
          <w:lang w:val="en-GB"/>
        </w:rPr>
        <w:t xml:space="preserve">if glucose levels remain &gt; 10 mmol/L (180 mg/dL) despite reasonable adaptation of the glucose infusion rate, </w:t>
      </w:r>
      <w:proofErr w:type="gramStart"/>
      <w:r w:rsidR="00BB3A81" w:rsidRPr="00D07339">
        <w:rPr>
          <w:rFonts w:ascii="Times New Roman" w:eastAsia="Arial" w:hAnsi="Times New Roman" w:cs="Times New Roman"/>
          <w:sz w:val="24"/>
          <w:szCs w:val="24"/>
          <w:lang w:val="en-GB"/>
        </w:rPr>
        <w:t>i.e.</w:t>
      </w:r>
      <w:proofErr w:type="gramEnd"/>
      <w:r w:rsidR="00BB3A81" w:rsidRPr="00D07339">
        <w:rPr>
          <w:rFonts w:ascii="Times New Roman" w:eastAsia="Arial" w:hAnsi="Times New Roman" w:cs="Times New Roman"/>
          <w:sz w:val="24"/>
          <w:szCs w:val="24"/>
          <w:lang w:val="en-GB"/>
        </w:rPr>
        <w:t xml:space="preserve"> ~ 4 mg/kg/min (6 g/kg/d) in preterm infants and </w:t>
      </w:r>
      <w:r w:rsidR="00BE38EA" w:rsidRPr="00D07339">
        <w:rPr>
          <w:rFonts w:ascii="Times New Roman" w:eastAsia="Arial" w:hAnsi="Times New Roman" w:cs="Times New Roman"/>
          <w:sz w:val="24"/>
          <w:szCs w:val="24"/>
          <w:lang w:val="en-GB"/>
        </w:rPr>
        <w:t>around</w:t>
      </w:r>
      <w:r w:rsidR="00BB3A81" w:rsidRPr="00D07339">
        <w:rPr>
          <w:rFonts w:ascii="Times New Roman" w:eastAsia="Arial" w:hAnsi="Times New Roman" w:cs="Times New Roman"/>
          <w:sz w:val="24"/>
          <w:szCs w:val="24"/>
          <w:lang w:val="en-GB"/>
        </w:rPr>
        <w:t xml:space="preserve"> 3 mg/kg/min (4 g/kg/d) in term neonates. </w:t>
      </w:r>
      <w:r w:rsidR="007915AF" w:rsidRPr="00D07339">
        <w:rPr>
          <w:rFonts w:ascii="Times New Roman" w:eastAsia="Arial" w:hAnsi="Times New Roman" w:cs="Times New Roman"/>
          <w:sz w:val="24"/>
          <w:szCs w:val="24"/>
          <w:lang w:val="en-GB"/>
        </w:rPr>
        <w:t>T</w:t>
      </w:r>
      <w:r w:rsidR="00BB3A81" w:rsidRPr="00D07339">
        <w:rPr>
          <w:rFonts w:ascii="Times New Roman" w:eastAsia="Arial" w:hAnsi="Times New Roman" w:cs="Times New Roman"/>
          <w:sz w:val="24"/>
          <w:szCs w:val="24"/>
          <w:lang w:val="en-GB"/>
        </w:rPr>
        <w:t xml:space="preserve">he ESPGHAN guidelines on </w:t>
      </w:r>
      <w:r w:rsidR="0056201D" w:rsidRPr="00D07339">
        <w:rPr>
          <w:rFonts w:ascii="Times New Roman" w:eastAsia="Arial" w:hAnsi="Times New Roman" w:cs="Times New Roman"/>
          <w:sz w:val="24"/>
          <w:szCs w:val="24"/>
          <w:lang w:val="en-GB"/>
        </w:rPr>
        <w:t>paediatric</w:t>
      </w:r>
      <w:r w:rsidR="00BB3A81" w:rsidRPr="00D07339">
        <w:rPr>
          <w:rFonts w:ascii="Times New Roman" w:eastAsia="Arial" w:hAnsi="Times New Roman" w:cs="Times New Roman"/>
          <w:sz w:val="24"/>
          <w:szCs w:val="24"/>
          <w:lang w:val="en-GB"/>
        </w:rPr>
        <w:t xml:space="preserve"> parenteral nutrition recommend parenteral glucose </w:t>
      </w:r>
      <w:r w:rsidR="007915AF" w:rsidRPr="00D07339">
        <w:rPr>
          <w:rFonts w:ascii="Times New Roman" w:eastAsia="Arial" w:hAnsi="Times New Roman" w:cs="Times New Roman"/>
          <w:sz w:val="24"/>
          <w:szCs w:val="24"/>
          <w:lang w:val="en-GB"/>
        </w:rPr>
        <w:t>is</w:t>
      </w:r>
      <w:r w:rsidR="00BB3A81" w:rsidRPr="00D07339">
        <w:rPr>
          <w:rFonts w:ascii="Times New Roman" w:eastAsia="Arial" w:hAnsi="Times New Roman" w:cs="Times New Roman"/>
          <w:sz w:val="24"/>
          <w:szCs w:val="24"/>
          <w:lang w:val="en-GB"/>
        </w:rPr>
        <w:t xml:space="preserve"> also provided for </w:t>
      </w:r>
      <w:proofErr w:type="spellStart"/>
      <w:r w:rsidR="00BB3A81" w:rsidRPr="00D07339">
        <w:rPr>
          <w:rFonts w:ascii="Times New Roman" w:eastAsia="Arial" w:hAnsi="Times New Roman" w:cs="Times New Roman"/>
          <w:sz w:val="24"/>
          <w:szCs w:val="24"/>
          <w:lang w:val="en-GB"/>
        </w:rPr>
        <w:lastRenderedPageBreak/>
        <w:t>newborns</w:t>
      </w:r>
      <w:proofErr w:type="spellEnd"/>
      <w:r w:rsidR="00BB3A81" w:rsidRPr="00D07339">
        <w:rPr>
          <w:rFonts w:ascii="Times New Roman" w:eastAsia="Arial" w:hAnsi="Times New Roman" w:cs="Times New Roman"/>
          <w:sz w:val="24"/>
          <w:szCs w:val="24"/>
          <w:lang w:val="en-GB"/>
        </w:rPr>
        <w:t xml:space="preserve">, infants and children according to body weight and phase of illness </w:t>
      </w:r>
      <w:r w:rsidR="0056201D"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{"citationID":"ko1pTwhk","properties":{"formattedCitation":"[13]","plainCitation":"[13]","noteIndex":0},"citationItems":[{"id":36048,"uris":["http://zotero.org/users/874466/items/UMP53GFU"],"itemData":{"id":36048,"type":"article-journal","container-title":"Clinical Nutrition (Edinburgh, Scotland)","DOI":"10.1016/j.clnu.2018.06.947","ISSN":"1532-1983","issue":"6 Pt B","journalAbbreviation":"Clin Nutr","language":"eng","note":"PMID: 30037708","page":"2337-2343","source":"PubMed","title":"ESPGHAN/ESPEN/ESPR/CSPEN guidelines on pediatric parenteral nutrition: Carbohydrates","title-short":"ESPGHAN/ESPEN/ESPR/CSPEN guidelines on pediatric parenteral nutrition","volume":"37","author":[{"family":"Mesotten","given":"D."},{"family":"Joosten","given":"K."},{"family":"Kempen","given":"A.","non-dropping-particle":"van"},{"family":"Verbruggen","given":"S."},{"literal":"ESPGHAN/ESPEN/ESPR/CSPEN working group on pediatric parenteral nutrition"}],"issued":{"date-parts":[["2018",12]]}}}],"schema":"https://github.com/citation-style-language/schema/raw/master/csl-citation.json"} </w:instrText>
      </w:r>
      <w:r w:rsidR="0056201D"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[13]</w:t>
      </w:r>
      <w:r w:rsidR="0056201D"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In the perioperative setting, a European consensus </w:t>
      </w:r>
      <w:r w:rsidR="007915AF" w:rsidRPr="00D07339">
        <w:rPr>
          <w:rFonts w:ascii="Times New Roman" w:eastAsia="Arial" w:hAnsi="Times New Roman" w:cs="Times New Roman"/>
          <w:sz w:val="24"/>
          <w:szCs w:val="24"/>
          <w:lang w:val="en-GB"/>
        </w:rPr>
        <w:t>(</w:t>
      </w:r>
      <w:r w:rsidR="00BB3A81" w:rsidRPr="00D07339">
        <w:rPr>
          <w:rFonts w:ascii="Times New Roman" w:eastAsia="Arial" w:hAnsi="Times New Roman" w:cs="Times New Roman"/>
          <w:sz w:val="24"/>
          <w:szCs w:val="24"/>
          <w:lang w:val="en-GB"/>
        </w:rPr>
        <w:t>2011</w:t>
      </w:r>
      <w:r w:rsidR="007915AF"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 xml:space="preserve">recommends the use of glucose 1 to 2.5% solutions to avoid </w:t>
      </w:r>
      <w:r w:rsidR="000E575B" w:rsidRPr="00D07339">
        <w:rPr>
          <w:rFonts w:ascii="Times New Roman" w:eastAsia="Arial" w:hAnsi="Times New Roman" w:cs="Times New Roman"/>
          <w:sz w:val="24"/>
          <w:szCs w:val="24"/>
          <w:lang w:val="en-GB"/>
        </w:rPr>
        <w:t>hypoglycaemia</w:t>
      </w:r>
      <w:r w:rsidR="00BB3A81" w:rsidRPr="00D07339">
        <w:rPr>
          <w:rFonts w:ascii="Times New Roman" w:eastAsia="Arial" w:hAnsi="Times New Roman" w:cs="Times New Roman"/>
          <w:sz w:val="24"/>
          <w:szCs w:val="24"/>
          <w:lang w:val="en-GB"/>
        </w:rPr>
        <w:t>, lipolysis or hyperglycaemia</w:t>
      </w:r>
      <w:r w:rsidR="000E575B" w:rsidRPr="00D07339">
        <w:rPr>
          <w:rFonts w:ascii="Times New Roman" w:eastAsia="Arial" w:hAnsi="Times New Roman" w:cs="Times New Roman"/>
          <w:sz w:val="24"/>
          <w:szCs w:val="24"/>
          <w:lang w:val="en-GB"/>
        </w:rPr>
        <w:t xml:space="preserve"> </w:t>
      </w:r>
      <w:r w:rsidR="000E575B"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{"citationID":"0pselDVL","properties":{"formattedCitation":"[14]","plainCitation":"[14]","noteIndex":0},"citationItems":[{"id":9452,"uris":["http://zotero.org/users/874466/items/9VQ6XXTD"],"itemData":{"id":9452,"type":"article-journal","abstract":"Background: Neonates have a higher metabolic rate and an increased risk of perioperative hypoglycemia and lipolysis, but during anesthesia, both oxygen consumption and metabolic rate are decreased, and this may lead to reduced intraoperative glucose requirements. Objective: The objective of this prospective multicentre observational postauthorisation safety study was to evaluate the intraoperative use of a novel isotonic balanced electrolyte solution with a low glucose concentration of 1% (BS-G1) in neonates with a particular focus on changes in acid-base, electrolyte, and glucose concentrations. Methods: Following the local ethics committee approval, neonates with a postmenstrual age under 45 weeks and an ASA risk score of I–IV undergoing intraoperative administration of BS-G1 were enrolled. Patient demographics, the performed procedure, adverse drug reactions, hemodynamic data, and the results of blood gas analysis before and after infusion were documented with a focus on changes in acid-base, electrolyte, and glucose concentrations. Results: In 66 neonates (ASA I–IV; postmenstrual age 38 ± 4, range 25–45 weeks; body weight 2.9 ± 0.9, range 0.65–4.6 kg), the mean infusion rate was 10.4 ± 3.2 (range 4.5–19.6) ml·kg−1·h−1 BS-G1. During the infusion, hemoglobin, hematocrit, bicarbonate, base excess, anion gap, strong ion difference, and calcium decreased, and chloride and glucose increased significantly within the physiological range. All other measured parameters including sodium and lactate remained stable. Neither hypoglycemia (glucose &lt; 3 mm) nor hyperglycemia (glucose &gt; 10 mm) was documented after BS-G1 infusion. No adverse drug reactions were reported. Conclusion: The study shows that the intraoperative use of an isotonic balanced electrolyte solution with 1% glucose and a mean infusion rate of 10 ml·kg−1·h−1 helps to avoid acid-base dysbalance, hyponatraemia, hypoglycemia, ketoacidosis, and hyperglycemia in surgical neonates. A careful intraoperative monitoring and adaptation of the infusion rate as needed is crucial because the glucose and fluid requirements may vary widely between subjects.","container-title":"Pediatric Anesthesia","DOI":"10.1111/j.1460-9592.2011.03610.x","ISSN":"1460-9592","issue":"11","language":"en","page":"1114-1118","source":"Wiley Online Library","title":"A novel isotonic balanced electrolyte solution with 1% glucose for intraoperative fluid therapy in neonates: results of a prospective multicentre observational postauthorisation safety study (PASS)","title-short":"A novel isotonic balanced electrolyte solution with 1% glucose for intraoperative fluid therapy in neonates","volume":"21","author":[{"family":"Sümpelmann","given":"Robert"},{"family":"Mader","given":"Thomas"},{"family":"Dennhardt","given":"Nils"},{"family":"Witt","given":"Lars"},{"family":"Eich","given":"Christoph"},{"family":"Osthaus","given":"Wilhelm A."}],"issued":{"date-parts":[["2011"]]}}}],"schema":"https://github.com/citation-style-language/schema/raw/master/csl-citation.json"} </w:instrText>
      </w:r>
      <w:r w:rsidR="000E575B"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[14]</w:t>
      </w:r>
      <w:r w:rsidR="000E575B" w:rsidRPr="00D07339">
        <w:rPr>
          <w:rFonts w:ascii="Times New Roman" w:eastAsia="Arial" w:hAnsi="Times New Roman" w:cs="Times New Roman"/>
          <w:sz w:val="24"/>
          <w:szCs w:val="24"/>
          <w:lang w:val="en-GB"/>
        </w:rPr>
        <w:fldChar w:fldCharType="end"/>
      </w:r>
      <w:r w:rsidR="007915AF" w:rsidRPr="00D07339">
        <w:rPr>
          <w:rFonts w:ascii="Times New Roman" w:eastAsia="Arial" w:hAnsi="Times New Roman" w:cs="Times New Roman"/>
          <w:sz w:val="24"/>
          <w:szCs w:val="24"/>
          <w:lang w:val="en-GB"/>
        </w:rPr>
        <w:t>.</w:t>
      </w:r>
    </w:p>
    <w:p w14:paraId="078C8A8C" w14:textId="3F43BE65" w:rsidR="000D4BB6" w:rsidRPr="00D07339" w:rsidRDefault="00BB3A81" w:rsidP="00B70F75">
      <w:pPr>
        <w:pStyle w:val="Titre1"/>
      </w:pPr>
      <w:r w:rsidRPr="00D07339">
        <w:t xml:space="preserve">Results of the literature search, paper </w:t>
      </w:r>
      <w:r w:rsidR="007915AF" w:rsidRPr="00D07339">
        <w:t>critical appraisal</w:t>
      </w:r>
      <w:r w:rsidRPr="00D07339">
        <w:t xml:space="preserve"> and meta-analysis </w:t>
      </w:r>
    </w:p>
    <w:p w14:paraId="078C8A8E" w14:textId="5FEC977A" w:rsidR="000D4BB6" w:rsidRPr="00D07339" w:rsidRDefault="007915AF" w:rsidP="00313EC9">
      <w:pPr>
        <w:pBdr>
          <w:top w:val="nil"/>
          <w:left w:val="nil"/>
          <w:bottom w:val="nil"/>
          <w:right w:val="nil"/>
          <w:between w:val="nil"/>
        </w:pBd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Our</w:t>
      </w:r>
      <w:r w:rsidR="00BB3A81" w:rsidRPr="00D07339">
        <w:rPr>
          <w:rFonts w:ascii="Times New Roman" w:eastAsia="Arial" w:hAnsi="Times New Roman" w:cs="Times New Roman"/>
          <w:sz w:val="24"/>
          <w:szCs w:val="24"/>
          <w:lang w:val="en-GB"/>
        </w:rPr>
        <w:t xml:space="preserve"> literature search identified several studies assessing the impact of IV-MFT glucose on clinical outcomes in children. </w:t>
      </w:r>
      <w:r w:rsidRPr="00D07339">
        <w:rPr>
          <w:rFonts w:ascii="Times New Roman" w:eastAsia="Arial" w:hAnsi="Times New Roman" w:cs="Times New Roman"/>
          <w:sz w:val="24"/>
          <w:szCs w:val="24"/>
          <w:lang w:val="en-GB"/>
        </w:rPr>
        <w:t>However, most</w:t>
      </w:r>
      <w:r w:rsidR="00BB3A81" w:rsidRPr="00D07339">
        <w:rPr>
          <w:rFonts w:ascii="Times New Roman" w:eastAsia="Arial" w:hAnsi="Times New Roman" w:cs="Times New Roman"/>
          <w:sz w:val="24"/>
          <w:szCs w:val="24"/>
          <w:lang w:val="en-GB"/>
        </w:rPr>
        <w:t xml:space="preserve"> studies </w:t>
      </w:r>
      <w:r w:rsidRPr="00D07339">
        <w:rPr>
          <w:rFonts w:ascii="Times New Roman" w:eastAsia="Arial" w:hAnsi="Times New Roman" w:cs="Times New Roman"/>
          <w:sz w:val="24"/>
          <w:szCs w:val="24"/>
          <w:lang w:val="en-GB"/>
        </w:rPr>
        <w:t>had to be</w:t>
      </w:r>
      <w:r w:rsidR="00BB3A81" w:rsidRPr="00D07339">
        <w:rPr>
          <w:rFonts w:ascii="Times New Roman" w:eastAsia="Arial" w:hAnsi="Times New Roman" w:cs="Times New Roman"/>
          <w:sz w:val="24"/>
          <w:szCs w:val="24"/>
          <w:lang w:val="en-GB"/>
        </w:rPr>
        <w:t xml:space="preserve"> excluded and o</w:t>
      </w:r>
      <w:r w:rsidR="00BB3A81" w:rsidRPr="00D07339">
        <w:rPr>
          <w:rFonts w:ascii="Times New Roman" w:eastAsia="Arial" w:hAnsi="Times New Roman" w:cs="Times New Roman"/>
          <w:color w:val="000000"/>
          <w:sz w:val="24"/>
          <w:szCs w:val="24"/>
          <w:lang w:val="en-GB"/>
        </w:rPr>
        <w:t>nly</w:t>
      </w:r>
      <w:r w:rsidR="00BB3A81" w:rsidRPr="00D07339">
        <w:rPr>
          <w:rFonts w:ascii="Times New Roman" w:eastAsia="Arial" w:hAnsi="Times New Roman" w:cs="Times New Roman"/>
          <w:sz w:val="24"/>
          <w:szCs w:val="24"/>
          <w:lang w:val="en-GB"/>
        </w:rPr>
        <w:t xml:space="preserve"> four studies comparing different glucose IV-MFT intakes were</w:t>
      </w:r>
      <w:r w:rsidRPr="00D07339">
        <w:rPr>
          <w:rFonts w:ascii="Times New Roman" w:eastAsia="Arial" w:hAnsi="Times New Roman" w:cs="Times New Roman"/>
          <w:sz w:val="24"/>
          <w:szCs w:val="24"/>
          <w:lang w:val="en-GB"/>
        </w:rPr>
        <w:t xml:space="preserve"> able to be</w:t>
      </w:r>
      <w:r w:rsidR="00BB3A81" w:rsidRPr="00D07339">
        <w:rPr>
          <w:rFonts w:ascii="Times New Roman" w:eastAsia="Arial" w:hAnsi="Times New Roman" w:cs="Times New Roman"/>
          <w:sz w:val="24"/>
          <w:szCs w:val="24"/>
          <w:lang w:val="en-GB"/>
        </w:rPr>
        <w:t xml:space="preserve"> included; three randomi</w:t>
      </w:r>
      <w:r w:rsidRPr="00D07339">
        <w:rPr>
          <w:rFonts w:ascii="Times New Roman" w:eastAsia="Arial" w:hAnsi="Times New Roman" w:cs="Times New Roman"/>
          <w:sz w:val="24"/>
          <w:szCs w:val="24"/>
          <w:lang w:val="en-GB"/>
        </w:rPr>
        <w:t>s</w:t>
      </w:r>
      <w:r w:rsidR="00BB3A81" w:rsidRPr="00D07339">
        <w:rPr>
          <w:rFonts w:ascii="Times New Roman" w:eastAsia="Arial" w:hAnsi="Times New Roman" w:cs="Times New Roman"/>
          <w:sz w:val="24"/>
          <w:szCs w:val="24"/>
          <w:lang w:val="en-GB"/>
        </w:rPr>
        <w:t xml:space="preserve">ed controlled trials (RCTs) </w:t>
      </w:r>
      <w:r w:rsidR="0074001C" w:rsidRPr="00D07339">
        <w:rPr>
          <w:rFonts w:ascii="Times New Roman" w:eastAsia="Arial" w:hAnsi="Times New Roman" w:cs="Times New Roman"/>
          <w:sz w:val="24"/>
          <w:szCs w:val="24"/>
          <w:lang w:val="en-GB"/>
        </w:rPr>
        <w:t xml:space="preserve"> </w:t>
      </w:r>
      <w:r w:rsidR="0074001C"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VzaSjkY1","properties":{"formattedCitation":"[15\\uc0\\u8211{}17]","plainCitation":"[15–17]","noteIndex":0},"citationItems":[{"id":36053,"uris":["http://zotero.org/users/874466/items/QZ5MDRAY"],"itemData":{"id":36053,"type":"article-journal","abstract":"INTRODUCTION: Hyperglycemia in children after cardiac surgery can be treated with intensive insulin therapy, but hypoglycemia is a potential serious side effect. The aim of this study was to investigate the effects of reducing glucose intake below standard intakes to prevent hyperglycemia, on blood glucose concentrations, glucose kinetics and protein catabolism in children after cardiac surgery with cardiopulmonary bypass (CPB).\nMETHODS: Subjects received a 4-hour low glucose (LG; 2.5 mg/kg per minute) and a 4-hour standard glucose (SG; 5.0 mg/kg per minute) infusion in a randomized blinded crossover setting. Simultaneously, an 8-hour stable isotope tracer protocol was conducted to determine glucose and leucine kinetics. Data are presented as mean ± SD or median (IQR); comparison was made by paired samples t test.\nRESULTS: Eleven subjects (age 5.1 (20.2) months) were studied 9.5 ± 1.9 hours post-cardiac surgery. Blood glucose concentrations were lower during LG than SG (LG 7.3 ± 0.7 vs. SG 9.3 ± 1.8 mmol/L; P &lt; 0.01), although the glycemic target (4.0-6.0 mmol/L) was not achieved. No hypoglycemic events occurred. Endogenous glucose production was higher during LG than SG (LG 2.9 ± 0.8 vs. SG 1.5 ± 1.1 mg/kg per minute; P = 0.02), due to increased glycogenolysis (LG 1.0 ± 0.6 vs. SG 0.0 ± 1.0 mg/kg per minute; P &lt; 0.05). Leucine balance, indicating protein balance, was negative but not affected by glucose intake (LG -54.8 ± 14.6 vs. SG -58.8 ± 16.7 μmol/kg per hour; P = 0.57).\nCONCLUSIONS: Currently recommended glucose intakes aggravated hyperglycemia in children early after cardiac surgery with CPB. Reduced glucose intake decreased blood glucose concentrations without causing hypoglycemia or affecting protein catabolism, but increased glycogenolysis.\nTRIAL REGISTRATION: Dutch trial register NTR2079.","container-title":"Critical Care (London, England)","DOI":"10.1186/cc11658","ISSN":"1466-609X","issue":"5","journalAbbreviation":"Crit Care","language":"eng","note":"PMID: 23031354\nPMCID: PMC3682276","page":"R176","source":"PubMed","title":"Does a reduced glucose intake prevent hyperglycemia in children early after cardiac surgery? a randomized controlled crossover study","title-short":"Does a reduced glucose intake prevent hyperglycemia in children early after cardiac surgery?","volume":"16","author":[{"family":"Betue","given":"Carlijn T. I.","non-dropping-particle":"de"},{"family":"Verbruggen","given":"Sascha C. A. T."},{"family":"Schierbeek","given":"Henk"},{"family":"Chacko","given":"Shaji K."},{"family":"Bogers","given":"Ad J. J. C."},{"family":"Goudoever","given":"Johannes B.","non-dropping-particle":"van"},{"family":"Joosten","given":"Koen F. M."}],"issued":{"date-parts":[["2012",10,2]]}},"label":"page"},{"id":30095,"uris":["http://zotero.org/users/874466/items/N5L3ZLCS"],"itemData":{"id":30095,"type":"article-journal","abstract":"OBJECTIVE: To compare plasma glucose levels and incidence of hyperglycaemia in the post-operative period after general surgery using fluids with different glucose.\nMETHODOLOGY: A randomised, open-label, non-blind, clinical trial was conducted on patients admitted to Paediatric Intensive Care Unit after elective surgery. The inclusion criteria were from 6 months to 14 years of age, with a weight greater than 6kg, onset glucose level &gt;60mg/dL, and a signed informed consent, with no oral intake and maintenance intravenous fluid therapy using fluids with 3.3% or 5% glucose. Plasma glucose levels were measured before surgery, on admission, and 8, 24, and 48h, with the mean glucose levels and incidence of hyperglycaemia (glucose level &gt;150mg/dL) in both groups being compared.\nRESULTS: A total of 60 patients received glucose/saline 1/3 (51mEq/L sodium and 33g/L glucose), and 70 glucose/saline 5/0.9% (154mEq/L sodium and 50g/L glucose). Mean glucose levels were higher in the group receiving glucose 5%, with no statistical difference. There was no significant difference in the incidence of hyperglycaemia; 8h: 26% in the 3.3% group vs. 21.3% in the 5% group (P=.63); 24h: 20% vs. 22.7% (P=.8); and 48h: 19% vs. 23.1% (P=.78).\nCONCLUSIONS: The use of fluids with 3.3% glucose in the post-operative period of general surgery maintains mean glucose levels in a similar range to that of patients receiving fluids with 5% glucose, with no difference in the incidence of hyperglycaemia.","container-title":"Anales De Pediatria","DOI":"10.1016/j.anpedi.2017.10.002","ISSN":"2341-2879","issue":"2","journalAbbreviation":"An Pediatr (Engl Ed)","language":"spa","note":"PMID: 29132842","page":"98-103","source":"PubMed","title":"[A comparison of post-surgical plasma glucose levels in patients on fluids with different glucose concentrations]","volume":"89","author":[{"family":"Martínez Carapeto","given":"Isabel"},{"family":"López Castilla","given":"José Domingo"},{"family":"Fresneda Gutiérrez","given":"Reyes"}],"issued":{"date-parts":[["2018",8]]}},"label":"page"},{"id":36056,"uris":["http://zotero.org/users/874466/items/5LCAD7AE"],"itemData":{"id":36056,"type":"article-journal","abstract":"BACKGROUND &amp; AIMS: To investigate the effects of two different glucose infusions on glucose homeostasis and amino acid metabolism in post-surgical children.\nMETHODS: This randomized crossover study evaluated glucose and amino acid metabolism in eight children (age 9.8 ± 1.9 months, weight 9.5 ± 1.1 kg) admitted to a pediatric intensive care unit in a tertiary university hospital after surgical correction for non-syndromal craniosynostosis. Patients were randomized to receive low (LG; 2.5 mg kg(-1) min(-1)) and standard (SG; 5.0 mg kg(-1) min(-1)) glucose infusion in a crossover setting. After a bolus (4 g kg(-1)) of deuterium oxide, we conducted a primed, constant, 8 h tracer infusion with [6,6-²H₂]Glucose, [1-¹³C]Leucine, [ring-²H₅]Phenylalanine and [3,3-²H₂]Tyrosine.\nRESULTS: SG resulted in hyperglycemia (defined as &gt; 6.1 mmol L(-1)), while during LG plasma glucose levels were normoglycemic (5.9 ± 0.6 vs. 7.5 ± 1.7 mmol L(-1); LG vs. SG respectively, p = 0.02). Hypoglycemia did not occur during LG infusion. Endogenous glucose production was not fully suppressed during the hyperglycemic state under SG and increased with reduced glucose infusion (2.6 ± 1.5 vs. 1.1 ± 1.4 mg kg(-1) min(-1); LG vs. SG; p = 0.05). Whole body protein balance derived from leucine and phenylalanine kinetics was slightly negative but not further affected with a decrease in glucose infusion.\nCONCLUSIONS: The current recommended glucose infusion induces hyperglycemia in post-surgical children. A reduced glucose infusion safely reduced high glucose levels, while children were capable to sustain normoglycemia with increased endogenous glucose production. The reduced glucose infusion did not exacerbate the mild catabolic state in which the patients were.","container-title":"Clinical Nutrition (Edinburgh, Scotland)","DOI":"10.1016/j.clnu.2011.05.011","ISSN":"1532-1983","issue":"6","journalAbbreviation":"Clin Nutr","language":"eng","note":"PMID: 21719165","page":"786-792","source":"PubMed","title":"Reducing glucose infusion safely prevents hyperglycemia in post-surgical children","volume":"30","author":[{"family":"Verbruggen","given":"Sascha C. A. T."},{"family":"Betue","given":"Carlijn T. I.","non-dropping-particle":"de"},{"family":"Schierbeek","given":"Henk"},{"family":"Chacko","given":"Shaji"},{"family":"Adrichem","given":"Leon N. A.","non-dropping-particle":"van"},{"family":"Verhoeven","given":"Jennifer"},{"family":"Goudoever","given":"Johannes B.","non-dropping-particle":"van"},{"family":"Joosten","given":"Koen F. M."}],"issued":{"date-parts":[["2011",12]]}},"label":"page"}],"schema":"https://github.com/citation-style-language/schema/raw/master/csl-citation.json"} </w:instrText>
      </w:r>
      <w:r w:rsidR="0074001C"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szCs w:val="24"/>
        </w:rPr>
        <w:t>[15–17]</w:t>
      </w:r>
      <w:r w:rsidR="0074001C"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and one observational study </w:t>
      </w:r>
      <w:r w:rsidR="0074001C"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{"citationID":"0W6FUpVJ","properties":{"formattedCitation":"[18]","plainCitation":"[18]","noteIndex":0},"citationItems":[{"id":30097,"uris":["http://zotero.org/users/874466/items/UK3DIUP4"],"itemData":{"id":30097,"type":"article-journal","abstract":"Introduction: The aim of this study was to investigate the role of the insulin and glucose content of the maintenance ﬂuid in inﬂuencing the outcomes of pediatric patients undergoing heart surgery. Methods: A total of 2063 consecutive pediatric patients undergoing cardiac surgery were screened between 2003 and 2008. A dextrose and an insulin propensity-matched group were constructed. In the dextrose model, 5% and 10% dextrose maintenance infusions were compared below 20 kg of weight. Results: A total of 171 and 298 pairs of patients were matched in the insulin and glucose model, respectively. Mortality was lower in the insulin group (12.9% vs. 7%, p = 0.049). The insulin group had longer intensive care unit (ICU) stay [days, 10.9 (5.8–18.4) vs. 13.7 (8.2–21), p = 0.003], hospital stay [days, 19.8 (13.6–26.6) vs. 22.7 (17.6–29.7), p &lt; 0.01], duration of mechanical ventilation [hours, 67 (19–140) vs. 107 (45–176), p = 0.006], and the incidence of severe infections (18.1% vs. 28.7%, p = 0.01) and dialysis (11.7% vs. 24%, p = 0.001) was higher. In the dextrose model, the incidence of pulmonary complications (13.09% vs. 22.5%, p &lt; 0.01), low cardiac output (17.11% vs. 30.9%, p &lt; 0.01), and severe infections (10.07% vs. 20.5%, p &lt; 0.01) was higher, and the duration of the hospital stay [days, 16.4 (13.1–21.6) vs. 18.1 (13.8–24.6), p &lt; 0.01] was longer in the 10% dextrose group. Conclusions: Insulin treatment appeared to decrease mortality, and lower glucose content was associated with lower occurrence of adverse events.","language":"en","page":"10","source":"Zotero","title":"Impact of the insulin and glucose content of the postoperative ﬂuid on the outcome after pediatric cardiac surgery","author":[{"family":"Lex","given":"Dániel J"},{"family":"Szántó","given":"Péter"},{"family":"Breuer","given":"Tamás"},{"family":"Tóth","given":"Roland"},{"family":"Gergely","given":"Mihály"},{"family":"Prodán","given":"Zsolt"},{"family":"Sápi","given":"Erzsébet"},{"family":"Szatmári","given":"András"},{"family":"Szántó","given":"Tamás"},{"family":"Gál","given":"János"},{"family":"Székely","given":"Andrea"}],"issued":{"date-parts":[["2014"]]}}}],"schema":"https://github.com/citation-style-language/schema/raw/master/csl-citation.json"} </w:instrText>
      </w:r>
      <w:r w:rsidR="0074001C"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[18]</w:t>
      </w:r>
      <w:r w:rsidR="0074001C"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Two blinded cross-over RCTs, using stable isotope techniques, compared a glucose infusion providing 2.5 mg/kg/min (3.6 g/kg/day) versus 5.0 mg/kg/min (7.2 g/kg/day) in critically ill infants admitted to PICU after surgery </w:t>
      </w:r>
      <w:r w:rsidR="00A85475"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{"citationID":"1ODFLiaI","properties":{"formattedCitation":"[15, 17]","plainCitation":"[15, 17]","noteIndex":0},"citationItems":[{"id":36053,"uris":["http://zotero.org/users/874466/items/QZ5MDRAY"],"itemData":{"id":36053,"type":"article-journal","abstract":"INTRODUCTION: Hyperglycemia in children after cardiac surgery can be treated with intensive insulin therapy, but hypoglycemia is a potential serious side effect. The aim of this study was to investigate the effects of reducing glucose intake below standard intakes to prevent hyperglycemia, on blood glucose concentrations, glucose kinetics and protein catabolism in children after cardiac surgery with cardiopulmonary bypass (CPB).\nMETHODS: Subjects received a 4-hour low glucose (LG; 2.5 mg/kg per minute) and a 4-hour standard glucose (SG; 5.0 mg/kg per minute) infusion in a randomized blinded crossover setting. Simultaneously, an 8-hour stable isotope tracer protocol was conducted to determine glucose and leucine kinetics. Data are presented as mean ± SD or median (IQR); comparison was made by paired samples t test.\nRESULTS: Eleven subjects (age 5.1 (20.2) months) were studied 9.5 ± 1.9 hours post-cardiac surgery. Blood glucose concentrations were lower during LG than SG (LG 7.3 ± 0.7 vs. SG 9.3 ± 1.8 mmol/L; P &lt; 0.01), although the glycemic target (4.0-6.0 mmol/L) was not achieved. No hypoglycemic events occurred. Endogenous glucose production was higher during LG than SG (LG 2.9 ± 0.8 vs. SG 1.5 ± 1.1 mg/kg per minute; P = 0.02), due to increased glycogenolysis (LG 1.0 ± 0.6 vs. SG 0.0 ± 1.0 mg/kg per minute; P &lt; 0.05). Leucine balance, indicating protein balance, was negative but not affected by glucose intake (LG -54.8 ± 14.6 vs. SG -58.8 ± 16.7 μmol/kg per hour; P = 0.57).\nCONCLUSIONS: Currently recommended glucose intakes aggravated hyperglycemia in children early after cardiac surgery with CPB. Reduced glucose intake decreased blood glucose concentrations without causing hypoglycemia or affecting protein catabolism, but increased glycogenolysis.\nTRIAL REGISTRATION: Dutch trial register NTR2079.","container-title":"Critical Care (London, England)","DOI":"10.1186/cc11658","ISSN":"1466-609X","issue":"5","journalAbbreviation":"Crit Care","language":"eng","note":"PMID: 23031354\nPMCID: PMC3682276","page":"R176","source":"PubMed","title":"Does a reduced glucose intake prevent hyperglycemia in children early after cardiac surgery? a randomized controlled crossover study","title-short":"Does a reduced glucose intake prevent hyperglycemia in children early after cardiac surgery?","volume":"16","author":[{"family":"Betue","given":"Carlijn T. I.","non-dropping-particle":"de"},{"family":"Verbruggen","given":"Sascha C. A. T."},{"family":"Schierbeek","given":"Henk"},{"family":"Chacko","given":"Shaji K."},{"family":"Bogers","given":"Ad J. J. C."},{"family":"Goudoever","given":"Johannes B.","non-dropping-particle":"van"},{"family":"Joosten","given":"Koen F. M."}],"issued":{"date-parts":[["2012",10,2]]}},"label":"page"},{"id":36056,"uris":["http://zotero.org/users/874466/items/5LCAD7AE"],"itemData":{"id":36056,"type":"article-journal","abstract":"BACKGROUND &amp; AIMS: To investigate the effects of two different glucose infusions on glucose homeostasis and amino acid metabolism in post-surgical children.\nMETHODS: This randomized crossover study evaluated glucose and amino acid metabolism in eight children (age 9.8 ± 1.9 months, weight 9.5 ± 1.1 kg) admitted to a pediatric intensive care unit in a tertiary university hospital after surgical correction for non-syndromal craniosynostosis. Patients were randomized to receive low (LG; 2.5 mg kg(-1) min(-1)) and standard (SG; 5.0 mg kg(-1) min(-1)) glucose infusion in a crossover setting. After a bolus (4 g kg(-1)) of deuterium oxide, we conducted a primed, constant, 8 h tracer infusion with [6,6-²H₂]Glucose, [1-¹³C]Leucine, [ring-²H₅]Phenylalanine and [3,3-²H₂]Tyrosine.\nRESULTS: SG resulted in hyperglycemia (defined as &gt; 6.1 mmol L(-1)), while during LG plasma glucose levels were normoglycemic (5.9 ± 0.6 vs. 7.5 ± 1.7 mmol L(-1); LG vs. SG respectively, p = 0.02). Hypoglycemia did not occur during LG infusion. Endogenous glucose production was not fully suppressed during the hyperglycemic state under SG and increased with reduced glucose infusion (2.6 ± 1.5 vs. 1.1 ± 1.4 mg kg(-1) min(-1); LG vs. SG; p = 0.05). Whole body protein balance derived from leucine and phenylalanine kinetics was slightly negative but not further affected with a decrease in glucose infusion.\nCONCLUSIONS: The current recommended glucose infusion induces hyperglycemia in post-surgical children. A reduced glucose infusion safely reduced high glucose levels, while children were capable to sustain normoglycemia with increased endogenous glucose production. The reduced glucose infusion did not exacerbate the mild catabolic state in which the patients were.","container-title":"Clinical Nutrition (Edinburgh, Scotland)","DOI":"10.1016/j.clnu.2011.05.011","ISSN":"1532-1983","issue":"6","journalAbbreviation":"Clin Nutr","language":"eng","note":"PMID: 21719165","page":"786-792","source":"PubMed","title":"Reducing glucose infusion safely prevents hyperglycemia in post-surgical children","volume":"30","author":[{"family":"Verbruggen","given":"Sascha C. A. T."},{"family":"Betue","given":"Carlijn T. I.","non-dropping-particle":"de"},{"family":"Schierbeek","given":"Henk"},{"family":"Chacko","given":"Shaji"},{"family":"Adrichem","given":"Leon N. A.","non-dropping-particle":"van"},{"family":"Verhoeven","given":"Jennifer"},{"family":"Goudoever","given":"Johannes B.","non-dropping-particle":"van"},{"family":"Joosten","given":"Koen F. M."}],"issued":{"date-parts":[["2011",12]]}},"label":"page"}],"schema":"https://github.com/citation-style-language/schema/raw/master/csl-citation.json"} </w:instrText>
      </w:r>
      <w:r w:rsidR="00A85475"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[15, 17]</w:t>
      </w:r>
      <w:r w:rsidR="00A85475"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In the group receiving 5 mg/kg/min, patients were </w:t>
      </w:r>
      <w:r w:rsidR="00A85475" w:rsidRPr="00D07339">
        <w:rPr>
          <w:rFonts w:ascii="Times New Roman" w:eastAsia="Arial" w:hAnsi="Times New Roman" w:cs="Times New Roman"/>
          <w:sz w:val="24"/>
          <w:szCs w:val="24"/>
          <w:lang w:val="en-GB"/>
        </w:rPr>
        <w:t>hyperglycaemic</w:t>
      </w:r>
      <w:r w:rsidR="00BB3A81" w:rsidRPr="00D07339">
        <w:rPr>
          <w:rFonts w:ascii="Times New Roman" w:eastAsia="Arial" w:hAnsi="Times New Roman" w:cs="Times New Roman"/>
          <w:sz w:val="24"/>
          <w:szCs w:val="24"/>
          <w:lang w:val="en-GB"/>
        </w:rPr>
        <w:t xml:space="preserve"> while in the groups receiving low glucose infusion, blood glucose concentrations were lower</w:t>
      </w:r>
      <w:r w:rsidRPr="00D07339">
        <w:rPr>
          <w:rFonts w:ascii="Times New Roman" w:eastAsia="Arial" w:hAnsi="Times New Roman" w:cs="Times New Roman"/>
          <w:sz w:val="24"/>
          <w:szCs w:val="24"/>
          <w:lang w:val="en-GB"/>
        </w:rPr>
        <w:t>, but</w:t>
      </w:r>
      <w:r w:rsidR="00BB3A81" w:rsidRPr="00D07339">
        <w:rPr>
          <w:rFonts w:ascii="Times New Roman" w:eastAsia="Arial" w:hAnsi="Times New Roman" w:cs="Times New Roman"/>
          <w:sz w:val="24"/>
          <w:szCs w:val="24"/>
          <w:lang w:val="en-GB"/>
        </w:rPr>
        <w:t xml:space="preserve"> without causing </w:t>
      </w:r>
      <w:r w:rsidR="00A85475" w:rsidRPr="00D07339">
        <w:rPr>
          <w:rFonts w:ascii="Times New Roman" w:eastAsia="Arial" w:hAnsi="Times New Roman" w:cs="Times New Roman"/>
          <w:sz w:val="24"/>
          <w:szCs w:val="24"/>
          <w:lang w:val="en-GB"/>
        </w:rPr>
        <w:t>hypoglycaemia</w:t>
      </w:r>
      <w:r w:rsidR="00BB3A81" w:rsidRPr="00D07339">
        <w:rPr>
          <w:rFonts w:ascii="Times New Roman" w:eastAsia="Arial" w:hAnsi="Times New Roman" w:cs="Times New Roman"/>
          <w:sz w:val="24"/>
          <w:szCs w:val="24"/>
          <w:lang w:val="en-GB"/>
        </w:rPr>
        <w:t xml:space="preserve"> or affecting protein metabolism. The authors concluded a reduced glucose infusion safely reduced</w:t>
      </w:r>
      <w:r w:rsidRPr="00D07339">
        <w:rPr>
          <w:rFonts w:ascii="Times New Roman" w:eastAsia="Arial" w:hAnsi="Times New Roman" w:cs="Times New Roman"/>
          <w:sz w:val="24"/>
          <w:szCs w:val="24"/>
          <w:lang w:val="en-GB"/>
        </w:rPr>
        <w:t xml:space="preserve"> </w:t>
      </w:r>
      <w:r w:rsidR="00A85475" w:rsidRPr="00D07339">
        <w:rPr>
          <w:rFonts w:ascii="Times New Roman" w:eastAsia="Arial" w:hAnsi="Times New Roman" w:cs="Times New Roman"/>
          <w:sz w:val="24"/>
          <w:szCs w:val="24"/>
          <w:lang w:val="en-GB"/>
        </w:rPr>
        <w:t>hyperglycaemia</w:t>
      </w:r>
      <w:r w:rsidR="00BB3A81" w:rsidRPr="00D07339">
        <w:rPr>
          <w:rFonts w:ascii="Times New Roman" w:eastAsia="Arial" w:hAnsi="Times New Roman" w:cs="Times New Roman"/>
          <w:sz w:val="24"/>
          <w:szCs w:val="24"/>
          <w:lang w:val="en-GB"/>
        </w:rPr>
        <w:t xml:space="preserve">, while </w:t>
      </w:r>
      <w:r w:rsidRPr="00D07339">
        <w:rPr>
          <w:rFonts w:ascii="Times New Roman" w:eastAsia="Arial" w:hAnsi="Times New Roman" w:cs="Times New Roman"/>
          <w:sz w:val="24"/>
          <w:szCs w:val="24"/>
          <w:lang w:val="en-GB"/>
        </w:rPr>
        <w:t xml:space="preserve">maintaining </w:t>
      </w:r>
      <w:r w:rsidR="00BB3A81" w:rsidRPr="00D07339">
        <w:rPr>
          <w:rFonts w:ascii="Times New Roman" w:eastAsia="Arial" w:hAnsi="Times New Roman" w:cs="Times New Roman"/>
          <w:sz w:val="24"/>
          <w:szCs w:val="24"/>
          <w:lang w:val="en-GB"/>
        </w:rPr>
        <w:t>normoglyc</w:t>
      </w:r>
      <w:r w:rsidR="00A85475" w:rsidRPr="00D07339">
        <w:rPr>
          <w:rFonts w:ascii="Times New Roman" w:eastAsia="Arial" w:hAnsi="Times New Roman" w:cs="Times New Roman"/>
          <w:sz w:val="24"/>
          <w:szCs w:val="24"/>
          <w:lang w:val="en-GB"/>
        </w:rPr>
        <w:t>a</w:t>
      </w:r>
      <w:r w:rsidR="00BB3A81" w:rsidRPr="00D07339">
        <w:rPr>
          <w:rFonts w:ascii="Times New Roman" w:eastAsia="Arial" w:hAnsi="Times New Roman" w:cs="Times New Roman"/>
          <w:sz w:val="24"/>
          <w:szCs w:val="24"/>
          <w:lang w:val="en-GB"/>
        </w:rPr>
        <w:t xml:space="preserve">emia with increased endogenous glucose production. Although both studies used a rigorous methodology, they were </w:t>
      </w:r>
      <w:r w:rsidRPr="00D07339">
        <w:rPr>
          <w:rFonts w:ascii="Times New Roman" w:eastAsia="Arial" w:hAnsi="Times New Roman" w:cs="Times New Roman"/>
          <w:sz w:val="24"/>
          <w:szCs w:val="24"/>
          <w:lang w:val="en-GB"/>
        </w:rPr>
        <w:t xml:space="preserve">very </w:t>
      </w:r>
      <w:r w:rsidR="00BB3A81" w:rsidRPr="00D07339">
        <w:rPr>
          <w:rFonts w:ascii="Times New Roman" w:eastAsia="Arial" w:hAnsi="Times New Roman" w:cs="Times New Roman"/>
          <w:sz w:val="24"/>
          <w:szCs w:val="24"/>
          <w:lang w:val="en-GB"/>
        </w:rPr>
        <w:t xml:space="preserve">small with eight and eleven children included respectively, </w:t>
      </w:r>
      <w:r w:rsidRPr="00D07339">
        <w:rPr>
          <w:rFonts w:ascii="Times New Roman" w:eastAsia="Arial" w:hAnsi="Times New Roman" w:cs="Times New Roman"/>
          <w:sz w:val="24"/>
          <w:szCs w:val="24"/>
          <w:lang w:val="en-GB"/>
        </w:rPr>
        <w:t xml:space="preserve">and these were </w:t>
      </w:r>
      <w:r w:rsidR="00A85475" w:rsidRPr="00D07339">
        <w:rPr>
          <w:rFonts w:ascii="Times New Roman" w:eastAsia="Arial" w:hAnsi="Times New Roman" w:cs="Times New Roman"/>
          <w:sz w:val="24"/>
          <w:szCs w:val="24"/>
          <w:lang w:val="en-GB"/>
        </w:rPr>
        <w:t>only examined</w:t>
      </w:r>
      <w:r w:rsidR="00BB3A81" w:rsidRPr="00D07339">
        <w:rPr>
          <w:rFonts w:ascii="Times New Roman" w:eastAsia="Arial" w:hAnsi="Times New Roman" w:cs="Times New Roman"/>
          <w:sz w:val="24"/>
          <w:szCs w:val="24"/>
          <w:lang w:val="en-GB"/>
        </w:rPr>
        <w:t xml:space="preserve"> within </w:t>
      </w:r>
      <w:r w:rsidRPr="00D07339">
        <w:rPr>
          <w:rFonts w:ascii="Times New Roman" w:eastAsia="Arial" w:hAnsi="Times New Roman" w:cs="Times New Roman"/>
          <w:sz w:val="24"/>
          <w:szCs w:val="24"/>
          <w:lang w:val="en-GB"/>
        </w:rPr>
        <w:t xml:space="preserve">the first </w:t>
      </w:r>
      <w:r w:rsidR="00BB3A81" w:rsidRPr="00D07339">
        <w:rPr>
          <w:rFonts w:ascii="Times New Roman" w:eastAsia="Arial" w:hAnsi="Times New Roman" w:cs="Times New Roman"/>
          <w:sz w:val="24"/>
          <w:szCs w:val="24"/>
          <w:lang w:val="en-GB"/>
        </w:rPr>
        <w:t>24 hours</w:t>
      </w:r>
      <w:r w:rsidR="00BB3A81" w:rsidRPr="00D07339">
        <w:rPr>
          <w:rFonts w:ascii="Times New Roman" w:eastAsia="Arial" w:hAnsi="Times New Roman" w:cs="Times New Roman"/>
          <w:color w:val="6AA84F"/>
          <w:sz w:val="24"/>
          <w:szCs w:val="24"/>
          <w:lang w:val="en-GB"/>
        </w:rPr>
        <w:t xml:space="preserve"> </w:t>
      </w:r>
      <w:r w:rsidR="00BB3A81" w:rsidRPr="00D07339">
        <w:rPr>
          <w:rFonts w:ascii="Times New Roman" w:eastAsia="Arial" w:hAnsi="Times New Roman" w:cs="Times New Roman"/>
          <w:sz w:val="24"/>
          <w:szCs w:val="24"/>
          <w:lang w:val="en-GB"/>
        </w:rPr>
        <w:t xml:space="preserve">after PICU admission. </w:t>
      </w:r>
    </w:p>
    <w:p w14:paraId="078C8A8F" w14:textId="308F6B61" w:rsidR="000D4BB6" w:rsidRPr="00D07339" w:rsidRDefault="00AD1628" w:rsidP="00313EC9">
      <w:pPr>
        <w:spacing w:before="240" w:after="24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M</w:t>
      </w:r>
      <w:r w:rsidR="00BB3A81" w:rsidRPr="00D07339">
        <w:rPr>
          <w:rFonts w:ascii="Times New Roman" w:eastAsia="Arial" w:hAnsi="Times New Roman" w:cs="Times New Roman"/>
          <w:sz w:val="24"/>
          <w:szCs w:val="24"/>
          <w:lang w:val="en-GB"/>
        </w:rPr>
        <w:t>ore recent</w:t>
      </w:r>
      <w:r w:rsidRPr="00D07339">
        <w:rPr>
          <w:rFonts w:ascii="Times New Roman" w:eastAsia="Arial" w:hAnsi="Times New Roman" w:cs="Times New Roman"/>
          <w:sz w:val="24"/>
          <w:szCs w:val="24"/>
          <w:lang w:val="en-GB"/>
        </w:rPr>
        <w:t>ly a</w:t>
      </w:r>
      <w:r w:rsidR="00BB3A81" w:rsidRPr="00D07339">
        <w:rPr>
          <w:rFonts w:ascii="Times New Roman" w:eastAsia="Arial" w:hAnsi="Times New Roman" w:cs="Times New Roman"/>
          <w:sz w:val="24"/>
          <w:szCs w:val="24"/>
          <w:lang w:val="en-GB"/>
        </w:rPr>
        <w:t xml:space="preserve"> non-blinded RCT in 130 children admitted to PICU after elective surgery</w:t>
      </w:r>
      <w:r w:rsidR="00961C1C" w:rsidRPr="00D07339">
        <w:rPr>
          <w:rFonts w:ascii="Times New Roman" w:eastAsia="Arial" w:hAnsi="Times New Roman" w:cs="Times New Roman"/>
          <w:sz w:val="24"/>
          <w:szCs w:val="24"/>
          <w:lang w:val="en-GB"/>
        </w:rPr>
        <w:t xml:space="preserve"> was undertaken</w:t>
      </w:r>
      <w:r w:rsidR="003D3B09" w:rsidRPr="00D07339">
        <w:rPr>
          <w:rFonts w:ascii="Times New Roman" w:eastAsia="Arial" w:hAnsi="Times New Roman" w:cs="Times New Roman"/>
          <w:sz w:val="24"/>
          <w:szCs w:val="24"/>
          <w:lang w:val="en-GB"/>
        </w:rPr>
        <w:t xml:space="preserve"> </w:t>
      </w:r>
      <w:r w:rsidR="003D3B09"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{"citationID":"0sGxlHoR","properties":{"formattedCitation":"[16]","plainCitation":"[16]","noteIndex":0},"citationItems":[{"id":30095,"uris":["http://zotero.org/users/874466/items/N5L3ZLCS"],"itemData":{"id":30095,"type":"article-journal","abstract":"OBJECTIVE: To compare plasma glucose levels and incidence of hyperglycaemia in the post-operative period after general surgery using fluids with different glucose.\nMETHODOLOGY: A randomised, open-label, non-blind, clinical trial was conducted on patients admitted to Paediatric Intensive Care Unit after elective surgery. The inclusion criteria were from 6 months to 14 years of age, with a weight greater than 6kg, onset glucose level &gt;60mg/dL, and a signed informed consent, with no oral intake and maintenance intravenous fluid therapy using fluids with 3.3% or 5% glucose. Plasma glucose levels were measured before surgery, on admission, and 8, 24, and 48h, with the mean glucose levels and incidence of hyperglycaemia (glucose level &gt;150mg/dL) in both groups being compared.\nRESULTS: A total of 60 patients received glucose/saline 1/3 (51mEq/L sodium and 33g/L glucose), and 70 glucose/saline 5/0.9% (154mEq/L sodium and 50g/L glucose). Mean glucose levels were higher in the group receiving glucose 5%, with no statistical difference. There was no significant difference in the incidence of hyperglycaemia; 8h: 26% in the 3.3% group vs. 21.3% in the 5% group (P=.63); 24h: 20% vs. 22.7% (P=.8); and 48h: 19% vs. 23.1% (P=.78).\nCONCLUSIONS: The use of fluids with 3.3% glucose in the post-operative period of general surgery maintains mean glucose levels in a similar range to that of patients receiving fluids with 5% glucose, with no difference in the incidence of hyperglycaemia.","container-title":"Anales De Pediatria","DOI":"10.1016/j.anpedi.2017.10.002","ISSN":"2341-2879","issue":"2","journalAbbreviation":"An Pediatr (Engl Ed)","language":"spa","note":"PMID: 29132842","page":"98-103","source":"PubMed","title":"[A comparison of post-surgical plasma glucose levels in patients on fluids with different glucose concentrations]","volume":"89","author":[{"family":"Martínez Carapeto","given":"Isabel"},{"family":"López Castilla","given":"José Domingo"},{"family":"Fresneda Gutiérrez","given":"Reyes"}],"issued":{"date-parts":[["2018",8]]}}}],"schema":"https://github.com/citation-style-language/schema/raw/master/csl-citation.json"} </w:instrText>
      </w:r>
      <w:r w:rsidR="003D3B09"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[16]</w:t>
      </w:r>
      <w:r w:rsidR="003D3B09" w:rsidRPr="00D07339">
        <w:rPr>
          <w:rFonts w:ascii="Times New Roman" w:eastAsia="Arial" w:hAnsi="Times New Roman" w:cs="Times New Roman"/>
          <w:sz w:val="24"/>
          <w:szCs w:val="24"/>
          <w:lang w:val="en-GB"/>
        </w:rPr>
        <w:fldChar w:fldCharType="end"/>
      </w:r>
      <w:r w:rsidR="00961C1C"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 xml:space="preserve">Sixty patients, (mean age: 56 ± 48 months) received IV-MFT containing 3.3% glucose (glucose/saline 1/3: 51 </w:t>
      </w:r>
      <w:proofErr w:type="spellStart"/>
      <w:r w:rsidR="00BB3A81" w:rsidRPr="00D07339">
        <w:rPr>
          <w:rFonts w:ascii="Times New Roman" w:eastAsia="Arial" w:hAnsi="Times New Roman" w:cs="Times New Roman"/>
          <w:sz w:val="24"/>
          <w:szCs w:val="24"/>
          <w:lang w:val="en-GB"/>
        </w:rPr>
        <w:t>mEq</w:t>
      </w:r>
      <w:proofErr w:type="spellEnd"/>
      <w:r w:rsidR="00BB3A81" w:rsidRPr="00D07339">
        <w:rPr>
          <w:rFonts w:ascii="Times New Roman" w:eastAsia="Arial" w:hAnsi="Times New Roman" w:cs="Times New Roman"/>
          <w:sz w:val="24"/>
          <w:szCs w:val="24"/>
          <w:lang w:val="en-GB"/>
        </w:rPr>
        <w:t xml:space="preserve">/L sodium and 33 g/L glucose) and 70 patients (mean age: 71 ± 50) received IV-MFT with 5% glucose (glucose/saline 5/0.9%: 154 </w:t>
      </w:r>
      <w:proofErr w:type="spellStart"/>
      <w:r w:rsidR="00BB3A81" w:rsidRPr="00D07339">
        <w:rPr>
          <w:rFonts w:ascii="Times New Roman" w:eastAsia="Arial" w:hAnsi="Times New Roman" w:cs="Times New Roman"/>
          <w:sz w:val="24"/>
          <w:szCs w:val="24"/>
          <w:lang w:val="en-GB"/>
        </w:rPr>
        <w:t>mEq</w:t>
      </w:r>
      <w:proofErr w:type="spellEnd"/>
      <w:r w:rsidR="00BB3A81" w:rsidRPr="00D07339">
        <w:rPr>
          <w:rFonts w:ascii="Times New Roman" w:eastAsia="Arial" w:hAnsi="Times New Roman" w:cs="Times New Roman"/>
          <w:sz w:val="24"/>
          <w:szCs w:val="24"/>
          <w:lang w:val="en-GB"/>
        </w:rPr>
        <w:t xml:space="preserve">/L sodium and 50 g/L glucose). There was no statistical difference in </w:t>
      </w:r>
      <w:r w:rsidR="00961C1C" w:rsidRPr="00D07339">
        <w:rPr>
          <w:rFonts w:ascii="Times New Roman" w:eastAsia="Arial" w:hAnsi="Times New Roman" w:cs="Times New Roman"/>
          <w:sz w:val="24"/>
          <w:szCs w:val="24"/>
          <w:lang w:val="en-GB"/>
        </w:rPr>
        <w:t xml:space="preserve">the </w:t>
      </w:r>
      <w:r w:rsidR="00BB3A81" w:rsidRPr="00D07339">
        <w:rPr>
          <w:rFonts w:ascii="Times New Roman" w:eastAsia="Arial" w:hAnsi="Times New Roman" w:cs="Times New Roman"/>
          <w:sz w:val="24"/>
          <w:szCs w:val="24"/>
          <w:lang w:val="en-GB"/>
        </w:rPr>
        <w:t xml:space="preserve">mean glucose levels or in the incidence of </w:t>
      </w:r>
      <w:r w:rsidR="003D3B09" w:rsidRPr="00D07339">
        <w:rPr>
          <w:rFonts w:ascii="Times New Roman" w:eastAsia="Arial" w:hAnsi="Times New Roman" w:cs="Times New Roman"/>
          <w:sz w:val="24"/>
          <w:szCs w:val="24"/>
          <w:lang w:val="en-GB"/>
        </w:rPr>
        <w:t>hyperglycaemia</w:t>
      </w:r>
      <w:r w:rsidR="00BB3A81" w:rsidRPr="00D07339">
        <w:rPr>
          <w:rFonts w:ascii="Times New Roman" w:eastAsia="Arial" w:hAnsi="Times New Roman" w:cs="Times New Roman"/>
          <w:sz w:val="24"/>
          <w:szCs w:val="24"/>
          <w:lang w:val="en-GB"/>
        </w:rPr>
        <w:t xml:space="preserve"> measured on PICU admission, and </w:t>
      </w:r>
      <w:proofErr w:type="gramStart"/>
      <w:r w:rsidR="00BB3A81" w:rsidRPr="00D07339">
        <w:rPr>
          <w:rFonts w:ascii="Times New Roman" w:eastAsia="Arial" w:hAnsi="Times New Roman" w:cs="Times New Roman"/>
          <w:sz w:val="24"/>
          <w:szCs w:val="24"/>
          <w:lang w:val="en-GB"/>
        </w:rPr>
        <w:t>8, 24, and 48 hours</w:t>
      </w:r>
      <w:proofErr w:type="gramEnd"/>
      <w:r w:rsidR="00BB3A81" w:rsidRPr="00D07339">
        <w:rPr>
          <w:rFonts w:ascii="Times New Roman" w:eastAsia="Arial" w:hAnsi="Times New Roman" w:cs="Times New Roman"/>
          <w:sz w:val="24"/>
          <w:szCs w:val="24"/>
          <w:lang w:val="en-GB"/>
        </w:rPr>
        <w:t xml:space="preserve"> following admission. The authors concluded</w:t>
      </w:r>
      <w:r w:rsidR="00961C1C" w:rsidRPr="00D07339">
        <w:rPr>
          <w:rFonts w:ascii="Times New Roman" w:eastAsia="Arial" w:hAnsi="Times New Roman" w:cs="Times New Roman"/>
          <w:sz w:val="24"/>
          <w:szCs w:val="24"/>
          <w:lang w:val="en-GB"/>
        </w:rPr>
        <w:t xml:space="preserve"> that</w:t>
      </w:r>
      <w:r w:rsidR="00BB3A81" w:rsidRPr="00D07339">
        <w:rPr>
          <w:rFonts w:ascii="Times New Roman" w:eastAsia="Arial" w:hAnsi="Times New Roman" w:cs="Times New Roman"/>
          <w:sz w:val="24"/>
          <w:szCs w:val="24"/>
          <w:lang w:val="en-GB"/>
        </w:rPr>
        <w:t xml:space="preserve"> the use of fluids with 3.3% glucose in the post-operative period </w:t>
      </w:r>
      <w:r w:rsidR="00961C1C" w:rsidRPr="00D07339">
        <w:rPr>
          <w:rFonts w:ascii="Times New Roman" w:eastAsia="Arial" w:hAnsi="Times New Roman" w:cs="Times New Roman"/>
          <w:sz w:val="24"/>
          <w:szCs w:val="24"/>
          <w:lang w:val="en-GB"/>
        </w:rPr>
        <w:t>after</w:t>
      </w:r>
      <w:r w:rsidR="00BB3A81" w:rsidRPr="00D07339">
        <w:rPr>
          <w:rFonts w:ascii="Times New Roman" w:eastAsia="Arial" w:hAnsi="Times New Roman" w:cs="Times New Roman"/>
          <w:sz w:val="24"/>
          <w:szCs w:val="24"/>
          <w:lang w:val="en-GB"/>
        </w:rPr>
        <w:t xml:space="preserve"> general surgery maintains glucose levels in a similar range to patients receiving fluids with 5% glucose, with no difference in the incidence of </w:t>
      </w:r>
      <w:r w:rsidR="00917CF5" w:rsidRPr="00D07339">
        <w:rPr>
          <w:rFonts w:ascii="Times New Roman" w:eastAsia="Arial" w:hAnsi="Times New Roman" w:cs="Times New Roman"/>
          <w:sz w:val="24"/>
          <w:szCs w:val="24"/>
          <w:lang w:val="en-GB"/>
        </w:rPr>
        <w:t>hyperglycaemia</w:t>
      </w:r>
      <w:r w:rsidR="00BB3A81" w:rsidRPr="00D07339">
        <w:rPr>
          <w:rFonts w:ascii="Times New Roman" w:eastAsia="Arial" w:hAnsi="Times New Roman" w:cs="Times New Roman"/>
          <w:sz w:val="24"/>
          <w:szCs w:val="24"/>
          <w:lang w:val="en-GB"/>
        </w:rPr>
        <w:t xml:space="preserve">. However, this study has </w:t>
      </w:r>
      <w:r w:rsidR="00082719" w:rsidRPr="00D07339">
        <w:rPr>
          <w:rFonts w:ascii="Times New Roman" w:eastAsia="Arial" w:hAnsi="Times New Roman" w:cs="Times New Roman"/>
          <w:sz w:val="24"/>
          <w:szCs w:val="24"/>
          <w:lang w:val="en-GB"/>
        </w:rPr>
        <w:t>some</w:t>
      </w:r>
      <w:r w:rsidR="00BB3A81" w:rsidRPr="00D07339">
        <w:rPr>
          <w:rFonts w:ascii="Times New Roman" w:eastAsia="Arial" w:hAnsi="Times New Roman" w:cs="Times New Roman"/>
          <w:sz w:val="24"/>
          <w:szCs w:val="24"/>
          <w:lang w:val="en-GB"/>
        </w:rPr>
        <w:t xml:space="preserve"> methodological weaknesses, especially the use of different maintenance fluid solutions (hypotonic versus isotonic) and no record of actual glucose intake during the study period. </w:t>
      </w:r>
    </w:p>
    <w:p w14:paraId="078C8A91" w14:textId="2BDB06E5" w:rsidR="000D4BB6" w:rsidRPr="00D07339" w:rsidRDefault="00BB3A81" w:rsidP="00313EC9">
      <w:pPr>
        <w:spacing w:before="240" w:after="24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Lex </w:t>
      </w:r>
      <w:r w:rsidRPr="00D07339">
        <w:rPr>
          <w:rFonts w:ascii="Times New Roman" w:eastAsia="Arial" w:hAnsi="Times New Roman" w:cs="Times New Roman"/>
          <w:i/>
          <w:sz w:val="24"/>
          <w:szCs w:val="24"/>
          <w:lang w:val="en-GB"/>
        </w:rPr>
        <w:t>et al</w:t>
      </w:r>
      <w:r w:rsidRPr="00D07339">
        <w:rPr>
          <w:rFonts w:ascii="Times New Roman" w:eastAsia="Arial" w:hAnsi="Times New Roman" w:cs="Times New Roman"/>
          <w:sz w:val="24"/>
          <w:szCs w:val="24"/>
          <w:lang w:val="en-GB"/>
        </w:rPr>
        <w:t xml:space="preserve">. conducted a retrospective cohort study in </w:t>
      </w:r>
      <w:r w:rsidR="00917CF5" w:rsidRPr="00D07339">
        <w:rPr>
          <w:rFonts w:ascii="Times New Roman" w:eastAsia="Arial" w:hAnsi="Times New Roman" w:cs="Times New Roman"/>
          <w:sz w:val="24"/>
          <w:szCs w:val="24"/>
          <w:lang w:val="en-GB"/>
        </w:rPr>
        <w:t>paediatric</w:t>
      </w:r>
      <w:r w:rsidRPr="00D07339">
        <w:rPr>
          <w:rFonts w:ascii="Times New Roman" w:eastAsia="Arial" w:hAnsi="Times New Roman" w:cs="Times New Roman"/>
          <w:sz w:val="24"/>
          <w:szCs w:val="24"/>
          <w:lang w:val="en-GB"/>
        </w:rPr>
        <w:t xml:space="preserve"> patients following cardiac surgery</w:t>
      </w:r>
      <w:r w:rsidR="00917CF5" w:rsidRPr="00D07339">
        <w:rPr>
          <w:rFonts w:ascii="Times New Roman" w:eastAsia="Arial" w:hAnsi="Times New Roman" w:cs="Times New Roman"/>
          <w:sz w:val="24"/>
          <w:szCs w:val="24"/>
          <w:lang w:val="en-GB"/>
        </w:rPr>
        <w:t xml:space="preserve"> </w:t>
      </w:r>
      <w:r w:rsidR="00917CF5"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{"citationID":"L72o6vwK","properties":{"formattedCitation":"[18]","plainCitation":"[18]","noteIndex":0},"citationItems":[{"id":30097,"uris":["http://zotero.org/users/874466/items/UK3DIUP4"],"itemData":{"id":30097,"type":"article-journal","abstract":"Introduction: The aim of this study was to investigate the role of the insulin and glucose content of the maintenance ﬂuid in inﬂuencing the outcomes of pediatric patients undergoing heart surgery. Methods: A total of 2063 consecutive pediatric patients undergoing cardiac surgery were screened between 2003 and 2008. A dextrose and an insulin propensity-matched group were constructed. In the dextrose model, 5% and 10% dextrose maintenance infusions were compared below 20 kg of weight. Results: A total of 171 and 298 pairs of patients were matched in the insulin and glucose model, respectively. Mortality was lower in the insulin group (12.9% vs. 7%, p = 0.049). The insulin group had longer intensive care unit (ICU) stay [days, 10.9 (5.8–18.4) vs. 13.7 (8.2–21), p = 0.003], hospital stay [days, 19.8 (13.6–26.6) vs. 22.7 (17.6–29.7), p &lt; 0.01], duration of mechanical ventilation [hours, 67 (19–140) vs. 107 (45–176), p = 0.006], and the incidence of severe infections (18.1% vs. 28.7%, p = 0.01) and dialysis (11.7% vs. 24%, p = 0.001) was higher. In the dextrose model, the incidence of pulmonary complications (13.09% vs. 22.5%, p &lt; 0.01), low cardiac output (17.11% vs. 30.9%, p &lt; 0.01), and severe infections (10.07% vs. 20.5%, p &lt; 0.01) was higher, and the duration of the hospital stay [days, 16.4 (13.1–21.6) vs. 18.1 (13.8–24.6), p &lt; 0.01] was longer in the 10% dextrose group. Conclusions: Insulin treatment appeared to decrease mortality, and lower glucose content was associated with lower occurrence of adverse events.","language":"en","page":"10","source":"Zotero","title":"Impact of the insulin and glucose content of the postoperative ﬂuid on the outcome after pediatric cardiac surgery","author":[{"family":"Lex","given":"Dániel J"},{"family":"Szántó","given":"Péter"},{"family":"Breuer","given":"Tamás"},{"family":"Tóth","given":"Roland"},{"family":"Gergely","given":"Mihály"},{"family":"Prodán","given":"Zsolt"},{"family":"Sápi","given":"Erzsébet"},{"family":"Szatmári","given":"András"},{"family":"Szántó","given":"Tamás"},{"family":"Gál","given":"János"},{"family":"Székely","given":"Andrea"}],"issued":{"date-parts":[["2014"]]}}}],"schema":"https://github.com/citation-style-language/schema/raw/master/csl-citation.json"} </w:instrText>
      </w:r>
      <w:r w:rsidR="00917CF5"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[18]</w:t>
      </w:r>
      <w:r w:rsidR="00917CF5"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with the aim of characterizing the role of insulin and glucose content of maintenance fluid on </w:t>
      </w:r>
      <w:r w:rsidR="00E40CC9" w:rsidRPr="00D07339">
        <w:rPr>
          <w:rFonts w:ascii="Times New Roman" w:eastAsia="Arial" w:hAnsi="Times New Roman" w:cs="Times New Roman"/>
          <w:sz w:val="24"/>
          <w:szCs w:val="24"/>
          <w:lang w:val="en-GB"/>
        </w:rPr>
        <w:t xml:space="preserve">the </w:t>
      </w:r>
      <w:r w:rsidRPr="00D07339">
        <w:rPr>
          <w:rFonts w:ascii="Times New Roman" w:eastAsia="Arial" w:hAnsi="Times New Roman" w:cs="Times New Roman"/>
          <w:sz w:val="24"/>
          <w:szCs w:val="24"/>
          <w:lang w:val="en-GB"/>
        </w:rPr>
        <w:t xml:space="preserve">clinical outcomes </w:t>
      </w:r>
      <w:r w:rsidR="00194623" w:rsidRPr="00D07339">
        <w:rPr>
          <w:rFonts w:ascii="Times New Roman" w:eastAsia="Arial" w:hAnsi="Times New Roman" w:cs="Times New Roman"/>
          <w:sz w:val="24"/>
          <w:szCs w:val="24"/>
          <w:lang w:val="en-GB"/>
        </w:rPr>
        <w:t xml:space="preserve">of children </w:t>
      </w:r>
      <w:r w:rsidRPr="00D07339">
        <w:rPr>
          <w:rFonts w:ascii="Times New Roman" w:eastAsia="Arial" w:hAnsi="Times New Roman" w:cs="Times New Roman"/>
          <w:sz w:val="24"/>
          <w:szCs w:val="24"/>
          <w:lang w:val="en-GB"/>
        </w:rPr>
        <w:t xml:space="preserve">undergoing cardiac surgery, and developed propensity score model to compare outcomes of children below 20 kg receiving 5% or 10% dextrose </w:t>
      </w:r>
      <w:r w:rsidRPr="00D07339">
        <w:rPr>
          <w:rFonts w:ascii="Times New Roman" w:eastAsia="Arial" w:hAnsi="Times New Roman" w:cs="Times New Roman"/>
          <w:sz w:val="24"/>
          <w:szCs w:val="24"/>
          <w:lang w:val="en-GB"/>
        </w:rPr>
        <w:lastRenderedPageBreak/>
        <w:t xml:space="preserve">maintenance infusions. A total of 298 </w:t>
      </w:r>
      <w:r w:rsidR="00194623" w:rsidRPr="00D07339">
        <w:rPr>
          <w:rFonts w:ascii="Times New Roman" w:eastAsia="Arial" w:hAnsi="Times New Roman" w:cs="Times New Roman"/>
          <w:sz w:val="24"/>
          <w:szCs w:val="24"/>
          <w:lang w:val="en-GB"/>
        </w:rPr>
        <w:t xml:space="preserve">patient </w:t>
      </w:r>
      <w:r w:rsidRPr="00D07339">
        <w:rPr>
          <w:rFonts w:ascii="Times New Roman" w:eastAsia="Arial" w:hAnsi="Times New Roman" w:cs="Times New Roman"/>
          <w:sz w:val="24"/>
          <w:szCs w:val="24"/>
          <w:lang w:val="en-GB"/>
        </w:rPr>
        <w:t>pairs were matched. In the 10% dextrose group, the incidence of pulmonary complications (13.09% vs. 22.5%, p &lt; 0.01), low cardiac output (17.11% vs. 30.9%, p &lt; 0.01), and severe infections (10.07% vs. 20.5%, p &lt; 0.01) was higher than in the 5% dextrose group, and the duration of hospital stay [days, 16.4 (13.1–21.6) vs. 18.1 (13.8–24.6), p &lt; 0.01] was longer. The</w:t>
      </w:r>
      <w:r w:rsidR="00194623" w:rsidRPr="00D07339">
        <w:rPr>
          <w:rFonts w:ascii="Times New Roman" w:eastAsia="Arial" w:hAnsi="Times New Roman" w:cs="Times New Roman"/>
          <w:sz w:val="24"/>
          <w:szCs w:val="24"/>
          <w:lang w:val="en-GB"/>
        </w:rPr>
        <w:t xml:space="preserve">y </w:t>
      </w:r>
      <w:r w:rsidR="00F21F2D" w:rsidRPr="00D07339">
        <w:rPr>
          <w:rFonts w:ascii="Times New Roman" w:eastAsia="Arial" w:hAnsi="Times New Roman" w:cs="Times New Roman"/>
          <w:sz w:val="24"/>
          <w:szCs w:val="24"/>
          <w:lang w:val="en-GB"/>
        </w:rPr>
        <w:t>claimed</w:t>
      </w:r>
      <w:r w:rsidRPr="00D07339">
        <w:rPr>
          <w:rFonts w:ascii="Times New Roman" w:eastAsia="Arial" w:hAnsi="Times New Roman" w:cs="Times New Roman"/>
          <w:sz w:val="24"/>
          <w:szCs w:val="24"/>
          <w:lang w:val="en-GB"/>
        </w:rPr>
        <w:t xml:space="preserve"> lower glucose content was associated with lower occurrence of adverse events. However, there are methodological concerns, particularly as the authors only recorded </w:t>
      </w:r>
      <w:r w:rsidR="00F21F2D" w:rsidRPr="00D07339">
        <w:rPr>
          <w:rFonts w:ascii="Times New Roman" w:eastAsia="Arial" w:hAnsi="Times New Roman" w:cs="Times New Roman"/>
          <w:sz w:val="24"/>
          <w:szCs w:val="24"/>
          <w:lang w:val="en-GB"/>
        </w:rPr>
        <w:t xml:space="preserve">the </w:t>
      </w:r>
      <w:r w:rsidR="00A77559" w:rsidRPr="00D07339">
        <w:rPr>
          <w:rFonts w:ascii="Times New Roman" w:eastAsia="Arial" w:hAnsi="Times New Roman" w:cs="Times New Roman"/>
          <w:sz w:val="24"/>
          <w:szCs w:val="24"/>
          <w:lang w:val="en-GB"/>
        </w:rPr>
        <w:t>prescribed glucose</w:t>
      </w:r>
      <w:r w:rsidRPr="00D07339">
        <w:rPr>
          <w:rFonts w:ascii="Times New Roman" w:eastAsia="Arial" w:hAnsi="Times New Roman" w:cs="Times New Roman"/>
          <w:sz w:val="24"/>
          <w:szCs w:val="24"/>
          <w:lang w:val="en-GB"/>
        </w:rPr>
        <w:t xml:space="preserve"> </w:t>
      </w:r>
      <w:proofErr w:type="gramStart"/>
      <w:r w:rsidRPr="00D07339">
        <w:rPr>
          <w:rFonts w:ascii="Times New Roman" w:eastAsia="Arial" w:hAnsi="Times New Roman" w:cs="Times New Roman"/>
          <w:sz w:val="24"/>
          <w:szCs w:val="24"/>
          <w:lang w:val="en-GB"/>
        </w:rPr>
        <w:t xml:space="preserve">concentration </w:t>
      </w:r>
      <w:r w:rsidR="00F21F2D" w:rsidRPr="00D07339">
        <w:rPr>
          <w:rFonts w:ascii="Times New Roman" w:eastAsia="Arial" w:hAnsi="Times New Roman" w:cs="Times New Roman"/>
          <w:sz w:val="24"/>
          <w:szCs w:val="24"/>
          <w:lang w:val="en-GB"/>
        </w:rPr>
        <w:t>,</w:t>
      </w:r>
      <w:proofErr w:type="gramEnd"/>
      <w:r w:rsidR="00F21F2D" w:rsidRPr="00D07339">
        <w:rPr>
          <w:rFonts w:ascii="Times New Roman" w:eastAsia="Arial" w:hAnsi="Times New Roman" w:cs="Times New Roman"/>
          <w:sz w:val="24"/>
          <w:szCs w:val="24"/>
          <w:lang w:val="en-GB"/>
        </w:rPr>
        <w:t xml:space="preserve"> not </w:t>
      </w:r>
      <w:r w:rsidRPr="00D07339">
        <w:rPr>
          <w:rFonts w:ascii="Times New Roman" w:eastAsia="Arial" w:hAnsi="Times New Roman" w:cs="Times New Roman"/>
          <w:sz w:val="24"/>
          <w:szCs w:val="24"/>
          <w:lang w:val="en-GB"/>
        </w:rPr>
        <w:t>the actual glucose intake received by the patients. In conclusion, these four studies compared different glucose concentrations or rate</w:t>
      </w:r>
      <w:r w:rsidR="00F21F2D" w:rsidRPr="00D07339">
        <w:rPr>
          <w:rFonts w:ascii="Times New Roman" w:eastAsia="Arial" w:hAnsi="Times New Roman" w:cs="Times New Roman"/>
          <w:sz w:val="24"/>
          <w:szCs w:val="24"/>
          <w:lang w:val="en-GB"/>
        </w:rPr>
        <w:t>s</w:t>
      </w:r>
      <w:r w:rsidRPr="00D07339">
        <w:rPr>
          <w:rFonts w:ascii="Times New Roman" w:eastAsia="Arial" w:hAnsi="Times New Roman" w:cs="Times New Roman"/>
          <w:sz w:val="24"/>
          <w:szCs w:val="24"/>
          <w:lang w:val="en-GB"/>
        </w:rPr>
        <w:t xml:space="preserve"> in children admitted in PICU after surgery. Martinez </w:t>
      </w:r>
      <w:proofErr w:type="spellStart"/>
      <w:r w:rsidRPr="00D07339">
        <w:rPr>
          <w:rFonts w:ascii="Times New Roman" w:eastAsia="Arial" w:hAnsi="Times New Roman" w:cs="Times New Roman"/>
          <w:sz w:val="24"/>
          <w:szCs w:val="24"/>
          <w:lang w:val="en-GB"/>
        </w:rPr>
        <w:t>Carapeto</w:t>
      </w:r>
      <w:proofErr w:type="spellEnd"/>
      <w:r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i/>
          <w:sz w:val="24"/>
          <w:szCs w:val="24"/>
          <w:lang w:val="en-GB"/>
        </w:rPr>
        <w:t>et al.</w:t>
      </w:r>
      <w:r w:rsidRPr="00D07339">
        <w:rPr>
          <w:rFonts w:ascii="Times New Roman" w:eastAsia="Arial" w:hAnsi="Times New Roman" w:cs="Times New Roman"/>
          <w:sz w:val="24"/>
          <w:szCs w:val="24"/>
          <w:lang w:val="en-GB"/>
        </w:rPr>
        <w:t xml:space="preserve">, reported there was no difference in the incidence of </w:t>
      </w:r>
      <w:r w:rsidR="00A77559"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 xml:space="preserve"> between the use of glucose containing IV-MFT at 3.3 vs 5%</w:t>
      </w:r>
      <w:r w:rsidR="00A77559" w:rsidRPr="00D07339">
        <w:rPr>
          <w:rFonts w:ascii="Times New Roman" w:eastAsia="Arial" w:hAnsi="Times New Roman" w:cs="Times New Roman"/>
          <w:sz w:val="24"/>
          <w:szCs w:val="24"/>
          <w:lang w:val="en-GB"/>
        </w:rPr>
        <w:t xml:space="preserve"> </w:t>
      </w:r>
      <w:r w:rsidR="00A77559"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{"citationID":"15Kr5Pha","properties":{"formattedCitation":"[16]","plainCitation":"[16]","noteIndex":0},"citationItems":[{"id":30095,"uris":["http://zotero.org/users/874466/items/N5L3ZLCS"],"itemData":{"id":30095,"type":"article-journal","abstract":"OBJECTIVE: To compare plasma glucose levels and incidence of hyperglycaemia in the post-operative period after general surgery using fluids with different glucose.\nMETHODOLOGY: A randomised, open-label, non-blind, clinical trial was conducted on patients admitted to Paediatric Intensive Care Unit after elective surgery. The inclusion criteria were from 6 months to 14 years of age, with a weight greater than 6kg, onset glucose level &gt;60mg/dL, and a signed informed consent, with no oral intake and maintenance intravenous fluid therapy using fluids with 3.3% or 5% glucose. Plasma glucose levels were measured before surgery, on admission, and 8, 24, and 48h, with the mean glucose levels and incidence of hyperglycaemia (glucose level &gt;150mg/dL) in both groups being compared.\nRESULTS: A total of 60 patients received glucose/saline 1/3 (51mEq/L sodium and 33g/L glucose), and 70 glucose/saline 5/0.9% (154mEq/L sodium and 50g/L glucose). Mean glucose levels were higher in the group receiving glucose 5%, with no statistical difference. There was no significant difference in the incidence of hyperglycaemia; 8h: 26% in the 3.3% group vs. 21.3% in the 5% group (P=.63); 24h: 20% vs. 22.7% (P=.8); and 48h: 19% vs. 23.1% (P=.78).\nCONCLUSIONS: The use of fluids with 3.3% glucose in the post-operative period of general surgery maintains mean glucose levels in a similar range to that of patients receiving fluids with 5% glucose, with no difference in the incidence of hyperglycaemia.","container-title":"Anales De Pediatria","DOI":"10.1016/j.anpedi.2017.10.002","ISSN":"2341-2879","issue":"2","journalAbbreviation":"An Pediatr (Engl Ed)","language":"spa","note":"PMID: 29132842","page":"98-103","source":"PubMed","title":"[A comparison of post-surgical plasma glucose levels in patients on fluids with different glucose concentrations]","volume":"89","author":[{"family":"Martínez Carapeto","given":"Isabel"},{"family":"López Castilla","given":"José Domingo"},{"family":"Fresneda Gutiérrez","given":"Reyes"}],"issued":{"date-parts":[["2018",8]]}}}],"schema":"https://github.com/citation-style-language/schema/raw/master/csl-citation.json"} </w:instrText>
      </w:r>
      <w:r w:rsidR="00A77559"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[16]</w:t>
      </w:r>
      <w:r w:rsidR="00A77559"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In the study of Lex </w:t>
      </w:r>
      <w:r w:rsidRPr="00D07339">
        <w:rPr>
          <w:rFonts w:ascii="Times New Roman" w:eastAsia="Arial" w:hAnsi="Times New Roman" w:cs="Times New Roman"/>
          <w:i/>
          <w:sz w:val="24"/>
          <w:szCs w:val="24"/>
          <w:lang w:val="en-GB"/>
        </w:rPr>
        <w:t>et al</w:t>
      </w:r>
      <w:r w:rsidRPr="00D07339">
        <w:rPr>
          <w:rFonts w:ascii="Times New Roman" w:eastAsia="Arial" w:hAnsi="Times New Roman" w:cs="Times New Roman"/>
          <w:sz w:val="24"/>
          <w:szCs w:val="24"/>
          <w:lang w:val="en-GB"/>
        </w:rPr>
        <w:t xml:space="preserve"> 2014, outcomes in the group receiving 5% glucose versus 10% glucose were superior with regards to combined outcome, low cardiac output syndrome, pulmonary complications, severe </w:t>
      </w:r>
      <w:r w:rsidR="00A77559" w:rsidRPr="00D07339">
        <w:rPr>
          <w:rFonts w:ascii="Times New Roman" w:eastAsia="Arial" w:hAnsi="Times New Roman" w:cs="Times New Roman"/>
          <w:sz w:val="24"/>
          <w:szCs w:val="24"/>
          <w:lang w:val="en-GB"/>
        </w:rPr>
        <w:t>infection,</w:t>
      </w:r>
      <w:r w:rsidRPr="00D07339">
        <w:rPr>
          <w:rFonts w:ascii="Times New Roman" w:eastAsia="Arial" w:hAnsi="Times New Roman" w:cs="Times New Roman"/>
          <w:sz w:val="24"/>
          <w:szCs w:val="24"/>
          <w:lang w:val="en-GB"/>
        </w:rPr>
        <w:t xml:space="preserve"> and total number of days in hospital</w:t>
      </w:r>
      <w:r w:rsidR="00A77559" w:rsidRPr="00D07339">
        <w:rPr>
          <w:rFonts w:ascii="Times New Roman" w:eastAsia="Arial" w:hAnsi="Times New Roman" w:cs="Times New Roman"/>
          <w:sz w:val="24"/>
          <w:szCs w:val="24"/>
          <w:lang w:val="en-GB"/>
        </w:rPr>
        <w:t xml:space="preserve"> </w:t>
      </w:r>
      <w:r w:rsidR="00A77559"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{"citationID":"AzREBCpe","properties":{"formattedCitation":"[18]","plainCitation":"[18]","noteIndex":0},"citationItems":[{"id":30097,"uris":["http://zotero.org/users/874466/items/UK3DIUP4"],"itemData":{"id":30097,"type":"article-journal","abstract":"Introduction: The aim of this study was to investigate the role of the insulin and glucose content of the maintenance ﬂuid in inﬂuencing the outcomes of pediatric patients undergoing heart surgery. Methods: A total of 2063 consecutive pediatric patients undergoing cardiac surgery were screened between 2003 and 2008. A dextrose and an insulin propensity-matched group were constructed. In the dextrose model, 5% and 10% dextrose maintenance infusions were compared below 20 kg of weight. Results: A total of 171 and 298 pairs of patients were matched in the insulin and glucose model, respectively. Mortality was lower in the insulin group (12.9% vs. 7%, p = 0.049). The insulin group had longer intensive care unit (ICU) stay [days, 10.9 (5.8–18.4) vs. 13.7 (8.2–21), p = 0.003], hospital stay [days, 19.8 (13.6–26.6) vs. 22.7 (17.6–29.7), p &lt; 0.01], duration of mechanical ventilation [hours, 67 (19–140) vs. 107 (45–176), p = 0.006], and the incidence of severe infections (18.1% vs. 28.7%, p = 0.01) and dialysis (11.7% vs. 24%, p = 0.001) was higher. In the dextrose model, the incidence of pulmonary complications (13.09% vs. 22.5%, p &lt; 0.01), low cardiac output (17.11% vs. 30.9%, p &lt; 0.01), and severe infections (10.07% vs. 20.5%, p &lt; 0.01) was higher, and the duration of the hospital stay [days, 16.4 (13.1–21.6) vs. 18.1 (13.8–24.6), p &lt; 0.01] was longer in the 10% dextrose group. Conclusions: Insulin treatment appeared to decrease mortality, and lower glucose content was associated with lower occurrence of adverse events.","language":"en","page":"10","source":"Zotero","title":"Impact of the insulin and glucose content of the postoperative ﬂuid on the outcome after pediatric cardiac surgery","author":[{"family":"Lex","given":"Dániel J"},{"family":"Szántó","given":"Péter"},{"family":"Breuer","given":"Tamás"},{"family":"Tóth","given":"Roland"},{"family":"Gergely","given":"Mihály"},{"family":"Prodán","given":"Zsolt"},{"family":"Sápi","given":"Erzsébet"},{"family":"Szatmári","given":"András"},{"family":"Szántó","given":"Tamás"},{"family":"Gál","given":"János"},{"family":"Székely","given":"Andrea"}],"issued":{"date-parts":[["2014"]]}}}],"schema":"https://github.com/citation-style-language/schema/raw/master/csl-citation.json"} </w:instrText>
      </w:r>
      <w:r w:rsidR="00A77559"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[18]</w:t>
      </w:r>
      <w:r w:rsidR="00A77559"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De </w:t>
      </w:r>
      <w:proofErr w:type="spellStart"/>
      <w:r w:rsidRPr="00D07339">
        <w:rPr>
          <w:rFonts w:ascii="Times New Roman" w:eastAsia="Arial" w:hAnsi="Times New Roman" w:cs="Times New Roman"/>
          <w:sz w:val="24"/>
          <w:szCs w:val="24"/>
          <w:lang w:val="en-GB"/>
        </w:rPr>
        <w:t>Betue</w:t>
      </w:r>
      <w:proofErr w:type="spellEnd"/>
      <w:r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i/>
          <w:sz w:val="24"/>
          <w:szCs w:val="24"/>
          <w:lang w:val="en-GB"/>
        </w:rPr>
        <w:t xml:space="preserve">et al. </w:t>
      </w:r>
      <w:r w:rsidRPr="00D07339">
        <w:rPr>
          <w:rFonts w:ascii="Times New Roman" w:eastAsia="Arial" w:hAnsi="Times New Roman" w:cs="Times New Roman"/>
          <w:sz w:val="24"/>
          <w:szCs w:val="24"/>
          <w:lang w:val="en-GB"/>
        </w:rPr>
        <w:t xml:space="preserve">and </w:t>
      </w:r>
      <w:proofErr w:type="spellStart"/>
      <w:r w:rsidRPr="00D07339">
        <w:rPr>
          <w:rFonts w:ascii="Times New Roman" w:eastAsia="Arial" w:hAnsi="Times New Roman" w:cs="Times New Roman"/>
          <w:sz w:val="24"/>
          <w:szCs w:val="24"/>
          <w:lang w:val="en-GB"/>
        </w:rPr>
        <w:t>Verbruggen</w:t>
      </w:r>
      <w:proofErr w:type="spellEnd"/>
      <w:r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i/>
          <w:sz w:val="24"/>
          <w:szCs w:val="24"/>
          <w:lang w:val="en-GB"/>
        </w:rPr>
        <w:t>et al.</w:t>
      </w:r>
      <w:r w:rsidRPr="00D07339">
        <w:rPr>
          <w:rFonts w:ascii="Times New Roman" w:eastAsia="Arial" w:hAnsi="Times New Roman" w:cs="Times New Roman"/>
          <w:sz w:val="24"/>
          <w:szCs w:val="24"/>
          <w:lang w:val="en-GB"/>
        </w:rPr>
        <w:t xml:space="preserve"> showed lower blood glucose concentrations, with no </w:t>
      </w:r>
      <w:r w:rsidR="00A77559"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 xml:space="preserve"> or </w:t>
      </w:r>
      <w:r w:rsidR="00A77559" w:rsidRPr="00D07339">
        <w:rPr>
          <w:rFonts w:ascii="Times New Roman" w:eastAsia="Arial" w:hAnsi="Times New Roman" w:cs="Times New Roman"/>
          <w:sz w:val="24"/>
          <w:szCs w:val="24"/>
          <w:lang w:val="en-GB"/>
        </w:rPr>
        <w:t>hypoglycaemia</w:t>
      </w:r>
      <w:r w:rsidRPr="00D07339">
        <w:rPr>
          <w:rFonts w:ascii="Times New Roman" w:eastAsia="Arial" w:hAnsi="Times New Roman" w:cs="Times New Roman"/>
          <w:sz w:val="24"/>
          <w:szCs w:val="24"/>
          <w:lang w:val="en-GB"/>
        </w:rPr>
        <w:t xml:space="preserve"> in the groups receiving 2.5 mg/kg/min (3.6 g/kg/day) glucose versus 5.0 mg/kg/min (7.2 g/kg/day) glucose</w:t>
      </w:r>
      <w:r w:rsidR="00A77559" w:rsidRPr="00D07339">
        <w:rPr>
          <w:rFonts w:ascii="Times New Roman" w:eastAsia="Arial" w:hAnsi="Times New Roman" w:cs="Times New Roman"/>
          <w:sz w:val="24"/>
          <w:szCs w:val="24"/>
          <w:lang w:val="en-GB"/>
        </w:rPr>
        <w:t xml:space="preserve"> </w:t>
      </w:r>
      <w:r w:rsidR="00A77559"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{"citationID":"Iq0xzrIL","properties":{"formattedCitation":"[15, 17]","plainCitation":"[15, 17]","noteIndex":0},"citationItems":[{"id":36053,"uris":["http://zotero.org/users/874466/items/QZ5MDRAY"],"itemData":{"id":36053,"type":"article-journal","abstract":"INTRODUCTION: Hyperglycemia in children after cardiac surgery can be treated with intensive insulin therapy, but hypoglycemia is a potential serious side effect. The aim of this study was to investigate the effects of reducing glucose intake below standard intakes to prevent hyperglycemia, on blood glucose concentrations, glucose kinetics and protein catabolism in children after cardiac surgery with cardiopulmonary bypass (CPB).\nMETHODS: Subjects received a 4-hour low glucose (LG; 2.5 mg/kg per minute) and a 4-hour standard glucose (SG; 5.0 mg/kg per minute) infusion in a randomized blinded crossover setting. Simultaneously, an 8-hour stable isotope tracer protocol was conducted to determine glucose and leucine kinetics. Data are presented as mean ± SD or median (IQR); comparison was made by paired samples t test.\nRESULTS: Eleven subjects (age 5.1 (20.2) months) were studied 9.5 ± 1.9 hours post-cardiac surgery. Blood glucose concentrations were lower during LG than SG (LG 7.3 ± 0.7 vs. SG 9.3 ± 1.8 mmol/L; P &lt; 0.01), although the glycemic target (4.0-6.0 mmol/L) was not achieved. No hypoglycemic events occurred. Endogenous glucose production was higher during LG than SG (LG 2.9 ± 0.8 vs. SG 1.5 ± 1.1 mg/kg per minute; P = 0.02), due to increased glycogenolysis (LG 1.0 ± 0.6 vs. SG 0.0 ± 1.0 mg/kg per minute; P &lt; 0.05). Leucine balance, indicating protein balance, was negative but not affected by glucose intake (LG -54.8 ± 14.6 vs. SG -58.8 ± 16.7 μmol/kg per hour; P = 0.57).\nCONCLUSIONS: Currently recommended glucose intakes aggravated hyperglycemia in children early after cardiac surgery with CPB. Reduced glucose intake decreased blood glucose concentrations without causing hypoglycemia or affecting protein catabolism, but increased glycogenolysis.\nTRIAL REGISTRATION: Dutch trial register NTR2079.","container-title":"Critical Care (London, England)","DOI":"10.1186/cc11658","ISSN":"1466-609X","issue":"5","journalAbbreviation":"Crit Care","language":"eng","note":"PMID: 23031354\nPMCID: PMC3682276","page":"R176","source":"PubMed","title":"Does a reduced glucose intake prevent hyperglycemia in children early after cardiac surgery? a randomized controlled crossover study","title-short":"Does a reduced glucose intake prevent hyperglycemia in children early after cardiac surgery?","volume":"16","author":[{"family":"Betue","given":"Carlijn T. I.","non-dropping-particle":"de"},{"family":"Verbruggen","given":"Sascha C. A. T."},{"family":"Schierbeek","given":"Henk"},{"family":"Chacko","given":"Shaji K."},{"family":"Bogers","given":"Ad J. J. C."},{"family":"Goudoever","given":"Johannes B.","non-dropping-particle":"van"},{"family":"Joosten","given":"Koen F. M."}],"issued":{"date-parts":[["2012",10,2]]}},"label":"page"},{"id":36056,"uris":["http://zotero.org/users/874466/items/5LCAD7AE"],"itemData":{"id":36056,"type":"article-journal","abstract":"BACKGROUND &amp; AIMS: To investigate the effects of two different glucose infusions on glucose homeostasis and amino acid metabolism in post-surgical children.\nMETHODS: This randomized crossover study evaluated glucose and amino acid metabolism in eight children (age 9.8 ± 1.9 months, weight 9.5 ± 1.1 kg) admitted to a pediatric intensive care unit in a tertiary university hospital after surgical correction for non-syndromal craniosynostosis. Patients were randomized to receive low (LG; 2.5 mg kg(-1) min(-1)) and standard (SG; 5.0 mg kg(-1) min(-1)) glucose infusion in a crossover setting. After a bolus (4 g kg(-1)) of deuterium oxide, we conducted a primed, constant, 8 h tracer infusion with [6,6-²H₂]Glucose, [1-¹³C]Leucine, [ring-²H₅]Phenylalanine and [3,3-²H₂]Tyrosine.\nRESULTS: SG resulted in hyperglycemia (defined as &gt; 6.1 mmol L(-1)), while during LG plasma glucose levels were normoglycemic (5.9 ± 0.6 vs. 7.5 ± 1.7 mmol L(-1); LG vs. SG respectively, p = 0.02). Hypoglycemia did not occur during LG infusion. Endogenous glucose production was not fully suppressed during the hyperglycemic state under SG and increased with reduced glucose infusion (2.6 ± 1.5 vs. 1.1 ± 1.4 mg kg(-1) min(-1); LG vs. SG; p = 0.05). Whole body protein balance derived from leucine and phenylalanine kinetics was slightly negative but not further affected with a decrease in glucose infusion.\nCONCLUSIONS: The current recommended glucose infusion induces hyperglycemia in post-surgical children. A reduced glucose infusion safely reduced high glucose levels, while children were capable to sustain normoglycemia with increased endogenous glucose production. The reduced glucose infusion did not exacerbate the mild catabolic state in which the patients were.","container-title":"Clinical Nutrition (Edinburgh, Scotland)","DOI":"10.1016/j.clnu.2011.05.011","ISSN":"1532-1983","issue":"6","journalAbbreviation":"Clin Nutr","language":"eng","note":"PMID: 21719165","page":"786-792","source":"PubMed","title":"Reducing glucose infusion safely prevents hyperglycemia in post-surgical children","volume":"30","author":[{"family":"Verbruggen","given":"Sascha C. A. T."},{"family":"Betue","given":"Carlijn T. I.","non-dropping-particle":"de"},{"family":"Schierbeek","given":"Henk"},{"family":"Chacko","given":"Shaji"},{"family":"Adrichem","given":"Leon N. A.","non-dropping-particle":"van"},{"family":"Verhoeven","given":"Jennifer"},{"family":"Goudoever","given":"Johannes B.","non-dropping-particle":"van"},{"family":"Joosten","given":"Koen F. M."}],"issued":{"date-parts":[["2011",12]]}},"label":"page"}],"schema":"https://github.com/citation-style-language/schema/raw/master/csl-citation.json"} </w:instrText>
      </w:r>
      <w:r w:rsidR="00A77559"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[15, 17]</w:t>
      </w:r>
      <w:r w:rsidR="00A77559"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Overall, these results suggest </w:t>
      </w:r>
      <w:r w:rsidR="00F21F2D" w:rsidRPr="00D07339">
        <w:rPr>
          <w:rFonts w:ascii="Times New Roman" w:eastAsia="Arial" w:hAnsi="Times New Roman" w:cs="Times New Roman"/>
          <w:sz w:val="24"/>
          <w:szCs w:val="24"/>
          <w:lang w:val="en-GB"/>
        </w:rPr>
        <w:t xml:space="preserve">that </w:t>
      </w:r>
      <w:r w:rsidRPr="00D07339">
        <w:rPr>
          <w:rFonts w:ascii="Times New Roman" w:eastAsia="Arial" w:hAnsi="Times New Roman" w:cs="Times New Roman"/>
          <w:sz w:val="24"/>
          <w:szCs w:val="24"/>
          <w:lang w:val="en-GB"/>
        </w:rPr>
        <w:t>children receiving lower glucose intake during critical illness have improved outcomes with better glucose control.</w:t>
      </w:r>
      <w:bookmarkStart w:id="0" w:name="_heading=h.gq6j0dnys0m3" w:colFirst="0" w:colLast="0"/>
      <w:bookmarkEnd w:id="0"/>
    </w:p>
    <w:p w14:paraId="078C8A92" w14:textId="2EC0AADE" w:rsidR="000D4BB6" w:rsidRPr="00D07339" w:rsidRDefault="00BB3A81" w:rsidP="00B70F75">
      <w:pPr>
        <w:pStyle w:val="Titre1"/>
      </w:pPr>
      <w:r w:rsidRPr="00D07339">
        <w:t xml:space="preserve">Volume of evidence, Applicability, </w:t>
      </w:r>
      <w:r w:rsidR="00082719" w:rsidRPr="00D07339">
        <w:t>Generalisability, Consistency</w:t>
      </w:r>
      <w:r w:rsidRPr="00D07339">
        <w:t xml:space="preserve"> and Clinical impact </w:t>
      </w:r>
    </w:p>
    <w:p w14:paraId="078C8A93" w14:textId="1BF879EF" w:rsidR="000D4BB6" w:rsidRPr="00D07339" w:rsidRDefault="00BB3A81" w:rsidP="00313EC9">
      <w:pPr>
        <w:pBdr>
          <w:top w:val="nil"/>
          <w:left w:val="nil"/>
          <w:bottom w:val="nil"/>
          <w:right w:val="nil"/>
          <w:between w:val="nil"/>
        </w:pBdr>
        <w:spacing w:after="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Using the S</w:t>
      </w:r>
      <w:r w:rsidR="00DB3D05" w:rsidRPr="00D07339">
        <w:rPr>
          <w:rFonts w:ascii="Times New Roman" w:eastAsia="Arial" w:hAnsi="Times New Roman" w:cs="Times New Roman"/>
          <w:sz w:val="24"/>
          <w:szCs w:val="24"/>
          <w:lang w:val="en-GB"/>
        </w:rPr>
        <w:t>IGN</w:t>
      </w:r>
      <w:r w:rsidRPr="00D07339">
        <w:rPr>
          <w:rFonts w:ascii="Times New Roman" w:eastAsia="Arial" w:hAnsi="Times New Roman" w:cs="Times New Roman"/>
          <w:sz w:val="24"/>
          <w:szCs w:val="24"/>
          <w:lang w:val="en-GB"/>
        </w:rPr>
        <w:t xml:space="preserve"> grading, the blinded RCTs </w:t>
      </w:r>
      <w:r w:rsidR="008F5234"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{"citationID":"AzwCj2E6","properties":{"formattedCitation":"[15, 17]","plainCitation":"[15, 17]","noteIndex":0},"citationItems":[{"id":36053,"uris":["http://zotero.org/users/874466/items/QZ5MDRAY"],"itemData":{"id":36053,"type":"article-journal","abstract":"INTRODUCTION: Hyperglycemia in children after cardiac surgery can be treated with intensive insulin therapy, but hypoglycemia is a potential serious side effect. The aim of this study was to investigate the effects of reducing glucose intake below standard intakes to prevent hyperglycemia, on blood glucose concentrations, glucose kinetics and protein catabolism in children after cardiac surgery with cardiopulmonary bypass (CPB).\nMETHODS: Subjects received a 4-hour low glucose (LG; 2.5 mg/kg per minute) and a 4-hour standard glucose (SG; 5.0 mg/kg per minute) infusion in a randomized blinded crossover setting. Simultaneously, an 8-hour stable isotope tracer protocol was conducted to determine glucose and leucine kinetics. Data are presented as mean ± SD or median (IQR); comparison was made by paired samples t test.\nRESULTS: Eleven subjects (age 5.1 (20.2) months) were studied 9.5 ± 1.9 hours post-cardiac surgery. Blood glucose concentrations were lower during LG than SG (LG 7.3 ± 0.7 vs. SG 9.3 ± 1.8 mmol/L; P &lt; 0.01), although the glycemic target (4.0-6.0 mmol/L) was not achieved. No hypoglycemic events occurred. Endogenous glucose production was higher during LG than SG (LG 2.9 ± 0.8 vs. SG 1.5 ± 1.1 mg/kg per minute; P = 0.02), due to increased glycogenolysis (LG 1.0 ± 0.6 vs. SG 0.0 ± 1.0 mg/kg per minute; P &lt; 0.05). Leucine balance, indicating protein balance, was negative but not affected by glucose intake (LG -54.8 ± 14.6 vs. SG -58.8 ± 16.7 μmol/kg per hour; P = 0.57).\nCONCLUSIONS: Currently recommended glucose intakes aggravated hyperglycemia in children early after cardiac surgery with CPB. Reduced glucose intake decreased blood glucose concentrations without causing hypoglycemia or affecting protein catabolism, but increased glycogenolysis.\nTRIAL REGISTRATION: Dutch trial register NTR2079.","container-title":"Critical Care (London, England)","DOI":"10.1186/cc11658","ISSN":"1466-609X","issue":"5","journalAbbreviation":"Crit Care","language":"eng","note":"PMID: 23031354\nPMCID: PMC3682276","page":"R176","source":"PubMed","title":"Does a reduced glucose intake prevent hyperglycemia in children early after cardiac surgery? a randomized controlled crossover study","title-short":"Does a reduced glucose intake prevent hyperglycemia in children early after cardiac surgery?","volume":"16","author":[{"family":"Betue","given":"Carlijn T. I.","non-dropping-particle":"de"},{"family":"Verbruggen","given":"Sascha C. A. T."},{"family":"Schierbeek","given":"Henk"},{"family":"Chacko","given":"Shaji K."},{"family":"Bogers","given":"Ad J. J. C."},{"family":"Goudoever","given":"Johannes B.","non-dropping-particle":"van"},{"family":"Joosten","given":"Koen F. M."}],"issued":{"date-parts":[["2012",10,2]]}},"label":"page"},{"id":36056,"uris":["http://zotero.org/users/874466/items/5LCAD7AE"],"itemData":{"id":36056,"type":"article-journal","abstract":"BACKGROUND &amp; AIMS: To investigate the effects of two different glucose infusions on glucose homeostasis and amino acid metabolism in post-surgical children.\nMETHODS: This randomized crossover study evaluated glucose and amino acid metabolism in eight children (age 9.8 ± 1.9 months, weight 9.5 ± 1.1 kg) admitted to a pediatric intensive care unit in a tertiary university hospital after surgical correction for non-syndromal craniosynostosis. Patients were randomized to receive low (LG; 2.5 mg kg(-1) min(-1)) and standard (SG; 5.0 mg kg(-1) min(-1)) glucose infusion in a crossover setting. After a bolus (4 g kg(-1)) of deuterium oxide, we conducted a primed, constant, 8 h tracer infusion with [6,6-²H₂]Glucose, [1-¹³C]Leucine, [ring-²H₅]Phenylalanine and [3,3-²H₂]Tyrosine.\nRESULTS: SG resulted in hyperglycemia (defined as &gt; 6.1 mmol L(-1)), while during LG plasma glucose levels were normoglycemic (5.9 ± 0.6 vs. 7.5 ± 1.7 mmol L(-1); LG vs. SG respectively, p = 0.02). Hypoglycemia did not occur during LG infusion. Endogenous glucose production was not fully suppressed during the hyperglycemic state under SG and increased with reduced glucose infusion (2.6 ± 1.5 vs. 1.1 ± 1.4 mg kg(-1) min(-1); LG vs. SG; p = 0.05). Whole body protein balance derived from leucine and phenylalanine kinetics was slightly negative but not further affected with a decrease in glucose infusion.\nCONCLUSIONS: The current recommended glucose infusion induces hyperglycemia in post-surgical children. A reduced glucose infusion safely reduced high glucose levels, while children were capable to sustain normoglycemia with increased endogenous glucose production. The reduced glucose infusion did not exacerbate the mild catabolic state in which the patients were.","container-title":"Clinical Nutrition (Edinburgh, Scotland)","DOI":"10.1016/j.clnu.2011.05.011","ISSN":"1532-1983","issue":"6","journalAbbreviation":"Clin Nutr","language":"eng","note":"PMID: 21719165","page":"786-792","source":"PubMed","title":"Reducing glucose infusion safely prevents hyperglycemia in post-surgical children","volume":"30","author":[{"family":"Verbruggen","given":"Sascha C. A. T."},{"family":"Betue","given":"Carlijn T. I.","non-dropping-particle":"de"},{"family":"Schierbeek","given":"Henk"},{"family":"Chacko","given":"Shaji"},{"family":"Adrichem","given":"Leon N. A.","non-dropping-particle":"van"},{"family":"Verhoeven","given":"Jennifer"},{"family":"Goudoever","given":"Johannes B.","non-dropping-particle":"van"},{"family":"Joosten","given":"Koen F. M."}],"issued":{"date-parts":[["2011",12]]}},"label":"page"}],"schema":"https://github.com/citation-style-language/schema/raw/master/csl-citation.json"} </w:instrText>
      </w:r>
      <w:r w:rsidR="008F5234"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[15, 17]</w:t>
      </w:r>
      <w:r w:rsidR="008F5234"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were considered to have a low risk of bias. The non-blinded RCT and observational study included in the current analysis were graded with a high risk of bias</w:t>
      </w:r>
      <w:r w:rsidR="00C35E4B" w:rsidRPr="00D07339">
        <w:rPr>
          <w:rFonts w:ascii="Times New Roman" w:eastAsia="Arial" w:hAnsi="Times New Roman" w:cs="Times New Roman"/>
          <w:sz w:val="24"/>
          <w:szCs w:val="24"/>
          <w:lang w:val="en-GB"/>
        </w:rPr>
        <w:t xml:space="preserve"> </w:t>
      </w:r>
      <w:r w:rsidR="00C35E4B"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{"citationID":"EFYJL76B","properties":{"formattedCitation":"[16, 18]","plainCitation":"[16, 18]","noteIndex":0},"citationItems":[{"id":30095,"uris":["http://zotero.org/users/874466/items/N5L3ZLCS"],"itemData":{"id":30095,"type":"article-journal","abstract":"OBJECTIVE: To compare plasma glucose levels and incidence of hyperglycaemia in the post-operative period after general surgery using fluids with different glucose.\nMETHODOLOGY: A randomised, open-label, non-blind, clinical trial was conducted on patients admitted to Paediatric Intensive Care Unit after elective surgery. The inclusion criteria were from 6 months to 14 years of age, with a weight greater than 6kg, onset glucose level &gt;60mg/dL, and a signed informed consent, with no oral intake and maintenance intravenous fluid therapy using fluids with 3.3% or 5% glucose. Plasma glucose levels were measured before surgery, on admission, and 8, 24, and 48h, with the mean glucose levels and incidence of hyperglycaemia (glucose level &gt;150mg/dL) in both groups being compared.\nRESULTS: A total of 60 patients received glucose/saline 1/3 (51mEq/L sodium and 33g/L glucose), and 70 glucose/saline 5/0.9% (154mEq/L sodium and 50g/L glucose). Mean glucose levels were higher in the group receiving glucose 5%, with no statistical difference. There was no significant difference in the incidence of hyperglycaemia; 8h: 26% in the 3.3% group vs. 21.3% in the 5% group (P=.63); 24h: 20% vs. 22.7% (P=.8); and 48h: 19% vs. 23.1% (P=.78).\nCONCLUSIONS: The use of fluids with 3.3% glucose in the post-operative period of general surgery maintains mean glucose levels in a similar range to that of patients receiving fluids with 5% glucose, with no difference in the incidence of hyperglycaemia.","container-title":"Anales De Pediatria","DOI":"10.1016/j.anpedi.2017.10.002","ISSN":"2341-2879","issue":"2","journalAbbreviation":"An Pediatr (Engl Ed)","language":"spa","note":"PMID: 29132842","page":"98-103","source":"PubMed","title":"[A comparison of post-surgical plasma glucose levels in patients on fluids with different glucose concentrations]","volume":"89","author":[{"family":"Martínez Carapeto","given":"Isabel"},{"family":"López Castilla","given":"José Domingo"},{"family":"Fresneda Gutiérrez","given":"Reyes"}],"issued":{"date-parts":[["2018",8]]}},"label":"page"},{"id":30097,"uris":["http://zotero.org/users/874466/items/UK3DIUP4"],"itemData":{"id":30097,"type":"article-journal","abstract":"Introduction: The aim of this study was to investigate the role of the insulin and glucose content of the maintenance ﬂuid in inﬂuencing the outcomes of pediatric patients undergoing heart surgery. Methods: A total of 2063 consecutive pediatric patients undergoing cardiac surgery were screened between 2003 and 2008. A dextrose and an insulin propensity-matched group were constructed. In the dextrose model, 5% and 10% dextrose maintenance infusions were compared below 20 kg of weight. Results: A total of 171 and 298 pairs of patients were matched in the insulin and glucose model, respectively. Mortality was lower in the insulin group (12.9% vs. 7%, p = 0.049). The insulin group had longer intensive care unit (ICU) stay [days, 10.9 (5.8–18.4) vs. 13.7 (8.2–21), p = 0.003], hospital stay [days, 19.8 (13.6–26.6) vs. 22.7 (17.6–29.7), p &lt; 0.01], duration of mechanical ventilation [hours, 67 (19–140) vs. 107 (45–176), p = 0.006], and the incidence of severe infections (18.1% vs. 28.7%, p = 0.01) and dialysis (11.7% vs. 24%, p = 0.001) was higher. In the dextrose model, the incidence of pulmonary complications (13.09% vs. 22.5%, p &lt; 0.01), low cardiac output (17.11% vs. 30.9%, p &lt; 0.01), and severe infections (10.07% vs. 20.5%, p &lt; 0.01) was higher, and the duration of the hospital stay [days, 16.4 (13.1–21.6) vs. 18.1 (13.8–24.6), p &lt; 0.01] was longer in the 10% dextrose group. Conclusions: Insulin treatment appeared to decrease mortality, and lower glucose content was associated with lower occurrence of adverse events.","language":"en","page":"10","source":"Zotero","title":"Impact of the insulin and glucose content of the postoperative ﬂuid on the outcome after pediatric cardiac surgery","author":[{"family":"Lex","given":"Dániel J"},{"family":"Szántó","given":"Péter"},{"family":"Breuer","given":"Tamás"},{"family":"Tóth","given":"Roland"},{"family":"Gergely","given":"Mihály"},{"family":"Prodán","given":"Zsolt"},{"family":"Sápi","given":"Erzsébet"},{"family":"Szatmári","given":"András"},{"family":"Szántó","given":"Tamás"},{"family":"Gál","given":"János"},{"family":"Székely","given":"Andrea"}],"issued":{"date-parts":[["2014"]]}},"label":"page"}],"schema":"https://github.com/citation-style-language/schema/raw/master/csl-citation.json"} </w:instrText>
      </w:r>
      <w:r w:rsidR="00C35E4B"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[16, 18]</w:t>
      </w:r>
      <w:r w:rsidR="00C35E4B"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These four single-</w:t>
      </w:r>
      <w:proofErr w:type="spellStart"/>
      <w:r w:rsidRPr="00D07339">
        <w:rPr>
          <w:rFonts w:ascii="Times New Roman" w:eastAsia="Arial" w:hAnsi="Times New Roman" w:cs="Times New Roman"/>
          <w:sz w:val="24"/>
          <w:szCs w:val="24"/>
          <w:lang w:val="en-GB"/>
        </w:rPr>
        <w:t>center</w:t>
      </w:r>
      <w:proofErr w:type="spellEnd"/>
      <w:r w:rsidRPr="00D07339">
        <w:rPr>
          <w:rFonts w:ascii="Times New Roman" w:eastAsia="Arial" w:hAnsi="Times New Roman" w:cs="Times New Roman"/>
          <w:sz w:val="24"/>
          <w:szCs w:val="24"/>
          <w:lang w:val="en-GB"/>
        </w:rPr>
        <w:t>-studies were conducted in Europe (Spain, The Netherlands, and Hungary) and included a total of 745 children admitted after surgery in PICU. Despite the relatively high number of patients included, the generalisability of the results is limited due to the specific population and the number of studies</w:t>
      </w:r>
      <w:r w:rsidR="00B115A4" w:rsidRPr="00D07339">
        <w:rPr>
          <w:rFonts w:ascii="Times New Roman" w:eastAsia="Arial" w:hAnsi="Times New Roman" w:cs="Times New Roman"/>
          <w:sz w:val="24"/>
          <w:szCs w:val="24"/>
          <w:lang w:val="en-GB"/>
        </w:rPr>
        <w:t xml:space="preserve"> included</w:t>
      </w:r>
      <w:r w:rsidRPr="00D07339">
        <w:rPr>
          <w:rFonts w:ascii="Times New Roman" w:eastAsia="Arial" w:hAnsi="Times New Roman" w:cs="Times New Roman"/>
          <w:sz w:val="24"/>
          <w:szCs w:val="24"/>
          <w:lang w:val="en-GB"/>
        </w:rPr>
        <w:t xml:space="preserve">. Two </w:t>
      </w:r>
      <w:r w:rsidR="00B115A4" w:rsidRPr="00D07339">
        <w:rPr>
          <w:rFonts w:ascii="Times New Roman" w:eastAsia="Arial" w:hAnsi="Times New Roman" w:cs="Times New Roman"/>
          <w:sz w:val="24"/>
          <w:szCs w:val="24"/>
          <w:lang w:val="en-GB"/>
        </w:rPr>
        <w:t xml:space="preserve">of the four studies </w:t>
      </w:r>
      <w:r w:rsidRPr="00D07339">
        <w:rPr>
          <w:rFonts w:ascii="Times New Roman" w:eastAsia="Arial" w:hAnsi="Times New Roman" w:cs="Times New Roman"/>
          <w:sz w:val="24"/>
          <w:szCs w:val="24"/>
          <w:lang w:val="en-GB"/>
        </w:rPr>
        <w:t xml:space="preserve">did not record the </w:t>
      </w:r>
      <w:r w:rsidR="00B115A4" w:rsidRPr="00D07339">
        <w:rPr>
          <w:rFonts w:ascii="Times New Roman" w:eastAsia="Arial" w:hAnsi="Times New Roman" w:cs="Times New Roman"/>
          <w:sz w:val="24"/>
          <w:szCs w:val="24"/>
          <w:lang w:val="en-GB"/>
        </w:rPr>
        <w:t xml:space="preserve">actual </w:t>
      </w:r>
      <w:r w:rsidRPr="00D07339">
        <w:rPr>
          <w:rFonts w:ascii="Times New Roman" w:eastAsia="Arial" w:hAnsi="Times New Roman" w:cs="Times New Roman"/>
          <w:sz w:val="24"/>
          <w:szCs w:val="24"/>
          <w:lang w:val="en-GB"/>
        </w:rPr>
        <w:t xml:space="preserve">glucose intake </w:t>
      </w:r>
      <w:r w:rsidR="00B115A4" w:rsidRPr="00D07339">
        <w:rPr>
          <w:rFonts w:ascii="Times New Roman" w:eastAsia="Arial" w:hAnsi="Times New Roman" w:cs="Times New Roman"/>
          <w:sz w:val="24"/>
          <w:szCs w:val="24"/>
          <w:lang w:val="en-GB"/>
        </w:rPr>
        <w:t>in the</w:t>
      </w:r>
      <w:r w:rsidRPr="00D07339">
        <w:rPr>
          <w:rFonts w:ascii="Times New Roman" w:eastAsia="Arial" w:hAnsi="Times New Roman" w:cs="Times New Roman"/>
          <w:sz w:val="24"/>
          <w:szCs w:val="24"/>
          <w:lang w:val="en-GB"/>
        </w:rPr>
        <w:t xml:space="preserve"> patients</w:t>
      </w:r>
      <w:r w:rsidR="00B115A4" w:rsidRPr="00D07339">
        <w:rPr>
          <w:rFonts w:ascii="Times New Roman" w:eastAsia="Arial" w:hAnsi="Times New Roman" w:cs="Times New Roman"/>
          <w:sz w:val="24"/>
          <w:szCs w:val="24"/>
          <w:lang w:val="en-GB"/>
        </w:rPr>
        <w:t>, limiting any</w:t>
      </w:r>
      <w:r w:rsidRPr="00D07339">
        <w:rPr>
          <w:rFonts w:ascii="Times New Roman" w:eastAsia="Arial" w:hAnsi="Times New Roman" w:cs="Times New Roman"/>
          <w:sz w:val="24"/>
          <w:szCs w:val="24"/>
          <w:lang w:val="en-GB"/>
        </w:rPr>
        <w:t xml:space="preserve"> conclusions about </w:t>
      </w:r>
      <w:r w:rsidR="00B115A4" w:rsidRPr="00D07339">
        <w:rPr>
          <w:rFonts w:ascii="Times New Roman" w:eastAsia="Arial" w:hAnsi="Times New Roman" w:cs="Times New Roman"/>
          <w:sz w:val="24"/>
          <w:szCs w:val="24"/>
          <w:lang w:val="en-GB"/>
        </w:rPr>
        <w:t xml:space="preserve">the </w:t>
      </w:r>
      <w:r w:rsidRPr="00D07339">
        <w:rPr>
          <w:rFonts w:ascii="Times New Roman" w:eastAsia="Arial" w:hAnsi="Times New Roman" w:cs="Times New Roman"/>
          <w:sz w:val="24"/>
          <w:szCs w:val="24"/>
          <w:lang w:val="en-GB"/>
        </w:rPr>
        <w:t>optimal glucose intake. In addition, different concentrations or intake of glucose were assessed, which d</w:t>
      </w:r>
      <w:r w:rsidR="00B115A4" w:rsidRPr="00D07339">
        <w:rPr>
          <w:rFonts w:ascii="Times New Roman" w:eastAsia="Arial" w:hAnsi="Times New Roman" w:cs="Times New Roman"/>
          <w:sz w:val="24"/>
          <w:szCs w:val="24"/>
          <w:lang w:val="en-GB"/>
        </w:rPr>
        <w:t>id</w:t>
      </w:r>
      <w:r w:rsidRPr="00D07339">
        <w:rPr>
          <w:rFonts w:ascii="Times New Roman" w:eastAsia="Arial" w:hAnsi="Times New Roman" w:cs="Times New Roman"/>
          <w:sz w:val="24"/>
          <w:szCs w:val="24"/>
          <w:lang w:val="en-GB"/>
        </w:rPr>
        <w:t xml:space="preserve"> not allow us to pool the data. However, the findings of these studies including those of well-conducted RCTs are consistent </w:t>
      </w:r>
      <w:r w:rsidR="00B115A4" w:rsidRPr="00D07339">
        <w:rPr>
          <w:rFonts w:ascii="Times New Roman" w:eastAsia="Arial" w:hAnsi="Times New Roman" w:cs="Times New Roman"/>
          <w:sz w:val="24"/>
          <w:szCs w:val="24"/>
          <w:lang w:val="en-GB"/>
        </w:rPr>
        <w:t xml:space="preserve">in </w:t>
      </w:r>
      <w:r w:rsidRPr="00D07339">
        <w:rPr>
          <w:rFonts w:ascii="Times New Roman" w:eastAsia="Arial" w:hAnsi="Times New Roman" w:cs="Times New Roman"/>
          <w:sz w:val="24"/>
          <w:szCs w:val="24"/>
          <w:lang w:val="en-GB"/>
        </w:rPr>
        <w:t xml:space="preserve">showing that higher glucose intake </w:t>
      </w:r>
      <w:r w:rsidR="00B115A4" w:rsidRPr="00D07339">
        <w:rPr>
          <w:rFonts w:ascii="Times New Roman" w:eastAsia="Arial" w:hAnsi="Times New Roman" w:cs="Times New Roman"/>
          <w:sz w:val="24"/>
          <w:szCs w:val="24"/>
          <w:lang w:val="en-GB"/>
        </w:rPr>
        <w:t xml:space="preserve">can </w:t>
      </w:r>
      <w:r w:rsidRPr="00D07339">
        <w:rPr>
          <w:rFonts w:ascii="Times New Roman" w:eastAsia="Arial" w:hAnsi="Times New Roman" w:cs="Times New Roman"/>
          <w:sz w:val="24"/>
          <w:szCs w:val="24"/>
          <w:lang w:val="en-GB"/>
        </w:rPr>
        <w:t>le</w:t>
      </w:r>
      <w:r w:rsidR="00B115A4" w:rsidRPr="00D07339">
        <w:rPr>
          <w:rFonts w:ascii="Times New Roman" w:eastAsia="Arial" w:hAnsi="Times New Roman" w:cs="Times New Roman"/>
          <w:sz w:val="24"/>
          <w:szCs w:val="24"/>
          <w:lang w:val="en-GB"/>
        </w:rPr>
        <w:t>a</w:t>
      </w:r>
      <w:r w:rsidRPr="00D07339">
        <w:rPr>
          <w:rFonts w:ascii="Times New Roman" w:eastAsia="Arial" w:hAnsi="Times New Roman" w:cs="Times New Roman"/>
          <w:sz w:val="24"/>
          <w:szCs w:val="24"/>
          <w:lang w:val="en-GB"/>
        </w:rPr>
        <w:t xml:space="preserve">d to an increased risk of </w:t>
      </w:r>
      <w:r w:rsidR="00A25D01"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 xml:space="preserve">, while a lower intake of glucose did not cause </w:t>
      </w:r>
      <w:proofErr w:type="gramStart"/>
      <w:r w:rsidR="00A25D01" w:rsidRPr="00D07339">
        <w:rPr>
          <w:rFonts w:ascii="Times New Roman" w:eastAsia="Arial" w:hAnsi="Times New Roman" w:cs="Times New Roman"/>
          <w:sz w:val="24"/>
          <w:szCs w:val="24"/>
          <w:lang w:val="en-GB"/>
        </w:rPr>
        <w:t>hypoglycaemia</w:t>
      </w:r>
      <w:r w:rsidRPr="00D07339">
        <w:rPr>
          <w:rFonts w:ascii="Times New Roman" w:eastAsia="Arial" w:hAnsi="Times New Roman" w:cs="Times New Roman"/>
          <w:sz w:val="24"/>
          <w:szCs w:val="24"/>
          <w:lang w:val="en-GB"/>
        </w:rPr>
        <w:t>, and</w:t>
      </w:r>
      <w:proofErr w:type="gramEnd"/>
      <w:r w:rsidRPr="00D07339">
        <w:rPr>
          <w:rFonts w:ascii="Times New Roman" w:eastAsia="Arial" w:hAnsi="Times New Roman" w:cs="Times New Roman"/>
          <w:sz w:val="24"/>
          <w:szCs w:val="24"/>
          <w:lang w:val="en-GB"/>
        </w:rPr>
        <w:t xml:space="preserve"> may confer benefits </w:t>
      </w:r>
      <w:r w:rsidR="00B115A4" w:rsidRPr="00D07339">
        <w:rPr>
          <w:rFonts w:ascii="Times New Roman" w:eastAsia="Arial" w:hAnsi="Times New Roman" w:cs="Times New Roman"/>
          <w:sz w:val="24"/>
          <w:szCs w:val="24"/>
          <w:lang w:val="en-GB"/>
        </w:rPr>
        <w:t xml:space="preserve">on </w:t>
      </w:r>
      <w:r w:rsidRPr="00D07339">
        <w:rPr>
          <w:rFonts w:ascii="Times New Roman" w:eastAsia="Arial" w:hAnsi="Times New Roman" w:cs="Times New Roman"/>
          <w:sz w:val="24"/>
          <w:szCs w:val="24"/>
          <w:lang w:val="en-GB"/>
        </w:rPr>
        <w:t xml:space="preserve">clinical outcomes. </w:t>
      </w:r>
    </w:p>
    <w:p w14:paraId="078C8A94" w14:textId="77777777" w:rsidR="000D4BB6" w:rsidRPr="00D07339" w:rsidRDefault="000D4BB6" w:rsidP="00313EC9">
      <w:pPr>
        <w:pBdr>
          <w:top w:val="nil"/>
          <w:left w:val="nil"/>
          <w:bottom w:val="nil"/>
          <w:right w:val="nil"/>
          <w:between w:val="nil"/>
        </w:pBdr>
        <w:spacing w:after="0" w:line="360" w:lineRule="auto"/>
        <w:jc w:val="both"/>
        <w:rPr>
          <w:rFonts w:ascii="Times New Roman" w:eastAsia="Arial" w:hAnsi="Times New Roman" w:cs="Times New Roman"/>
          <w:sz w:val="24"/>
          <w:szCs w:val="24"/>
          <w:lang w:val="en-GB"/>
        </w:rPr>
      </w:pPr>
    </w:p>
    <w:p w14:paraId="078C8A96" w14:textId="4EAB6C05" w:rsidR="000D4BB6" w:rsidRPr="00D07339" w:rsidRDefault="00BB3A81" w:rsidP="00313EC9">
      <w:pPr>
        <w:pBdr>
          <w:top w:val="nil"/>
          <w:left w:val="nil"/>
          <w:bottom w:val="nil"/>
          <w:right w:val="nil"/>
          <w:between w:val="nil"/>
        </w:pBdr>
        <w:spacing w:after="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lastRenderedPageBreak/>
        <w:t xml:space="preserve">Future studies are required </w:t>
      </w:r>
      <w:proofErr w:type="gramStart"/>
      <w:r w:rsidRPr="00D07339">
        <w:rPr>
          <w:rFonts w:ascii="Times New Roman" w:eastAsia="Arial" w:hAnsi="Times New Roman" w:cs="Times New Roman"/>
          <w:sz w:val="24"/>
          <w:szCs w:val="24"/>
          <w:lang w:val="en-GB"/>
        </w:rPr>
        <w:t>to  assess</w:t>
      </w:r>
      <w:proofErr w:type="gramEnd"/>
      <w:r w:rsidRPr="00D07339">
        <w:rPr>
          <w:rFonts w:ascii="Times New Roman" w:eastAsia="Arial" w:hAnsi="Times New Roman" w:cs="Times New Roman"/>
          <w:sz w:val="24"/>
          <w:szCs w:val="24"/>
          <w:lang w:val="en-GB"/>
        </w:rPr>
        <w:t xml:space="preserve"> the impact of glucose intake or concentrations on clinical outcomes in children, in different age groups</w:t>
      </w:r>
      <w:r w:rsidR="00A96337" w:rsidRPr="00D07339">
        <w:rPr>
          <w:rFonts w:ascii="Times New Roman" w:eastAsia="Arial" w:hAnsi="Times New Roman" w:cs="Times New Roman"/>
          <w:sz w:val="24"/>
          <w:szCs w:val="24"/>
          <w:lang w:val="en-GB"/>
        </w:rPr>
        <w:t xml:space="preserve"> and </w:t>
      </w:r>
      <w:r w:rsidR="00C53EF2" w:rsidRPr="00D07339">
        <w:rPr>
          <w:rFonts w:ascii="Times New Roman" w:eastAsia="Arial" w:hAnsi="Times New Roman" w:cs="Times New Roman"/>
          <w:sz w:val="24"/>
          <w:szCs w:val="24"/>
          <w:lang w:val="en-GB"/>
        </w:rPr>
        <w:t xml:space="preserve">presenting with different clinical conditions </w:t>
      </w:r>
      <w:r w:rsidR="00BA1B37" w:rsidRPr="00D07339">
        <w:rPr>
          <w:rFonts w:ascii="Times New Roman" w:eastAsia="Arial" w:hAnsi="Times New Roman" w:cs="Times New Roman"/>
          <w:sz w:val="24"/>
          <w:szCs w:val="24"/>
          <w:lang w:val="en-GB"/>
        </w:rPr>
        <w:t>with</w:t>
      </w:r>
      <w:r w:rsidR="00C53EF2" w:rsidRPr="00D07339">
        <w:rPr>
          <w:rFonts w:ascii="Times New Roman" w:eastAsia="Arial" w:hAnsi="Times New Roman" w:cs="Times New Roman"/>
          <w:sz w:val="24"/>
          <w:szCs w:val="24"/>
          <w:lang w:val="en-GB"/>
        </w:rPr>
        <w:t xml:space="preserve"> </w:t>
      </w:r>
      <w:r w:rsidR="00BA1B37" w:rsidRPr="00D07339">
        <w:rPr>
          <w:rFonts w:ascii="Times New Roman" w:eastAsia="Arial" w:hAnsi="Times New Roman" w:cs="Times New Roman"/>
          <w:sz w:val="24"/>
          <w:szCs w:val="24"/>
          <w:lang w:val="en-GB"/>
        </w:rPr>
        <w:t xml:space="preserve">different </w:t>
      </w:r>
      <w:r w:rsidR="00C53EF2" w:rsidRPr="00D07339">
        <w:rPr>
          <w:rFonts w:ascii="Times New Roman" w:eastAsia="Arial" w:hAnsi="Times New Roman" w:cs="Times New Roman"/>
          <w:sz w:val="24"/>
          <w:szCs w:val="24"/>
          <w:lang w:val="en-GB"/>
        </w:rPr>
        <w:t xml:space="preserve">severity of </w:t>
      </w:r>
      <w:r w:rsidR="00BA1B37" w:rsidRPr="00D07339">
        <w:rPr>
          <w:rFonts w:ascii="Times New Roman" w:eastAsia="Arial" w:hAnsi="Times New Roman" w:cs="Times New Roman"/>
          <w:sz w:val="24"/>
          <w:szCs w:val="24"/>
          <w:lang w:val="en-GB"/>
        </w:rPr>
        <w:t>illness</w:t>
      </w:r>
      <w:r w:rsidR="00C53EF2" w:rsidRPr="00D07339">
        <w:rPr>
          <w:rFonts w:ascii="Times New Roman" w:eastAsia="Arial" w:hAnsi="Times New Roman" w:cs="Times New Roman"/>
          <w:sz w:val="24"/>
          <w:szCs w:val="24"/>
          <w:lang w:val="en-GB"/>
        </w:rPr>
        <w:t xml:space="preserve">, to enable extrapolation of the results to broader populations such as neonates </w:t>
      </w:r>
      <w:r w:rsidR="00BA1B37" w:rsidRPr="00D07339">
        <w:rPr>
          <w:rFonts w:ascii="Times New Roman" w:eastAsia="Arial" w:hAnsi="Times New Roman" w:cs="Times New Roman"/>
          <w:sz w:val="24"/>
          <w:szCs w:val="24"/>
          <w:lang w:val="en-GB"/>
        </w:rPr>
        <w:t>and/</w:t>
      </w:r>
      <w:r w:rsidR="00C53EF2" w:rsidRPr="00D07339">
        <w:rPr>
          <w:rFonts w:ascii="Times New Roman" w:eastAsia="Arial" w:hAnsi="Times New Roman" w:cs="Times New Roman"/>
          <w:sz w:val="24"/>
          <w:szCs w:val="24"/>
          <w:lang w:val="en-GB"/>
        </w:rPr>
        <w:t>or non-critically ill children</w:t>
      </w:r>
      <w:r w:rsidRPr="00D07339">
        <w:rPr>
          <w:rFonts w:ascii="Times New Roman" w:eastAsia="Arial" w:hAnsi="Times New Roman" w:cs="Times New Roman"/>
          <w:sz w:val="24"/>
          <w:szCs w:val="24"/>
          <w:lang w:val="en-GB"/>
        </w:rPr>
        <w:t xml:space="preserve">. If a glucose concentration in IV-MFT is studied, the total glucose intake received by patients </w:t>
      </w:r>
      <w:r w:rsidR="00B115A4" w:rsidRPr="00D07339">
        <w:rPr>
          <w:rFonts w:ascii="Times New Roman" w:eastAsia="Arial" w:hAnsi="Times New Roman" w:cs="Times New Roman"/>
          <w:sz w:val="24"/>
          <w:szCs w:val="24"/>
          <w:lang w:val="en-GB"/>
        </w:rPr>
        <w:t xml:space="preserve">must </w:t>
      </w:r>
      <w:r w:rsidRPr="00D07339">
        <w:rPr>
          <w:rFonts w:ascii="Times New Roman" w:eastAsia="Arial" w:hAnsi="Times New Roman" w:cs="Times New Roman"/>
          <w:sz w:val="24"/>
          <w:szCs w:val="24"/>
          <w:lang w:val="en-GB"/>
        </w:rPr>
        <w:t>be recorded. The feared risk of hypo- (or hyper-) glyc</w:t>
      </w:r>
      <w:r w:rsidR="00A25D01" w:rsidRPr="00D07339">
        <w:rPr>
          <w:rFonts w:ascii="Times New Roman" w:eastAsia="Arial" w:hAnsi="Times New Roman" w:cs="Times New Roman"/>
          <w:sz w:val="24"/>
          <w:szCs w:val="24"/>
          <w:lang w:val="en-GB"/>
        </w:rPr>
        <w:t>a</w:t>
      </w:r>
      <w:r w:rsidRPr="00D07339">
        <w:rPr>
          <w:rFonts w:ascii="Times New Roman" w:eastAsia="Arial" w:hAnsi="Times New Roman" w:cs="Times New Roman"/>
          <w:sz w:val="24"/>
          <w:szCs w:val="24"/>
          <w:lang w:val="en-GB"/>
        </w:rPr>
        <w:t xml:space="preserve">emia is related to the absolute value of glucose administration; it is influenced by both the IV-MFT infusion rate (which depends on fluid restriction policies) and the IV-MFT glucose concentration. </w:t>
      </w:r>
      <w:r w:rsidR="00F37ECC" w:rsidRPr="00D07339">
        <w:rPr>
          <w:rFonts w:ascii="Times New Roman" w:eastAsia="Arial" w:hAnsi="Times New Roman" w:cs="Times New Roman"/>
          <w:sz w:val="24"/>
          <w:szCs w:val="24"/>
          <w:lang w:val="en-GB"/>
        </w:rPr>
        <w:t>Thus,</w:t>
      </w:r>
      <w:r w:rsidRPr="00D07339">
        <w:rPr>
          <w:rFonts w:ascii="Times New Roman" w:eastAsia="Arial" w:hAnsi="Times New Roman" w:cs="Times New Roman"/>
          <w:sz w:val="24"/>
          <w:szCs w:val="24"/>
          <w:lang w:val="en-GB"/>
        </w:rPr>
        <w:t xml:space="preserve"> it is difficult to recommend an ideal glucose concentration for IV-MFT solutions. </w:t>
      </w:r>
      <w:r w:rsidR="00F37ECC"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t xml:space="preserve">There is also a need to determine the age at which glucose intake in IV-MFT is no longer essential in children, and from what age </w:t>
      </w:r>
      <w:r w:rsidR="001F509A" w:rsidRPr="00D07339">
        <w:rPr>
          <w:rFonts w:ascii="Times New Roman" w:eastAsia="Arial" w:hAnsi="Times New Roman" w:cs="Times New Roman"/>
          <w:sz w:val="24"/>
          <w:szCs w:val="24"/>
          <w:lang w:val="en-GB"/>
        </w:rPr>
        <w:t>hypoglycaemia</w:t>
      </w:r>
      <w:r w:rsidRPr="00D07339">
        <w:rPr>
          <w:rFonts w:ascii="Times New Roman" w:eastAsia="Arial" w:hAnsi="Times New Roman" w:cs="Times New Roman"/>
          <w:sz w:val="24"/>
          <w:szCs w:val="24"/>
          <w:lang w:val="en-GB"/>
        </w:rPr>
        <w:t xml:space="preserve"> and ketone body-related vomiting are no longer problematic.</w:t>
      </w:r>
    </w:p>
    <w:p w14:paraId="078C8A97" w14:textId="62DF4537" w:rsidR="000D4BB6" w:rsidRPr="00D07339" w:rsidRDefault="00BB3A81" w:rsidP="00313EC9">
      <w:pPr>
        <w:spacing w:after="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Considering the available evidence, it </w:t>
      </w:r>
      <w:r w:rsidR="00F37ECC" w:rsidRPr="00D07339">
        <w:rPr>
          <w:rFonts w:ascii="Times New Roman" w:eastAsia="Arial" w:hAnsi="Times New Roman" w:cs="Times New Roman"/>
          <w:sz w:val="24"/>
          <w:szCs w:val="24"/>
          <w:lang w:val="en-GB"/>
        </w:rPr>
        <w:t>was</w:t>
      </w:r>
      <w:r w:rsidRPr="00D07339">
        <w:rPr>
          <w:rFonts w:ascii="Times New Roman" w:eastAsia="Arial" w:hAnsi="Times New Roman" w:cs="Times New Roman"/>
          <w:sz w:val="24"/>
          <w:szCs w:val="24"/>
          <w:lang w:val="en-GB"/>
        </w:rPr>
        <w:t xml:space="preserve"> not possible to provide recommendations about a precise amount of glucose intake or glucose concentrations in IV-MFT. However, glucose levels should be monitored </w:t>
      </w:r>
      <w:r w:rsidR="00F37ECC" w:rsidRPr="00D07339">
        <w:rPr>
          <w:rFonts w:ascii="Times New Roman" w:eastAsia="Arial" w:hAnsi="Times New Roman" w:cs="Times New Roman"/>
          <w:sz w:val="24"/>
          <w:szCs w:val="24"/>
          <w:lang w:val="en-GB"/>
        </w:rPr>
        <w:t>daily</w:t>
      </w:r>
      <w:r w:rsidRPr="00D07339">
        <w:rPr>
          <w:rFonts w:ascii="Times New Roman" w:eastAsia="Arial" w:hAnsi="Times New Roman" w:cs="Times New Roman"/>
          <w:sz w:val="24"/>
          <w:szCs w:val="24"/>
          <w:lang w:val="en-GB"/>
        </w:rPr>
        <w:t xml:space="preserve"> and glucose in IV-MFT should be given in amounts to prevent </w:t>
      </w:r>
      <w:r w:rsidR="001F509A" w:rsidRPr="00D07339">
        <w:rPr>
          <w:rFonts w:ascii="Times New Roman" w:eastAsia="Arial" w:hAnsi="Times New Roman" w:cs="Times New Roman"/>
          <w:sz w:val="24"/>
          <w:szCs w:val="24"/>
          <w:lang w:val="en-GB"/>
        </w:rPr>
        <w:t>hypoglycaemia</w:t>
      </w:r>
      <w:r w:rsidRPr="00D07339">
        <w:rPr>
          <w:rFonts w:ascii="Times New Roman" w:eastAsia="Arial" w:hAnsi="Times New Roman" w:cs="Times New Roman"/>
          <w:sz w:val="24"/>
          <w:szCs w:val="24"/>
          <w:lang w:val="en-GB"/>
        </w:rPr>
        <w:t xml:space="preserve"> or </w:t>
      </w:r>
      <w:r w:rsidR="001F509A"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 xml:space="preserve"> in acutely and critically ill children, especially as during critical illness, glucose requirements in children are often reduced and both hypo- and </w:t>
      </w:r>
      <w:r w:rsidR="001F509A" w:rsidRPr="00D07339">
        <w:rPr>
          <w:rFonts w:ascii="Times New Roman" w:eastAsia="Arial" w:hAnsi="Times New Roman" w:cs="Times New Roman"/>
          <w:sz w:val="24"/>
          <w:szCs w:val="24"/>
          <w:lang w:val="en-GB"/>
        </w:rPr>
        <w:t>hyperglycaemia</w:t>
      </w:r>
      <w:r w:rsidRPr="00D07339">
        <w:rPr>
          <w:rFonts w:ascii="Times New Roman" w:eastAsia="Arial" w:hAnsi="Times New Roman" w:cs="Times New Roman"/>
          <w:sz w:val="24"/>
          <w:szCs w:val="24"/>
          <w:lang w:val="en-GB"/>
        </w:rPr>
        <w:t xml:space="preserve"> are deleterious. </w:t>
      </w:r>
    </w:p>
    <w:p w14:paraId="5DDECF86" w14:textId="5C33F288" w:rsidR="00B2600B" w:rsidRPr="00D07339" w:rsidRDefault="00F37ECC" w:rsidP="00313EC9">
      <w:pPr>
        <w:spacing w:after="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A child’s b</w:t>
      </w:r>
      <w:r w:rsidR="00BB3A81" w:rsidRPr="00D07339">
        <w:rPr>
          <w:rFonts w:ascii="Times New Roman" w:eastAsia="Arial" w:hAnsi="Times New Roman" w:cs="Times New Roman"/>
          <w:sz w:val="24"/>
          <w:szCs w:val="24"/>
          <w:lang w:val="en-GB"/>
        </w:rPr>
        <w:t xml:space="preserve">ody stores, metabolic stress intensity (insulin resistance, counterregulatory hormone release), age, and fluid allowance </w:t>
      </w:r>
      <w:r w:rsidRPr="00D07339">
        <w:rPr>
          <w:rFonts w:ascii="Times New Roman" w:eastAsia="Arial" w:hAnsi="Times New Roman" w:cs="Times New Roman"/>
          <w:sz w:val="24"/>
          <w:szCs w:val="24"/>
          <w:lang w:val="en-GB"/>
        </w:rPr>
        <w:t>must</w:t>
      </w:r>
      <w:r w:rsidR="00BB3A81" w:rsidRPr="00D07339">
        <w:rPr>
          <w:rFonts w:ascii="Times New Roman" w:eastAsia="Arial" w:hAnsi="Times New Roman" w:cs="Times New Roman"/>
          <w:sz w:val="24"/>
          <w:szCs w:val="24"/>
          <w:lang w:val="en-GB"/>
        </w:rPr>
        <w:t xml:space="preserve"> all be taken into consideration wh</w:t>
      </w:r>
      <w:r w:rsidRPr="00D07339">
        <w:rPr>
          <w:rFonts w:ascii="Times New Roman" w:eastAsia="Arial" w:hAnsi="Times New Roman" w:cs="Times New Roman"/>
          <w:sz w:val="24"/>
          <w:szCs w:val="24"/>
          <w:lang w:val="en-GB"/>
        </w:rPr>
        <w:t>en</w:t>
      </w:r>
      <w:r w:rsidR="00BB3A81" w:rsidRPr="00D07339">
        <w:rPr>
          <w:rFonts w:ascii="Times New Roman" w:eastAsia="Arial" w:hAnsi="Times New Roman" w:cs="Times New Roman"/>
          <w:sz w:val="24"/>
          <w:szCs w:val="24"/>
          <w:lang w:val="en-GB"/>
        </w:rPr>
        <w:t xml:space="preserve"> prescribing the IV-MFT infusion rate and its glucose concentration</w:t>
      </w:r>
      <w:r w:rsidRPr="00D07339">
        <w:rPr>
          <w:rFonts w:ascii="Times New Roman" w:eastAsia="Arial" w:hAnsi="Times New Roman" w:cs="Times New Roman"/>
          <w:sz w:val="24"/>
          <w:szCs w:val="24"/>
          <w:lang w:val="en-GB"/>
        </w:rPr>
        <w:t xml:space="preserve"> in children</w:t>
      </w:r>
      <w:r w:rsidR="00BB3A81" w:rsidRPr="00D07339">
        <w:rPr>
          <w:rFonts w:ascii="Times New Roman" w:eastAsia="Arial" w:hAnsi="Times New Roman" w:cs="Times New Roman"/>
          <w:sz w:val="24"/>
          <w:szCs w:val="24"/>
          <w:lang w:val="en-GB"/>
        </w:rPr>
        <w:t xml:space="preserve">. For example, in a child presenting with a low severity disease, a 5% </w:t>
      </w:r>
      <w:r w:rsidR="009A08DC" w:rsidRPr="00D07339">
        <w:rPr>
          <w:rFonts w:ascii="Times New Roman" w:eastAsia="Arial" w:hAnsi="Times New Roman" w:cs="Times New Roman"/>
          <w:sz w:val="24"/>
          <w:szCs w:val="24"/>
          <w:lang w:val="en-GB"/>
        </w:rPr>
        <w:t>g</w:t>
      </w:r>
      <w:r w:rsidR="00BB3A81" w:rsidRPr="00D07339">
        <w:rPr>
          <w:rFonts w:ascii="Times New Roman" w:eastAsia="Arial" w:hAnsi="Times New Roman" w:cs="Times New Roman"/>
          <w:sz w:val="24"/>
          <w:szCs w:val="24"/>
          <w:lang w:val="en-GB"/>
        </w:rPr>
        <w:t>lucose concentration is commonly prescribed with a standard infusion rate. In case of severe fluid restriction requirements, the glucose concentration may need to be increased, but if there is a concomitant significant metabolic stress.</w:t>
      </w:r>
    </w:p>
    <w:p w14:paraId="078C8A9C" w14:textId="16B508C5" w:rsidR="000D4BB6" w:rsidRPr="00D07339" w:rsidRDefault="00BB3A81" w:rsidP="00B70F75">
      <w:pPr>
        <w:pStyle w:val="Titre1"/>
      </w:pPr>
      <w:r w:rsidRPr="00D07339">
        <w:t>Recommendations</w:t>
      </w:r>
    </w:p>
    <w:p w14:paraId="078C8A9D" w14:textId="408E7626" w:rsidR="000D4BB6" w:rsidRPr="00D07339" w:rsidRDefault="006E1C03" w:rsidP="00313EC9">
      <w:pPr>
        <w:spacing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b/>
          <w:sz w:val="24"/>
          <w:szCs w:val="24"/>
          <w:lang w:val="en-GB"/>
        </w:rPr>
        <w:t xml:space="preserve">In acutely and critically ill children, glucose provision in intravenous maintenance fluid therapy should be considered in sufficient amount and guided by blood glucose monitoring (at least daily) to prevent hypoglycaemia. </w:t>
      </w:r>
      <w:r w:rsidR="00BB3A81" w:rsidRPr="00D07339">
        <w:rPr>
          <w:rFonts w:ascii="Times New Roman" w:eastAsia="Arial" w:hAnsi="Times New Roman" w:cs="Times New Roman"/>
          <w:b/>
          <w:color w:val="0000FF"/>
          <w:sz w:val="24"/>
          <w:szCs w:val="24"/>
          <w:lang w:val="en-GB"/>
        </w:rPr>
        <w:t>GCP</w:t>
      </w:r>
    </w:p>
    <w:p w14:paraId="078C8A9E" w14:textId="216304A3" w:rsidR="000D4BB6" w:rsidRPr="00D07339" w:rsidRDefault="006E1C03" w:rsidP="00313EC9">
      <w:pPr>
        <w:spacing w:line="360" w:lineRule="auto"/>
        <w:jc w:val="both"/>
        <w:rPr>
          <w:rFonts w:ascii="Times New Roman" w:eastAsia="Arial" w:hAnsi="Times New Roman" w:cs="Times New Roman"/>
          <w:b/>
          <w:color w:val="000000"/>
          <w:sz w:val="24"/>
          <w:szCs w:val="24"/>
          <w:lang w:val="en-GB"/>
        </w:rPr>
      </w:pPr>
      <w:r w:rsidRPr="00D07339">
        <w:rPr>
          <w:rFonts w:ascii="Times New Roman" w:eastAsia="Arial" w:hAnsi="Times New Roman" w:cs="Times New Roman"/>
          <w:b/>
          <w:sz w:val="24"/>
          <w:szCs w:val="24"/>
          <w:lang w:val="en-GB"/>
        </w:rPr>
        <w:t>In critically ill children, glucose provision in intravenous maintenance fluid therapy should not be excessive and guided by blood glucose monitoring (at least daily) to prevent hyperglycaemia.</w:t>
      </w:r>
      <w:r w:rsidR="00BB3A81" w:rsidRPr="00D07339">
        <w:rPr>
          <w:rFonts w:ascii="Times New Roman" w:eastAsia="Arial" w:hAnsi="Times New Roman" w:cs="Times New Roman"/>
          <w:b/>
          <w:color w:val="0000FF"/>
          <w:sz w:val="24"/>
          <w:szCs w:val="24"/>
          <w:lang w:val="en-GB"/>
        </w:rPr>
        <w:t xml:space="preserve"> </w:t>
      </w:r>
      <w:r w:rsidR="00313EC9" w:rsidRPr="00D07339">
        <w:rPr>
          <w:rFonts w:ascii="Times New Roman" w:eastAsia="Arial" w:hAnsi="Times New Roman" w:cs="Times New Roman"/>
          <w:b/>
          <w:color w:val="0000FF"/>
          <w:sz w:val="24"/>
          <w:szCs w:val="24"/>
          <w:lang w:val="en-GB"/>
        </w:rPr>
        <w:t>Grade B</w:t>
      </w:r>
      <w:r w:rsidR="00BB3A81" w:rsidRPr="00D07339">
        <w:rPr>
          <w:rFonts w:ascii="Times New Roman" w:hAnsi="Times New Roman" w:cs="Times New Roman"/>
          <w:b/>
          <w:sz w:val="24"/>
          <w:szCs w:val="24"/>
          <w:lang w:val="en-GB"/>
        </w:rPr>
        <w:br w:type="page"/>
      </w:r>
    </w:p>
    <w:p w14:paraId="078C8A9F" w14:textId="47A909A5" w:rsidR="000D4BB6" w:rsidRPr="00D07339" w:rsidRDefault="00BB3A81" w:rsidP="00313EC9">
      <w:pPr>
        <w:spacing w:before="120" w:after="120" w:line="360" w:lineRule="auto"/>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lastRenderedPageBreak/>
        <w:t xml:space="preserve">PiCO 4b: IV-MFT composition: </w:t>
      </w:r>
      <w:r w:rsidR="00E17521" w:rsidRPr="00D07339">
        <w:rPr>
          <w:rFonts w:ascii="Times New Roman" w:eastAsia="Arial" w:hAnsi="Times New Roman" w:cs="Times New Roman"/>
          <w:b/>
          <w:sz w:val="24"/>
          <w:szCs w:val="24"/>
          <w:lang w:val="en-GB"/>
        </w:rPr>
        <w:t>Potassium (</w:t>
      </w:r>
      <w:r w:rsidRPr="00D07339">
        <w:rPr>
          <w:rFonts w:ascii="Times New Roman" w:eastAsia="Arial" w:hAnsi="Times New Roman" w:cs="Times New Roman"/>
          <w:b/>
          <w:sz w:val="24"/>
          <w:szCs w:val="24"/>
          <w:lang w:val="en-GB"/>
        </w:rPr>
        <w:t>K</w:t>
      </w:r>
      <w:r w:rsidR="00E17521" w:rsidRPr="00D07339">
        <w:rPr>
          <w:rFonts w:ascii="Times New Roman" w:eastAsia="Arial" w:hAnsi="Times New Roman" w:cs="Times New Roman"/>
          <w:b/>
          <w:sz w:val="24"/>
          <w:szCs w:val="24"/>
          <w:lang w:val="en-GB"/>
        </w:rPr>
        <w:t>)</w:t>
      </w:r>
      <w:r w:rsidRPr="00D07339">
        <w:rPr>
          <w:rFonts w:ascii="Times New Roman" w:eastAsia="Arial" w:hAnsi="Times New Roman" w:cs="Times New Roman"/>
          <w:b/>
          <w:sz w:val="24"/>
          <w:szCs w:val="24"/>
          <w:lang w:val="en-GB"/>
        </w:rPr>
        <w:t xml:space="preserve">, </w:t>
      </w:r>
      <w:r w:rsidR="00E17521" w:rsidRPr="00D07339">
        <w:rPr>
          <w:rFonts w:ascii="Times New Roman" w:eastAsia="Arial" w:hAnsi="Times New Roman" w:cs="Times New Roman"/>
          <w:b/>
          <w:sz w:val="24"/>
          <w:szCs w:val="24"/>
          <w:lang w:val="en-GB"/>
        </w:rPr>
        <w:t>Magnesium (</w:t>
      </w:r>
      <w:r w:rsidRPr="00D07339">
        <w:rPr>
          <w:rFonts w:ascii="Times New Roman" w:eastAsia="Arial" w:hAnsi="Times New Roman" w:cs="Times New Roman"/>
          <w:b/>
          <w:sz w:val="24"/>
          <w:szCs w:val="24"/>
          <w:lang w:val="en-GB"/>
        </w:rPr>
        <w:t>Mg</w:t>
      </w:r>
      <w:r w:rsidR="00E17521" w:rsidRPr="00D07339">
        <w:rPr>
          <w:rFonts w:ascii="Times New Roman" w:eastAsia="Arial" w:hAnsi="Times New Roman" w:cs="Times New Roman"/>
          <w:b/>
          <w:sz w:val="24"/>
          <w:szCs w:val="24"/>
          <w:lang w:val="en-GB"/>
        </w:rPr>
        <w:t>)</w:t>
      </w:r>
      <w:r w:rsidRPr="00D07339">
        <w:rPr>
          <w:rFonts w:ascii="Times New Roman" w:eastAsia="Arial" w:hAnsi="Times New Roman" w:cs="Times New Roman"/>
          <w:b/>
          <w:sz w:val="24"/>
          <w:szCs w:val="24"/>
          <w:lang w:val="en-GB"/>
        </w:rPr>
        <w:t xml:space="preserve">, </w:t>
      </w:r>
      <w:r w:rsidR="00E17521" w:rsidRPr="00D07339">
        <w:rPr>
          <w:rFonts w:ascii="Times New Roman" w:eastAsia="Arial" w:hAnsi="Times New Roman" w:cs="Times New Roman"/>
          <w:b/>
          <w:sz w:val="24"/>
          <w:szCs w:val="24"/>
          <w:lang w:val="en-GB"/>
        </w:rPr>
        <w:t>Phosphate (</w:t>
      </w:r>
      <w:r w:rsidRPr="00D07339">
        <w:rPr>
          <w:rFonts w:ascii="Times New Roman" w:eastAsia="Arial" w:hAnsi="Times New Roman" w:cs="Times New Roman"/>
          <w:b/>
          <w:sz w:val="24"/>
          <w:szCs w:val="24"/>
          <w:lang w:val="en-GB"/>
        </w:rPr>
        <w:t>P</w:t>
      </w:r>
      <w:r w:rsidR="00E17521" w:rsidRPr="00D07339">
        <w:rPr>
          <w:rFonts w:ascii="Times New Roman" w:eastAsia="Arial" w:hAnsi="Times New Roman" w:cs="Times New Roman"/>
          <w:b/>
          <w:sz w:val="24"/>
          <w:szCs w:val="24"/>
          <w:lang w:val="en-GB"/>
        </w:rPr>
        <w:t>)</w:t>
      </w:r>
      <w:r w:rsidRPr="00D07339">
        <w:rPr>
          <w:rFonts w:ascii="Times New Roman" w:eastAsia="Arial" w:hAnsi="Times New Roman" w:cs="Times New Roman"/>
          <w:b/>
          <w:sz w:val="24"/>
          <w:szCs w:val="24"/>
          <w:lang w:val="en-GB"/>
        </w:rPr>
        <w:t xml:space="preserve">, </w:t>
      </w:r>
      <w:r w:rsidR="00E17521" w:rsidRPr="00D07339">
        <w:rPr>
          <w:rFonts w:ascii="Times New Roman" w:eastAsia="Arial" w:hAnsi="Times New Roman" w:cs="Times New Roman"/>
          <w:b/>
          <w:sz w:val="24"/>
          <w:szCs w:val="24"/>
          <w:lang w:val="en-GB"/>
        </w:rPr>
        <w:t>Calcium (</w:t>
      </w:r>
      <w:r w:rsidRPr="00D07339">
        <w:rPr>
          <w:rFonts w:ascii="Times New Roman" w:eastAsia="Arial" w:hAnsi="Times New Roman" w:cs="Times New Roman"/>
          <w:b/>
          <w:sz w:val="24"/>
          <w:szCs w:val="24"/>
          <w:lang w:val="en-GB"/>
        </w:rPr>
        <w:t>Ca</w:t>
      </w:r>
      <w:r w:rsidR="00E17521" w:rsidRPr="00D07339">
        <w:rPr>
          <w:rFonts w:ascii="Times New Roman" w:eastAsia="Arial" w:hAnsi="Times New Roman" w:cs="Times New Roman"/>
          <w:b/>
          <w:sz w:val="24"/>
          <w:szCs w:val="24"/>
          <w:lang w:val="en-GB"/>
        </w:rPr>
        <w:t>)</w:t>
      </w:r>
      <w:r w:rsidRPr="00D07339">
        <w:rPr>
          <w:rFonts w:ascii="Times New Roman" w:eastAsia="Arial" w:hAnsi="Times New Roman" w:cs="Times New Roman"/>
          <w:b/>
          <w:sz w:val="24"/>
          <w:szCs w:val="24"/>
          <w:lang w:val="en-GB"/>
        </w:rPr>
        <w:t>, Vitamins &amp; Trace elements</w:t>
      </w:r>
    </w:p>
    <w:p w14:paraId="078C8AA2" w14:textId="4442C957" w:rsidR="000D4BB6" w:rsidRPr="00D07339" w:rsidRDefault="00BB3A81" w:rsidP="00B70F75">
      <w:pPr>
        <w:pStyle w:val="Titre1"/>
        <w:numPr>
          <w:ilvl w:val="0"/>
          <w:numId w:val="3"/>
        </w:numPr>
      </w:pPr>
      <w:r w:rsidRPr="00D07339">
        <w:t xml:space="preserve">Background and pathophysiology </w:t>
      </w:r>
    </w:p>
    <w:p w14:paraId="078C8AA3" w14:textId="1726C660" w:rsidR="000D4BB6" w:rsidRPr="00D07339" w:rsidRDefault="00A578FF"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A patient’s e</w:t>
      </w:r>
      <w:r w:rsidR="00BB3A81" w:rsidRPr="00D07339">
        <w:rPr>
          <w:rFonts w:ascii="Times New Roman" w:eastAsia="Arial" w:hAnsi="Times New Roman" w:cs="Times New Roman"/>
          <w:sz w:val="24"/>
          <w:szCs w:val="24"/>
          <w:lang w:val="en-GB"/>
        </w:rPr>
        <w:t xml:space="preserve">lectrolyte (K, P, Mg, Ca) and micronutrient (vitamin and trace-element) homeostasis </w:t>
      </w:r>
      <w:proofErr w:type="gramStart"/>
      <w:r w:rsidR="00BB3A81" w:rsidRPr="00D07339">
        <w:rPr>
          <w:rFonts w:ascii="Times New Roman" w:eastAsia="Arial" w:hAnsi="Times New Roman" w:cs="Times New Roman"/>
          <w:sz w:val="24"/>
          <w:szCs w:val="24"/>
          <w:lang w:val="en-GB"/>
        </w:rPr>
        <w:t>depends</w:t>
      </w:r>
      <w:proofErr w:type="gramEnd"/>
      <w:r w:rsidR="00BB3A81" w:rsidRPr="00D07339">
        <w:rPr>
          <w:rFonts w:ascii="Times New Roman" w:eastAsia="Arial" w:hAnsi="Times New Roman" w:cs="Times New Roman"/>
          <w:sz w:val="24"/>
          <w:szCs w:val="24"/>
          <w:lang w:val="en-GB"/>
        </w:rPr>
        <w:t xml:space="preserve"> on their body stores, </w:t>
      </w:r>
      <w:r w:rsidR="004B6D74" w:rsidRPr="00D07339">
        <w:rPr>
          <w:rFonts w:ascii="Times New Roman" w:eastAsia="Arial" w:hAnsi="Times New Roman" w:cs="Times New Roman"/>
          <w:sz w:val="24"/>
          <w:szCs w:val="24"/>
          <w:lang w:val="en-GB"/>
        </w:rPr>
        <w:t xml:space="preserve">on </w:t>
      </w:r>
      <w:r w:rsidR="00BB3A81" w:rsidRPr="00D07339">
        <w:rPr>
          <w:rFonts w:ascii="Times New Roman" w:eastAsia="Arial" w:hAnsi="Times New Roman" w:cs="Times New Roman"/>
          <w:sz w:val="24"/>
          <w:szCs w:val="24"/>
          <w:lang w:val="en-GB"/>
        </w:rPr>
        <w:t>intake</w:t>
      </w:r>
      <w:r w:rsidR="004B6D74" w:rsidRPr="00D07339">
        <w:rPr>
          <w:rFonts w:ascii="Times New Roman" w:eastAsia="Arial" w:hAnsi="Times New Roman" w:cs="Times New Roman"/>
          <w:sz w:val="24"/>
          <w:szCs w:val="24"/>
          <w:lang w:val="en-GB"/>
        </w:rPr>
        <w:t>s</w:t>
      </w:r>
      <w:r w:rsidR="00BB3A81" w:rsidRPr="00D07339">
        <w:rPr>
          <w:rFonts w:ascii="Times New Roman" w:eastAsia="Arial" w:hAnsi="Times New Roman" w:cs="Times New Roman"/>
          <w:sz w:val="24"/>
          <w:szCs w:val="24"/>
          <w:lang w:val="en-GB"/>
        </w:rPr>
        <w:t xml:space="preserve"> and losses and </w:t>
      </w:r>
      <w:r w:rsidR="004B6D74" w:rsidRPr="00D07339">
        <w:rPr>
          <w:rFonts w:ascii="Times New Roman" w:eastAsia="Arial" w:hAnsi="Times New Roman" w:cs="Times New Roman"/>
          <w:sz w:val="24"/>
          <w:szCs w:val="24"/>
          <w:lang w:val="en-GB"/>
        </w:rPr>
        <w:t>o</w:t>
      </w:r>
      <w:r w:rsidRPr="00D07339">
        <w:rPr>
          <w:rFonts w:ascii="Times New Roman" w:eastAsia="Arial" w:hAnsi="Times New Roman" w:cs="Times New Roman"/>
          <w:sz w:val="24"/>
          <w:szCs w:val="24"/>
          <w:lang w:val="en-GB"/>
        </w:rPr>
        <w:t>n</w:t>
      </w:r>
      <w:r w:rsidR="00BB3A81" w:rsidRPr="00D07339">
        <w:rPr>
          <w:rFonts w:ascii="Times New Roman" w:eastAsia="Arial" w:hAnsi="Times New Roman" w:cs="Times New Roman"/>
          <w:sz w:val="24"/>
          <w:szCs w:val="24"/>
          <w:lang w:val="en-GB"/>
        </w:rPr>
        <w:t xml:space="preserve"> various clinical conditions that may impact on nutrient redistribution (oxidative stress, acidosis, etc.). All these parameters need to be considered when prescribing IV-MFT. The kidney plays a major role in electrolyte </w:t>
      </w:r>
      <w:r w:rsidR="00AF214D" w:rsidRPr="00D07339">
        <w:rPr>
          <w:rFonts w:ascii="Times New Roman" w:eastAsia="Arial" w:hAnsi="Times New Roman" w:cs="Times New Roman"/>
          <w:sz w:val="24"/>
          <w:szCs w:val="24"/>
          <w:lang w:val="en-GB"/>
        </w:rPr>
        <w:t>balance;</w:t>
      </w:r>
      <w:r w:rsidR="00BB3A81" w:rsidRPr="00D07339">
        <w:rPr>
          <w:rFonts w:ascii="Times New Roman" w:eastAsia="Arial" w:hAnsi="Times New Roman" w:cs="Times New Roman"/>
          <w:sz w:val="24"/>
          <w:szCs w:val="24"/>
          <w:lang w:val="en-GB"/>
        </w:rPr>
        <w:t xml:space="preserve"> </w:t>
      </w:r>
      <w:proofErr w:type="gramStart"/>
      <w:r w:rsidR="00BB3A81" w:rsidRPr="00D07339">
        <w:rPr>
          <w:rFonts w:ascii="Times New Roman" w:eastAsia="Arial" w:hAnsi="Times New Roman" w:cs="Times New Roman"/>
          <w:sz w:val="24"/>
          <w:szCs w:val="24"/>
          <w:lang w:val="en-GB"/>
        </w:rPr>
        <w:t>thus</w:t>
      </w:r>
      <w:proofErr w:type="gramEnd"/>
      <w:r w:rsidR="00BB3A81"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t xml:space="preserve">caution must be exercised </w:t>
      </w:r>
      <w:r w:rsidR="00BB3A81" w:rsidRPr="00D07339">
        <w:rPr>
          <w:rFonts w:ascii="Times New Roman" w:eastAsia="Arial" w:hAnsi="Times New Roman" w:cs="Times New Roman"/>
          <w:sz w:val="24"/>
          <w:szCs w:val="24"/>
          <w:lang w:val="en-GB"/>
        </w:rPr>
        <w:t xml:space="preserve">in </w:t>
      </w:r>
      <w:r w:rsidRPr="00D07339">
        <w:rPr>
          <w:rFonts w:ascii="Times New Roman" w:eastAsia="Arial" w:hAnsi="Times New Roman" w:cs="Times New Roman"/>
          <w:sz w:val="24"/>
          <w:szCs w:val="24"/>
          <w:lang w:val="en-GB"/>
        </w:rPr>
        <w:t xml:space="preserve">the </w:t>
      </w:r>
      <w:r w:rsidR="00BB3A81" w:rsidRPr="00D07339">
        <w:rPr>
          <w:rFonts w:ascii="Times New Roman" w:eastAsia="Arial" w:hAnsi="Times New Roman" w:cs="Times New Roman"/>
          <w:sz w:val="24"/>
          <w:szCs w:val="24"/>
          <w:lang w:val="en-GB"/>
        </w:rPr>
        <w:t xml:space="preserve">case of renal </w:t>
      </w:r>
      <w:r w:rsidRPr="00D07339">
        <w:rPr>
          <w:rFonts w:ascii="Times New Roman" w:eastAsia="Arial" w:hAnsi="Times New Roman" w:cs="Times New Roman"/>
          <w:sz w:val="24"/>
          <w:szCs w:val="24"/>
          <w:lang w:val="en-GB"/>
        </w:rPr>
        <w:t>impairment</w:t>
      </w:r>
      <w:r w:rsidR="00BB3A81" w:rsidRPr="00D07339">
        <w:rPr>
          <w:rFonts w:ascii="Times New Roman" w:eastAsia="Arial" w:hAnsi="Times New Roman" w:cs="Times New Roman"/>
          <w:sz w:val="24"/>
          <w:szCs w:val="24"/>
          <w:lang w:val="en-GB"/>
        </w:rPr>
        <w:t xml:space="preserve">. All these nutrients play key metabolic </w:t>
      </w:r>
      <w:r w:rsidRPr="00D07339">
        <w:rPr>
          <w:rFonts w:ascii="Times New Roman" w:eastAsia="Arial" w:hAnsi="Times New Roman" w:cs="Times New Roman"/>
          <w:sz w:val="24"/>
          <w:szCs w:val="24"/>
          <w:lang w:val="en-GB"/>
        </w:rPr>
        <w:t>roles,</w:t>
      </w:r>
      <w:r w:rsidR="00BB3A81" w:rsidRPr="00D07339">
        <w:rPr>
          <w:rFonts w:ascii="Times New Roman" w:eastAsia="Arial" w:hAnsi="Times New Roman" w:cs="Times New Roman"/>
          <w:sz w:val="24"/>
          <w:szCs w:val="24"/>
          <w:lang w:val="en-GB"/>
        </w:rPr>
        <w:t xml:space="preserve"> and </w:t>
      </w:r>
      <w:r w:rsidRPr="00D07339">
        <w:rPr>
          <w:rFonts w:ascii="Times New Roman" w:eastAsia="Arial" w:hAnsi="Times New Roman" w:cs="Times New Roman"/>
          <w:sz w:val="24"/>
          <w:szCs w:val="24"/>
          <w:lang w:val="en-GB"/>
        </w:rPr>
        <w:t>an</w:t>
      </w:r>
      <w:r w:rsidR="00BB3A81" w:rsidRPr="00D07339">
        <w:rPr>
          <w:rFonts w:ascii="Times New Roman" w:eastAsia="Arial" w:hAnsi="Times New Roman" w:cs="Times New Roman"/>
          <w:sz w:val="24"/>
          <w:szCs w:val="24"/>
          <w:lang w:val="en-GB"/>
        </w:rPr>
        <w:t xml:space="preserve"> imbalance may lead to severe (or even life-threatening) consequences.</w:t>
      </w:r>
    </w:p>
    <w:p w14:paraId="078C8AA4" w14:textId="314CD326" w:rsidR="000D4BB6" w:rsidRPr="00D07339" w:rsidRDefault="00822247"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Certain</w:t>
      </w:r>
      <w:r w:rsidR="00BB3A81" w:rsidRPr="00D07339">
        <w:rPr>
          <w:rFonts w:ascii="Times New Roman" w:eastAsia="Arial" w:hAnsi="Times New Roman" w:cs="Times New Roman"/>
          <w:sz w:val="24"/>
          <w:szCs w:val="24"/>
          <w:lang w:val="en-GB"/>
        </w:rPr>
        <w:t xml:space="preserve"> clinical conditions may further increase the risk of </w:t>
      </w:r>
      <w:r w:rsidRPr="00D07339">
        <w:rPr>
          <w:rFonts w:ascii="Times New Roman" w:eastAsia="Arial" w:hAnsi="Times New Roman" w:cs="Times New Roman"/>
          <w:sz w:val="24"/>
          <w:szCs w:val="24"/>
          <w:lang w:val="en-GB"/>
        </w:rPr>
        <w:t xml:space="preserve">developing a </w:t>
      </w:r>
      <w:r w:rsidR="00BB3A81" w:rsidRPr="00D07339">
        <w:rPr>
          <w:rFonts w:ascii="Times New Roman" w:eastAsia="Arial" w:hAnsi="Times New Roman" w:cs="Times New Roman"/>
          <w:sz w:val="24"/>
          <w:szCs w:val="24"/>
          <w:lang w:val="en-GB"/>
        </w:rPr>
        <w:t xml:space="preserve">severe imbalance of these nutrients such as refeeding syndrome, thermal injuries, cardiac, </w:t>
      </w:r>
      <w:r w:rsidR="00650A88" w:rsidRPr="00D07339">
        <w:rPr>
          <w:rFonts w:ascii="Times New Roman" w:eastAsia="Arial" w:hAnsi="Times New Roman" w:cs="Times New Roman"/>
          <w:sz w:val="24"/>
          <w:szCs w:val="24"/>
          <w:lang w:val="en-GB"/>
        </w:rPr>
        <w:t>renal,</w:t>
      </w:r>
      <w:r w:rsidR="00BB3A81" w:rsidRPr="00D07339">
        <w:rPr>
          <w:rFonts w:ascii="Times New Roman" w:eastAsia="Arial" w:hAnsi="Times New Roman" w:cs="Times New Roman"/>
          <w:sz w:val="24"/>
          <w:szCs w:val="24"/>
          <w:lang w:val="en-GB"/>
        </w:rPr>
        <w:t xml:space="preserve"> and liver disease </w:t>
      </w:r>
      <w:r w:rsidR="00650A88"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{"citationID":"6FA1XJ1l","properties":{"formattedCitation":"[19]","plainCitation":"[19]","noteIndex":0},"citationItems":[{"id":36059,"uris":["http://zotero.org/users/874466/items/2IZBCEM8"],"itemData":{"id":36059,"type":"article-journal","abstract":"Refeeding syndrome and other related issues in the paediatric intensive care unit","container-title":"Pediatric Medicine","DOI":"10.21037/pm-20-59","ISSN":"2617-5428","issue":"0","language":"en","note":"number: 0\npublisher: AME Publishing Company","source":"pm.amegroups.com","title":"Refeeding syndrome and other related issues in the paediatric intensive care unit","URL":"https://pm.amegroups.com/article/view/5618","volume":"3","author":[{"family":"Marino","given":"Luise V."},{"family":"Chaparro","given":"Corinne Jotterand"},{"family":"Moullet","given":"Clémence"}],"accessed":{"date-parts":[["2022",4,9]]},"issued":{"date-parts":[["2020",8,31]]}}}],"schema":"https://github.com/citation-style-language/schema/raw/master/csl-citation.json"} </w:instrText>
      </w:r>
      <w:r w:rsidR="00650A88"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[19]</w:t>
      </w:r>
      <w:r w:rsidR="00650A88"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During the acute phase of illness, maintaining fluid and electrolyte homeostasis requires an understanding of </w:t>
      </w:r>
      <w:r w:rsidR="00CF5C77" w:rsidRPr="00D07339">
        <w:rPr>
          <w:rFonts w:ascii="Times New Roman" w:eastAsia="Arial" w:hAnsi="Times New Roman" w:cs="Times New Roman"/>
          <w:sz w:val="24"/>
          <w:szCs w:val="24"/>
          <w:lang w:val="en-GB"/>
        </w:rPr>
        <w:t xml:space="preserve">the </w:t>
      </w:r>
      <w:r w:rsidR="00BB3A81" w:rsidRPr="00D07339">
        <w:rPr>
          <w:rFonts w:ascii="Times New Roman" w:eastAsia="Arial" w:hAnsi="Times New Roman" w:cs="Times New Roman"/>
          <w:sz w:val="24"/>
          <w:szCs w:val="24"/>
          <w:lang w:val="en-GB"/>
        </w:rPr>
        <w:t xml:space="preserve">signs, </w:t>
      </w:r>
      <w:r w:rsidR="00650A88" w:rsidRPr="00D07339">
        <w:rPr>
          <w:rFonts w:ascii="Times New Roman" w:eastAsia="Arial" w:hAnsi="Times New Roman" w:cs="Times New Roman"/>
          <w:sz w:val="24"/>
          <w:szCs w:val="24"/>
          <w:lang w:val="en-GB"/>
        </w:rPr>
        <w:t>symptoms,</w:t>
      </w:r>
      <w:r w:rsidR="00BB3A81" w:rsidRPr="00D07339">
        <w:rPr>
          <w:rFonts w:ascii="Times New Roman" w:eastAsia="Arial" w:hAnsi="Times New Roman" w:cs="Times New Roman"/>
          <w:sz w:val="24"/>
          <w:szCs w:val="24"/>
          <w:lang w:val="en-GB"/>
        </w:rPr>
        <w:t xml:space="preserve"> and appropriate treatment modalities. </w:t>
      </w:r>
    </w:p>
    <w:p w14:paraId="078C8AA6" w14:textId="58BC838A"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Parenteral nutrition </w:t>
      </w:r>
      <w:r w:rsidR="00A379F6" w:rsidRPr="00D07339">
        <w:rPr>
          <w:rFonts w:ascii="Times New Roman" w:eastAsia="Arial" w:hAnsi="Times New Roman" w:cs="Times New Roman"/>
          <w:sz w:val="24"/>
          <w:szCs w:val="24"/>
          <w:lang w:val="en-GB"/>
        </w:rPr>
        <w:t>may be</w:t>
      </w:r>
      <w:r w:rsidRPr="00D07339">
        <w:rPr>
          <w:rFonts w:ascii="Times New Roman" w:eastAsia="Arial" w:hAnsi="Times New Roman" w:cs="Times New Roman"/>
          <w:sz w:val="24"/>
          <w:szCs w:val="24"/>
          <w:lang w:val="en-GB"/>
        </w:rPr>
        <w:t xml:space="preserve"> considered when enteral intake do</w:t>
      </w:r>
      <w:r w:rsidR="00A379F6" w:rsidRPr="00D07339">
        <w:rPr>
          <w:rFonts w:ascii="Times New Roman" w:eastAsia="Arial" w:hAnsi="Times New Roman" w:cs="Times New Roman"/>
          <w:sz w:val="24"/>
          <w:szCs w:val="24"/>
          <w:lang w:val="en-GB"/>
        </w:rPr>
        <w:t>es</w:t>
      </w:r>
      <w:r w:rsidRPr="00D07339">
        <w:rPr>
          <w:rFonts w:ascii="Times New Roman" w:eastAsia="Arial" w:hAnsi="Times New Roman" w:cs="Times New Roman"/>
          <w:sz w:val="24"/>
          <w:szCs w:val="24"/>
          <w:lang w:val="en-GB"/>
        </w:rPr>
        <w:t xml:space="preserve"> not cover the </w:t>
      </w:r>
      <w:r w:rsidR="00A379F6" w:rsidRPr="00D07339">
        <w:rPr>
          <w:rFonts w:ascii="Times New Roman" w:eastAsia="Arial" w:hAnsi="Times New Roman" w:cs="Times New Roman"/>
          <w:sz w:val="24"/>
          <w:szCs w:val="24"/>
          <w:lang w:val="en-GB"/>
        </w:rPr>
        <w:t>child’s</w:t>
      </w:r>
      <w:r w:rsidRPr="00D07339">
        <w:rPr>
          <w:rFonts w:ascii="Times New Roman" w:eastAsia="Arial" w:hAnsi="Times New Roman" w:cs="Times New Roman"/>
          <w:sz w:val="24"/>
          <w:szCs w:val="24"/>
          <w:lang w:val="en-GB"/>
        </w:rPr>
        <w:t xml:space="preserve"> need for several days </w:t>
      </w:r>
      <w:r w:rsidR="002C07AD" w:rsidRPr="00D07339">
        <w:rPr>
          <w:rFonts w:ascii="Times New Roman" w:eastAsia="Arial" w:hAnsi="Times New Roman" w:cs="Times New Roman"/>
          <w:sz w:val="24"/>
          <w:szCs w:val="24"/>
          <w:lang w:val="en-GB"/>
        </w:rPr>
        <w:fldChar w:fldCharType="begin"/>
      </w:r>
      <w:r w:rsidR="00391426" w:rsidRPr="00D07339">
        <w:rPr>
          <w:rFonts w:ascii="Times New Roman" w:eastAsia="Arial" w:hAnsi="Times New Roman" w:cs="Times New Roman"/>
          <w:sz w:val="24"/>
          <w:szCs w:val="24"/>
          <w:lang w:val="en-GB"/>
        </w:rPr>
        <w:instrText xml:space="preserve"> ADDIN ZOTERO_ITEM CSL_CITATION {"citationID":"YItKi6Wy","properties":{"formattedCitation":"[6]","plainCitation":"[6]","noteIndex":0},"citationItems":[{"id":9416,"uris":["http://zotero.org/users/874466/items/P8DSM2DN"],"itemData":{"id":9416,"type":"article-journal","abstract":"Nutritional support is considered essential for the outcome of paediatric critical illness. There is a lack of methodologically sound trials to provide evidence-based guidelines leading to diverse practices in PICUs worldwide. Acknowledging these limitations, we aimed to summarize the available literature and provide practical guidance for the paediatric critical care clinicians around important clinical questions many of which are not covered by previous guidelines.","container-title":"Intensive Care Medicine","DOI":"10.1007/s00134-019-05922-5","ISSN":"1432-1238","issue":"46","journalAbbreviation":"Intensive Care Med","language":"en","page":"411-425","source":"Springer Link","title":"Nutritional support for children during critical illness: European Society of Pediatric and Neonatal Intensive Care (ESPNIC) metabolism, endocrine and nutrition section position statement and clinical recommendations","title-short":"Nutritional support for children during critical illness","volume":"46","author":[{"family":"Tume","given":"Lyvonne N."},{"family":"Valla","given":"Frederic V."},{"family":"Joosten","given":"Koen"},{"family":"Chaparro","given":"Corinne Jotterand"},{"family":"Latten","given":"Lynne"},{"family":"Marino","given":"Luise V."},{"family":"Macleod","given":"Isobel"},{"family":"Moullet","given":"Clémence"},{"family":"Pathan","given":"Nazima"},{"family":"Rooze","given":"Shancy"},{"family":"Rosmalen","given":"Joost","non-dropping-particle":"van"},{"family":"Verbruggen","given":"Sascha C. A. T."}],"issued":{"date-parts":[["2020",2,20]]}}}],"schema":"https://github.com/citation-style-language/schema/raw/master/csl-citation.json"} </w:instrText>
      </w:r>
      <w:r w:rsidR="002C07AD" w:rsidRPr="00D07339">
        <w:rPr>
          <w:rFonts w:ascii="Times New Roman" w:eastAsia="Arial" w:hAnsi="Times New Roman" w:cs="Times New Roman"/>
          <w:sz w:val="24"/>
          <w:szCs w:val="24"/>
          <w:lang w:val="en-GB"/>
        </w:rPr>
        <w:fldChar w:fldCharType="separate"/>
      </w:r>
      <w:r w:rsidR="00391426" w:rsidRPr="00D07339">
        <w:rPr>
          <w:rFonts w:ascii="Times New Roman" w:hAnsi="Times New Roman" w:cs="Times New Roman"/>
          <w:sz w:val="24"/>
          <w:szCs w:val="24"/>
        </w:rPr>
        <w:t>[6]</w:t>
      </w:r>
      <w:r w:rsidR="002C07AD"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w:t>
      </w:r>
      <w:r w:rsidR="00A379F6" w:rsidRPr="00D07339">
        <w:rPr>
          <w:rFonts w:ascii="Times New Roman" w:eastAsia="Arial" w:hAnsi="Times New Roman" w:cs="Times New Roman"/>
          <w:sz w:val="24"/>
          <w:szCs w:val="24"/>
          <w:lang w:val="en-GB"/>
        </w:rPr>
        <w:t>The p</w:t>
      </w:r>
      <w:r w:rsidRPr="00D07339">
        <w:rPr>
          <w:rFonts w:ascii="Times New Roman" w:eastAsia="Arial" w:hAnsi="Times New Roman" w:cs="Times New Roman"/>
          <w:sz w:val="24"/>
          <w:szCs w:val="24"/>
          <w:lang w:val="en-GB"/>
        </w:rPr>
        <w:t>rovision of all electrolytes and micronutrients is mandatory in parenteral nutrition as it implies medium- to long-term intravenous nutrient supply to prevent nutrient deficienc</w:t>
      </w:r>
      <w:r w:rsidR="0085134C" w:rsidRPr="00D07339">
        <w:rPr>
          <w:rFonts w:ascii="Times New Roman" w:eastAsia="Arial" w:hAnsi="Times New Roman" w:cs="Times New Roman"/>
          <w:sz w:val="24"/>
          <w:szCs w:val="24"/>
          <w:lang w:val="en-GB"/>
        </w:rPr>
        <w:t xml:space="preserve">ies </w:t>
      </w:r>
      <w:r w:rsidR="002C07AD"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{"citationID":"Y1el7cVk","properties":{"formattedCitation":"[20]","plainCitation":"[20]","noteIndex":0},"citationItems":[{"id":36061,"uris":["http://zotero.org/users/874466/items/SN8KL6BD"],"itemData":{"id":36061,"type":"article-journal","container-title":"Clinical Nutrition (Edinburgh, Scotland)","DOI":"10.1016/j.clnu.2018.05.029","ISSN":"1532-1983","issue":"6 Pt B","journalAbbreviation":"Clin Nutr","language":"eng","note":"PMID: 30471662","page":"2303-2305","source":"PubMed","title":"ESPGHAN/ESPEN/ESPR/CSPEN guidelines on pediatric parenteral nutrition","volume":"37","author":[{"family":"Mihatsch","given":"Walter A."},{"family":"Braegger","given":"Christian"},{"family":"Bronsky","given":"Jiri"},{"family":"Cai","given":"Wei"},{"family":"Campoy","given":"Cristina"},{"family":"Carnielli","given":"Virgilio"},{"family":"Darmaun","given":"Dominique"},{"family":"Desci","given":"Tamas"},{"family":"Domellöf","given":"Magnus"},{"family":"Embleton","given":"Nicholas"},{"family":"Fewtrell","given":"Mary"},{"family":"Mis","given":"Natasa Fidler"},{"family":"Franz","given":"Axel"},{"family":"Goulet","given":"Olivier"},{"family":"Hartman","given":"Corina"},{"family":"Susan","given":"Hill"},{"family":"Hojsak","given":"Iva"},{"family":"Iacobelli","given":"Silvia"},{"family":"Jochum","given":"Frank"},{"family":"Joosten","given":"Koen"},{"family":"Kolacek","given":"Sanja"},{"family":"Koletzko","given":"Berthold"},{"family":"Ksiazyk","given":"Janusz"},{"family":"Lapillonne","given":"Alexandre"},{"family":"Lohner","given":"Szimonetta"},{"family":"Mesotten","given":"Dieter"},{"family":"Mihalyi","given":"Krisztina"},{"family":"Mimouni","given":"Francis"},{"family":"Mølgaard","given":"Christian"},{"family":"Moltu","given":"Sissel J."},{"family":"Nomayo","given":"Antonia"},{"family":"Picaud","given":"Jean Charles"},{"family":"Prell","given":"Christine"},{"family":"Puntis","given":"John"},{"family":"Riskin","given":"Arieh"},{"family":"Pipaon","given":"Miguel Saenz","non-dropping-particle":"de"},{"family":"Senterre","given":"Thibault"},{"family":"Shamir","given":"Ranaan"},{"family":"Simchowitz","given":"Venetia"},{"family":"Szitanyi","given":"Peter"},{"family":"Tabbers","given":"Merit M."},{"family":"Akker","given":"Chris H. B.","non-dropping-particle":"van den"},{"family":"Goudoever","given":"Johannes B.","non-dropping-particle":"van"},{"family":"Kempen","given":"Anne","non-dropping-particle":"van"},{"family":"Verbruggen","given":"Sascha"},{"family":"Wu","given":"Jiang"},{"family":"Yan","given":"Weihui"}],"issued":{"date-parts":[["2018",12]]}}}],"schema":"https://github.com/citation-style-language/schema/raw/master/csl-citation.json"} </w:instrText>
      </w:r>
      <w:r w:rsidR="002C07AD"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[20]</w:t>
      </w:r>
      <w:r w:rsidR="002C07AD"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IV-MFT is prescribed for short term supplementation </w:t>
      </w:r>
      <w:r w:rsidR="00977234" w:rsidRPr="00D07339">
        <w:rPr>
          <w:rFonts w:ascii="Times New Roman" w:eastAsia="Arial" w:hAnsi="Times New Roman" w:cs="Times New Roman"/>
          <w:sz w:val="24"/>
          <w:szCs w:val="24"/>
          <w:lang w:val="en-GB"/>
        </w:rPr>
        <w:t>in general</w:t>
      </w:r>
      <w:r w:rsidRPr="00D07339">
        <w:rPr>
          <w:rFonts w:ascii="Times New Roman" w:eastAsia="Arial" w:hAnsi="Times New Roman" w:cs="Times New Roman"/>
          <w:sz w:val="24"/>
          <w:szCs w:val="24"/>
          <w:lang w:val="en-GB"/>
        </w:rPr>
        <w:t xml:space="preserve">. If enteral nutrition still cannot </w:t>
      </w:r>
      <w:r w:rsidR="004471FA" w:rsidRPr="00D07339">
        <w:rPr>
          <w:rFonts w:ascii="Times New Roman" w:eastAsia="Arial" w:hAnsi="Times New Roman" w:cs="Times New Roman"/>
          <w:sz w:val="24"/>
          <w:szCs w:val="24"/>
          <w:lang w:val="en-GB"/>
        </w:rPr>
        <w:t>fulfil</w:t>
      </w:r>
      <w:r w:rsidRPr="00D07339">
        <w:rPr>
          <w:rFonts w:ascii="Times New Roman" w:eastAsia="Arial" w:hAnsi="Times New Roman" w:cs="Times New Roman"/>
          <w:sz w:val="24"/>
          <w:szCs w:val="24"/>
          <w:lang w:val="en-GB"/>
        </w:rPr>
        <w:t xml:space="preserve"> nutrient requirements after a few days of IV-MFT, parenteral nutrition </w:t>
      </w:r>
      <w:r w:rsidR="00313EC9" w:rsidRPr="00D07339">
        <w:rPr>
          <w:rFonts w:ascii="Times New Roman" w:eastAsia="Arial" w:hAnsi="Times New Roman" w:cs="Times New Roman"/>
          <w:sz w:val="24"/>
          <w:szCs w:val="24"/>
          <w:lang w:val="en-GB"/>
        </w:rPr>
        <w:t>may be</w:t>
      </w:r>
      <w:r w:rsidRPr="00D07339">
        <w:rPr>
          <w:rFonts w:ascii="Times New Roman" w:eastAsia="Arial" w:hAnsi="Times New Roman" w:cs="Times New Roman"/>
          <w:sz w:val="24"/>
          <w:szCs w:val="24"/>
          <w:lang w:val="en-GB"/>
        </w:rPr>
        <w:t xml:space="preserve"> considered. </w:t>
      </w:r>
      <w:r w:rsidR="00977234" w:rsidRPr="00D07339">
        <w:rPr>
          <w:rFonts w:ascii="Times New Roman" w:eastAsia="Arial" w:hAnsi="Times New Roman" w:cs="Times New Roman"/>
          <w:sz w:val="24"/>
          <w:szCs w:val="24"/>
          <w:lang w:val="en-GB"/>
        </w:rPr>
        <w:t>Consequently</w:t>
      </w:r>
      <w:r w:rsidRPr="00D07339">
        <w:rPr>
          <w:rFonts w:ascii="Times New Roman" w:eastAsia="Arial" w:hAnsi="Times New Roman" w:cs="Times New Roman"/>
          <w:sz w:val="24"/>
          <w:szCs w:val="24"/>
          <w:lang w:val="en-GB"/>
        </w:rPr>
        <w:t xml:space="preserve">, the need to systematically supplement IV-MFT with K, P, Mg, Ca, and micronutrients is questionable as deficits </w:t>
      </w:r>
      <w:r w:rsidR="009D21DB" w:rsidRPr="00D07339">
        <w:rPr>
          <w:rFonts w:ascii="Times New Roman" w:eastAsia="Arial" w:hAnsi="Times New Roman" w:cs="Times New Roman"/>
          <w:sz w:val="24"/>
          <w:szCs w:val="24"/>
          <w:lang w:val="en-GB"/>
        </w:rPr>
        <w:t xml:space="preserve">are unlikely to </w:t>
      </w:r>
      <w:r w:rsidRPr="00D07339">
        <w:rPr>
          <w:rFonts w:ascii="Times New Roman" w:eastAsia="Arial" w:hAnsi="Times New Roman" w:cs="Times New Roman"/>
          <w:sz w:val="24"/>
          <w:szCs w:val="24"/>
          <w:lang w:val="en-GB"/>
        </w:rPr>
        <w:t>occur in a few hours or days.</w:t>
      </w:r>
      <w:r w:rsidR="009D21DB"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t xml:space="preserve">The treatment of electrolyte and micronutrient deficiencies related to specific conditions </w:t>
      </w:r>
      <w:r w:rsidR="009D21DB" w:rsidRPr="00D07339">
        <w:rPr>
          <w:rFonts w:ascii="Times New Roman" w:eastAsia="Arial" w:hAnsi="Times New Roman" w:cs="Times New Roman"/>
          <w:sz w:val="24"/>
          <w:szCs w:val="24"/>
          <w:lang w:val="en-GB"/>
        </w:rPr>
        <w:t xml:space="preserve">is </w:t>
      </w:r>
      <w:r w:rsidRPr="00D07339">
        <w:rPr>
          <w:rFonts w:ascii="Times New Roman" w:eastAsia="Arial" w:hAnsi="Times New Roman" w:cs="Times New Roman"/>
          <w:sz w:val="24"/>
          <w:szCs w:val="24"/>
          <w:lang w:val="en-GB"/>
        </w:rPr>
        <w:t>outside the scope of this question.</w:t>
      </w:r>
    </w:p>
    <w:p w14:paraId="078C8AA8" w14:textId="5627E5F5" w:rsidR="000D4BB6" w:rsidRPr="00D07339" w:rsidRDefault="00BB3A81" w:rsidP="00B70F75">
      <w:pPr>
        <w:pStyle w:val="Titre1"/>
      </w:pPr>
      <w:r w:rsidRPr="00D07339">
        <w:t xml:space="preserve">IV-MFT survey </w:t>
      </w:r>
      <w:r w:rsidR="009D21DB" w:rsidRPr="00D07339">
        <w:t>of current practice</w:t>
      </w:r>
    </w:p>
    <w:p w14:paraId="078C8AAA" w14:textId="62E7523D"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In a recent </w:t>
      </w:r>
      <w:r w:rsidR="002D7EDE" w:rsidRPr="00D07339">
        <w:rPr>
          <w:rFonts w:ascii="Times New Roman" w:eastAsia="Arial" w:hAnsi="Times New Roman" w:cs="Times New Roman"/>
          <w:sz w:val="24"/>
          <w:szCs w:val="24"/>
          <w:lang w:val="en-GB"/>
        </w:rPr>
        <w:t xml:space="preserve">international </w:t>
      </w:r>
      <w:r w:rsidRPr="00D07339">
        <w:rPr>
          <w:rFonts w:ascii="Times New Roman" w:eastAsia="Arial" w:hAnsi="Times New Roman" w:cs="Times New Roman"/>
          <w:sz w:val="24"/>
          <w:szCs w:val="24"/>
          <w:lang w:val="en-GB"/>
        </w:rPr>
        <w:t>survey on IV-MFT practices in acute and critically ill children</w:t>
      </w:r>
      <w:r w:rsidR="002D7EDE" w:rsidRPr="00D07339">
        <w:rPr>
          <w:rFonts w:ascii="Times New Roman" w:eastAsia="Arial" w:hAnsi="Times New Roman" w:cs="Times New Roman"/>
          <w:sz w:val="24"/>
          <w:szCs w:val="24"/>
          <w:lang w:val="en-GB"/>
        </w:rPr>
        <w:t xml:space="preserve"> </w:t>
      </w:r>
      <w:r w:rsidR="002D7EDE" w:rsidRPr="00D07339">
        <w:rPr>
          <w:rFonts w:ascii="Times New Roman" w:eastAsia="Arial" w:hAnsi="Times New Roman" w:cs="Times New Roman"/>
          <w:sz w:val="24"/>
          <w:szCs w:val="24"/>
          <w:lang w:val="en-GB"/>
        </w:rPr>
        <w:fldChar w:fldCharType="begin"/>
      </w:r>
      <w:r w:rsidR="002D7EDE" w:rsidRPr="00D07339">
        <w:rPr>
          <w:rFonts w:ascii="Times New Roman" w:eastAsia="Arial" w:hAnsi="Times New Roman" w:cs="Times New Roman"/>
          <w:sz w:val="24"/>
          <w:szCs w:val="24"/>
          <w:lang w:val="en-GB"/>
        </w:rPr>
        <w:instrText xml:space="preserve"> ADDIN ZOTERO_ITEM CSL_CITATION {"citationID":"Lj0o9oI3","properties":{"formattedCitation":"[11]","plainCitation":"[11]","noteIndex":0},"citationItems":[{"id":36253,"uris":["http://zotero.org/users/874466/items/B5PBBPKB"],"itemData":{"id":36253,"type":"article-journal","abstract":"The ideal fluid for intravenous maintenance fluid therapy (IV-MFT) in acutely and critically ill children is controversial, and evidence-based clinical practice guidelines are lacking and current prescribing practices remain unknown. We aimed to describe the current practices in prescribing IV-MFT in the context of acute and critically ill children with regard to the amount, tonicity, composition, use of balanced fluids, and prescribing strategies in various clinical contexts. A cross-sectional electronic 27-item survey was emailed in April-May 2021 to pediatric critical care physicians across European and Middle East countries. The survey instrument was developed by an expert multi-professional panel within the European Society of Pediatric and Neonatal Intensive Care (ESPNIC). A total of 154 respondents from 35 European and Middle East countries participated (response rate 64%). Respondents were physicians in charge of acute or critically ill children. All respondents indicated they routinely use a predefined formula to prescribe the amount of IV-MFT and considered fluid balance monitoring very important in the management of acute and critically ill children. The use of balanced solution was preferred if there were altered serum sodium and chloride levels or metabolic acidosis. Just under half (42%, 65/153) of respondents believed balanced solutions should always be used. Respondents considered the use of isotonic IV solutions as important for acute and critically ill children. In terms of the indication and the composition of IV-MFT prescribed, responses were heterogeneous among centers. Almost 70% (107/154) respondents believed there was a gap between current practice and what they considered ideal IV-MFT due to a lack of guidelines and inadequate training of healthcare professionals.   Conclusions: Our study showed considerable variability in clinical prescribing practice of IV-MFT in acute pediatric settings across Europe and the Middle East. There is an urgent need to develop evidence-based guidelines for IV-MFT prescription in acute and critically ill children. What is Known: • The administration of maintenance intravenous fluid therapy is a standard of care for a lot of hospitalized children • Maintenance intravenous fluid therapy prescriptions are often based on Holliday and Segar's historical guidelines even if this practice has been associated with several complications. What is New: • This study provided information on the prescribing practice regarding fluid restriction, fluid tonicity, and balance. • This study showed considerable variability in clinical prescribing practice of intravenous maintenance fluid therapy across Europe and the Middle East.","container-title":"European Journal of Pediatrics","DOI":"10.1007/s00431-022-04467-y","ISSN":"1432-1076","journalAbbreviation":"Eur J Pediatr","language":"eng","note":"PMID: 35503578","source":"PubMed","title":"Intravenous maintenance fluid therapy practice in the pediatric acute and critical care settings: a European and Middle Eastern survey","title-short":"Intravenous maintenance fluid therapy practice in the pediatric acute and critical care settings","author":[{"family":"Morice","given":"Claire"},{"family":"Alsohime","given":"Fahad"},{"family":"Mayberry","given":"Huw"},{"family":"Tume","given":"Lyvonne N."},{"family":"Brossier","given":"David"},{"family":"Valla","given":"Frederic V."},{"literal":"ESPNICIVMFT group"}],"issued":{"date-parts":[["2022",5,3]]}}}],"schema":"https://github.com/citation-style-language/schema/raw/master/csl-citation.json"} </w:instrText>
      </w:r>
      <w:r w:rsidR="002D7EDE" w:rsidRPr="00D07339">
        <w:rPr>
          <w:rFonts w:ascii="Times New Roman" w:eastAsia="Arial" w:hAnsi="Times New Roman" w:cs="Times New Roman"/>
          <w:sz w:val="24"/>
          <w:szCs w:val="24"/>
          <w:lang w:val="en-GB"/>
        </w:rPr>
        <w:fldChar w:fldCharType="separate"/>
      </w:r>
      <w:r w:rsidR="002D7EDE" w:rsidRPr="00D07339">
        <w:rPr>
          <w:rFonts w:ascii="Times New Roman" w:hAnsi="Times New Roman" w:cs="Times New Roman"/>
          <w:sz w:val="24"/>
        </w:rPr>
        <w:t>[11]</w:t>
      </w:r>
      <w:r w:rsidR="002D7EDE" w:rsidRPr="00D07339">
        <w:rPr>
          <w:rFonts w:ascii="Times New Roman" w:eastAsia="Arial" w:hAnsi="Times New Roman" w:cs="Times New Roman"/>
          <w:sz w:val="24"/>
          <w:szCs w:val="24"/>
          <w:lang w:val="en-GB"/>
        </w:rPr>
        <w:fldChar w:fldCharType="end"/>
      </w:r>
      <w:r w:rsidRPr="00D07339">
        <w:rPr>
          <w:rFonts w:ascii="Times New Roman" w:eastAsia="Arial" w:hAnsi="Times New Roman" w:cs="Times New Roman"/>
          <w:sz w:val="24"/>
          <w:szCs w:val="24"/>
          <w:lang w:val="en-GB"/>
        </w:rPr>
        <w:t xml:space="preserve"> electrolyte provision practice showed a </w:t>
      </w:r>
      <w:r w:rsidR="00D14B0A" w:rsidRPr="00D07339">
        <w:rPr>
          <w:rFonts w:ascii="Times New Roman" w:eastAsia="Arial" w:hAnsi="Times New Roman" w:cs="Times New Roman"/>
          <w:sz w:val="24"/>
          <w:szCs w:val="24"/>
          <w:lang w:val="en-GB"/>
        </w:rPr>
        <w:t xml:space="preserve">large variability </w:t>
      </w:r>
      <w:r w:rsidRPr="00D07339">
        <w:rPr>
          <w:rFonts w:ascii="Times New Roman" w:eastAsia="Arial" w:hAnsi="Times New Roman" w:cs="Times New Roman"/>
          <w:sz w:val="24"/>
          <w:szCs w:val="24"/>
          <w:lang w:val="en-GB"/>
        </w:rPr>
        <w:t xml:space="preserve">which may be due to the absence of recommendations to guide clinical practice. </w:t>
      </w:r>
      <w:r w:rsidR="0083344D" w:rsidRPr="00D07339">
        <w:rPr>
          <w:rFonts w:ascii="Times New Roman" w:eastAsia="Arial" w:hAnsi="Times New Roman" w:cs="Times New Roman"/>
          <w:sz w:val="24"/>
          <w:szCs w:val="24"/>
          <w:lang w:val="en-GB"/>
        </w:rPr>
        <w:t>Respondents stating p</w:t>
      </w:r>
      <w:r w:rsidRPr="00D07339">
        <w:rPr>
          <w:rFonts w:ascii="Times New Roman" w:eastAsia="Arial" w:hAnsi="Times New Roman" w:cs="Times New Roman"/>
          <w:sz w:val="24"/>
          <w:szCs w:val="24"/>
          <w:lang w:val="en-GB"/>
        </w:rPr>
        <w:t>otassium was frequently (but not systematically) prescribed in IV-</w:t>
      </w:r>
      <w:proofErr w:type="gramStart"/>
      <w:r w:rsidRPr="00D07339">
        <w:rPr>
          <w:rFonts w:ascii="Times New Roman" w:eastAsia="Arial" w:hAnsi="Times New Roman" w:cs="Times New Roman"/>
          <w:sz w:val="24"/>
          <w:szCs w:val="24"/>
          <w:lang w:val="en-GB"/>
        </w:rPr>
        <w:t>MFT;</w:t>
      </w:r>
      <w:proofErr w:type="gramEnd"/>
      <w:r w:rsidRPr="00D07339">
        <w:rPr>
          <w:rFonts w:ascii="Times New Roman" w:eastAsia="Arial" w:hAnsi="Times New Roman" w:cs="Times New Roman"/>
          <w:sz w:val="24"/>
          <w:szCs w:val="24"/>
          <w:lang w:val="en-GB"/>
        </w:rPr>
        <w:t xml:space="preserve"> </w:t>
      </w:r>
      <w:r w:rsidR="0083344D" w:rsidRPr="00D07339">
        <w:rPr>
          <w:rFonts w:ascii="Times New Roman" w:eastAsia="Arial" w:hAnsi="Times New Roman" w:cs="Times New Roman"/>
          <w:sz w:val="24"/>
          <w:szCs w:val="24"/>
          <w:lang w:val="en-GB"/>
        </w:rPr>
        <w:t xml:space="preserve">with calcium, </w:t>
      </w:r>
      <w:r w:rsidR="00505B36" w:rsidRPr="00D07339">
        <w:rPr>
          <w:rFonts w:ascii="Times New Roman" w:eastAsia="Arial" w:hAnsi="Times New Roman" w:cs="Times New Roman"/>
          <w:sz w:val="24"/>
          <w:szCs w:val="24"/>
          <w:lang w:val="en-GB"/>
        </w:rPr>
        <w:t>m</w:t>
      </w:r>
      <w:r w:rsidR="0083344D" w:rsidRPr="00D07339">
        <w:rPr>
          <w:rFonts w:ascii="Times New Roman" w:eastAsia="Arial" w:hAnsi="Times New Roman" w:cs="Times New Roman"/>
          <w:sz w:val="24"/>
          <w:szCs w:val="24"/>
          <w:lang w:val="en-GB"/>
        </w:rPr>
        <w:t>agnesium and phosphate</w:t>
      </w:r>
      <w:r w:rsidRPr="00D07339">
        <w:rPr>
          <w:rFonts w:ascii="Times New Roman" w:eastAsia="Arial" w:hAnsi="Times New Roman" w:cs="Times New Roman"/>
          <w:sz w:val="24"/>
          <w:szCs w:val="24"/>
          <w:lang w:val="en-GB"/>
        </w:rPr>
        <w:t xml:space="preserve"> less commonly prescribed</w:t>
      </w:r>
      <w:r w:rsidR="0083344D"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sz w:val="24"/>
          <w:szCs w:val="24"/>
          <w:lang w:val="en-GB"/>
        </w:rPr>
        <w:t xml:space="preserve"> </w:t>
      </w:r>
      <w:r w:rsidR="0083344D" w:rsidRPr="00D07339">
        <w:rPr>
          <w:rFonts w:ascii="Times New Roman" w:eastAsia="Arial" w:hAnsi="Times New Roman" w:cs="Times New Roman"/>
          <w:sz w:val="24"/>
          <w:szCs w:val="24"/>
          <w:lang w:val="en-GB"/>
        </w:rPr>
        <w:t>M</w:t>
      </w:r>
      <w:r w:rsidRPr="00D07339">
        <w:rPr>
          <w:rFonts w:ascii="Times New Roman" w:eastAsia="Arial" w:hAnsi="Times New Roman" w:cs="Times New Roman"/>
          <w:sz w:val="24"/>
          <w:szCs w:val="24"/>
          <w:lang w:val="en-GB"/>
        </w:rPr>
        <w:t xml:space="preserve">icronutrients </w:t>
      </w:r>
      <w:r w:rsidR="0083344D" w:rsidRPr="00D07339">
        <w:rPr>
          <w:rFonts w:ascii="Times New Roman" w:eastAsia="Arial" w:hAnsi="Times New Roman" w:cs="Times New Roman"/>
          <w:sz w:val="24"/>
          <w:szCs w:val="24"/>
          <w:lang w:val="en-GB"/>
        </w:rPr>
        <w:t xml:space="preserve">were perceived to be </w:t>
      </w:r>
      <w:r w:rsidRPr="00D07339">
        <w:rPr>
          <w:rFonts w:ascii="Times New Roman" w:eastAsia="Arial" w:hAnsi="Times New Roman" w:cs="Times New Roman"/>
          <w:sz w:val="24"/>
          <w:szCs w:val="24"/>
          <w:lang w:val="en-GB"/>
        </w:rPr>
        <w:t>rarely supplement</w:t>
      </w:r>
      <w:r w:rsidR="0083344D" w:rsidRPr="00D07339">
        <w:rPr>
          <w:rFonts w:ascii="Times New Roman" w:eastAsia="Arial" w:hAnsi="Times New Roman" w:cs="Times New Roman"/>
          <w:sz w:val="24"/>
          <w:szCs w:val="24"/>
          <w:lang w:val="en-GB"/>
        </w:rPr>
        <w:t>ed</w:t>
      </w:r>
      <w:r w:rsidRPr="00D07339">
        <w:rPr>
          <w:rFonts w:ascii="Times New Roman" w:eastAsia="Arial" w:hAnsi="Times New Roman" w:cs="Times New Roman"/>
          <w:sz w:val="24"/>
          <w:szCs w:val="24"/>
          <w:lang w:val="en-GB"/>
        </w:rPr>
        <w:t xml:space="preserve"> in IV-MFT. </w:t>
      </w:r>
    </w:p>
    <w:p w14:paraId="078C8AAB" w14:textId="77777777" w:rsidR="000D4BB6" w:rsidRPr="00D07339" w:rsidRDefault="00BB3A81" w:rsidP="00B70F75">
      <w:pPr>
        <w:pStyle w:val="Titre1"/>
      </w:pPr>
      <w:r w:rsidRPr="00D07339">
        <w:t xml:space="preserve">Adult IV-MFT recommendations </w:t>
      </w:r>
    </w:p>
    <w:p w14:paraId="72A35902" w14:textId="6E9ADD14" w:rsidR="00881E7D"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lastRenderedPageBreak/>
        <w:t xml:space="preserve">There is no evidence to support routine IV-MFT supplementation of electrolytes such as potassium, magnesium, </w:t>
      </w:r>
      <w:proofErr w:type="gramStart"/>
      <w:r w:rsidRPr="00D07339">
        <w:rPr>
          <w:rFonts w:ascii="Times New Roman" w:eastAsia="Arial" w:hAnsi="Times New Roman" w:cs="Times New Roman"/>
          <w:sz w:val="24"/>
          <w:szCs w:val="24"/>
          <w:lang w:val="en-GB"/>
        </w:rPr>
        <w:t>calcium</w:t>
      </w:r>
      <w:proofErr w:type="gramEnd"/>
      <w:r w:rsidRPr="00D07339">
        <w:rPr>
          <w:rFonts w:ascii="Times New Roman" w:eastAsia="Arial" w:hAnsi="Times New Roman" w:cs="Times New Roman"/>
          <w:sz w:val="24"/>
          <w:szCs w:val="24"/>
          <w:lang w:val="en-GB"/>
        </w:rPr>
        <w:t xml:space="preserve"> and phosphate in adult critically ill patients. Although potassium supplementation in IV-MFT of 1-2 mmol/kg body weight is commonly prescribed to critically ill </w:t>
      </w:r>
      <w:r w:rsidR="00586AF9" w:rsidRPr="00D07339">
        <w:rPr>
          <w:rFonts w:ascii="Times New Roman" w:eastAsia="Arial" w:hAnsi="Times New Roman" w:cs="Times New Roman"/>
          <w:sz w:val="24"/>
          <w:szCs w:val="24"/>
          <w:lang w:val="en-GB"/>
        </w:rPr>
        <w:t xml:space="preserve">adults, with </w:t>
      </w:r>
      <w:r w:rsidR="00E67075" w:rsidRPr="00D07339">
        <w:rPr>
          <w:rFonts w:ascii="Times New Roman" w:eastAsia="Arial" w:hAnsi="Times New Roman" w:cs="Times New Roman"/>
          <w:sz w:val="24"/>
          <w:szCs w:val="24"/>
          <w:lang w:val="en-GB"/>
        </w:rPr>
        <w:t>intermittent</w:t>
      </w:r>
      <w:r w:rsidRPr="00D07339">
        <w:rPr>
          <w:rFonts w:ascii="Times New Roman" w:eastAsia="Arial" w:hAnsi="Times New Roman" w:cs="Times New Roman"/>
          <w:sz w:val="24"/>
          <w:szCs w:val="24"/>
          <w:lang w:val="en-GB"/>
        </w:rPr>
        <w:t xml:space="preserve"> replacement for low levels as required.</w:t>
      </w:r>
    </w:p>
    <w:p w14:paraId="078C8AAF" w14:textId="19FE2905" w:rsidR="000D4BB6" w:rsidRPr="00D07339" w:rsidRDefault="00BB3A81" w:rsidP="00B70F75">
      <w:pPr>
        <w:pStyle w:val="Titre1"/>
      </w:pPr>
      <w:r w:rsidRPr="00D07339">
        <w:t xml:space="preserve">Published recommendations in other </w:t>
      </w:r>
      <w:r w:rsidR="00CA08EF" w:rsidRPr="00D07339">
        <w:t>paediatric</w:t>
      </w:r>
      <w:r w:rsidRPr="00D07339">
        <w:t xml:space="preserve"> settings (outside the scope of the current guidelines)</w:t>
      </w:r>
    </w:p>
    <w:p w14:paraId="078C8AB1" w14:textId="73187DDE" w:rsidR="000D4BB6" w:rsidRPr="00D07339" w:rsidRDefault="00E67075"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In the</w:t>
      </w:r>
      <w:r w:rsidR="00BB3A81" w:rsidRPr="00D07339">
        <w:rPr>
          <w:rFonts w:ascii="Times New Roman" w:eastAsia="Arial" w:hAnsi="Times New Roman" w:cs="Times New Roman"/>
          <w:sz w:val="24"/>
          <w:szCs w:val="24"/>
          <w:lang w:val="en-GB"/>
        </w:rPr>
        <w:t xml:space="preserve"> </w:t>
      </w:r>
      <w:r w:rsidR="00313EC9" w:rsidRPr="00D07339">
        <w:rPr>
          <w:rFonts w:ascii="Times New Roman" w:eastAsia="Arial" w:hAnsi="Times New Roman" w:cs="Times New Roman"/>
          <w:sz w:val="24"/>
          <w:szCs w:val="24"/>
          <w:lang w:val="en-GB"/>
        </w:rPr>
        <w:t>paediatric</w:t>
      </w:r>
      <w:r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intraoperative</w:t>
      </w:r>
      <w:r w:rsidRPr="00D07339">
        <w:rPr>
          <w:rFonts w:ascii="Times New Roman" w:eastAsia="Arial" w:hAnsi="Times New Roman" w:cs="Times New Roman"/>
          <w:sz w:val="24"/>
          <w:szCs w:val="24"/>
          <w:lang w:val="en-GB"/>
        </w:rPr>
        <w:t xml:space="preserve"> setting</w:t>
      </w:r>
      <w:r w:rsidR="00BB3A81" w:rsidRPr="00D07339">
        <w:rPr>
          <w:rFonts w:ascii="Times New Roman" w:eastAsia="Arial" w:hAnsi="Times New Roman" w:cs="Times New Roman"/>
          <w:sz w:val="24"/>
          <w:szCs w:val="24"/>
          <w:lang w:val="en-GB"/>
        </w:rPr>
        <w:t xml:space="preserve"> IV-MFT, balanced isotonic solutions with the addition of 1-2,5 % glucose are recommended</w:t>
      </w:r>
      <w:r w:rsidR="00AD2655" w:rsidRPr="00D07339">
        <w:rPr>
          <w:rFonts w:ascii="Times New Roman" w:eastAsia="Arial" w:hAnsi="Times New Roman" w:cs="Times New Roman"/>
          <w:sz w:val="24"/>
          <w:szCs w:val="24"/>
          <w:lang w:val="en-GB"/>
        </w:rPr>
        <w:t xml:space="preserve"> </w:t>
      </w:r>
      <w:r w:rsidR="00AD2655"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{"citationID":"xnqrhnXS","properties":{"formattedCitation":"[14]","plainCitation":"[14]","noteIndex":0},"citationItems":[{"id":9452,"uris":["http://zotero.org/users/874466/items/9VQ6XXTD"],"itemData":{"id":9452,"type":"article-journal","abstract":"Background: Neonates have a higher metabolic rate and an increased risk of perioperative hypoglycemia and lipolysis, but during anesthesia, both oxygen consumption and metabolic rate are decreased, and this may lead to reduced intraoperative glucose requirements. Objective: The objective of this prospective multicentre observational postauthorisation safety study was to evaluate the intraoperative use of a novel isotonic balanced electrolyte solution with a low glucose concentration of 1% (BS-G1) in neonates with a particular focus on changes in acid-base, electrolyte, and glucose concentrations. Methods: Following the local ethics committee approval, neonates with a postmenstrual age under 45 weeks and an ASA risk score of I–IV undergoing intraoperative administration of BS-G1 were enrolled. Patient demographics, the performed procedure, adverse drug reactions, hemodynamic data, and the results of blood gas analysis before and after infusion were documented with a focus on changes in acid-base, electrolyte, and glucose concentrations. Results: In 66 neonates (ASA I–IV; postmenstrual age 38 ± 4, range 25–45 weeks; body weight 2.9 ± 0.9, range 0.65–4.6 kg), the mean infusion rate was 10.4 ± 3.2 (range 4.5–19.6) ml·kg−1·h−1 BS-G1. During the infusion, hemoglobin, hematocrit, bicarbonate, base excess, anion gap, strong ion difference, and calcium decreased, and chloride and glucose increased significantly within the physiological range. All other measured parameters including sodium and lactate remained stable. Neither hypoglycemia (glucose &lt; 3 mm) nor hyperglycemia (glucose &gt; 10 mm) was documented after BS-G1 infusion. No adverse drug reactions were reported. Conclusion: The study shows that the intraoperative use of an isotonic balanced electrolyte solution with 1% glucose and a mean infusion rate of 10 ml·kg−1·h−1 helps to avoid acid-base dysbalance, hyponatraemia, hypoglycemia, ketoacidosis, and hyperglycemia in surgical neonates. A careful intraoperative monitoring and adaptation of the infusion rate as needed is crucial because the glucose and fluid requirements may vary widely between subjects.","container-title":"Pediatric Anesthesia","DOI":"10.1111/j.1460-9592.2011.03610.x","ISSN":"1460-9592","issue":"11","language":"en","page":"1114-1118","source":"Wiley Online Library","title":"A novel isotonic balanced electrolyte solution with 1% glucose for intraoperative fluid therapy in neonates: results of a prospective multicentre observational postauthorisation safety study (PASS)","title-short":"A novel isotonic balanced electrolyte solution with 1% glucose for intraoperative fluid therapy in neonates","volume":"21","author":[{"family":"Sümpelmann","given":"Robert"},{"family":"Mader","given":"Thomas"},{"family":"Dennhardt","given":"Nils"},{"family":"Witt","given":"Lars"},{"family":"Eich","given":"Christoph"},{"family":"Osthaus","given":"Wilhelm A."}],"issued":{"date-parts":[["2011"]]}}}],"schema":"https://github.com/citation-style-language/schema/raw/master/csl-citation.json"} </w:instrText>
      </w:r>
      <w:r w:rsidR="00AD2655"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[14]</w:t>
      </w:r>
      <w:r w:rsidR="00AD2655" w:rsidRPr="00D07339">
        <w:rPr>
          <w:rFonts w:ascii="Times New Roman" w:eastAsia="Arial" w:hAnsi="Times New Roman" w:cs="Times New Roman"/>
          <w:sz w:val="24"/>
          <w:szCs w:val="24"/>
          <w:lang w:val="en-GB"/>
        </w:rPr>
        <w:fldChar w:fldCharType="end"/>
      </w:r>
      <w:r w:rsidR="00AD2655"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There is no evidence for the ne</w:t>
      </w:r>
      <w:r w:rsidRPr="00D07339">
        <w:rPr>
          <w:rFonts w:ascii="Times New Roman" w:eastAsia="Arial" w:hAnsi="Times New Roman" w:cs="Times New Roman"/>
          <w:sz w:val="24"/>
          <w:szCs w:val="24"/>
          <w:lang w:val="en-GB"/>
        </w:rPr>
        <w:t>ed</w:t>
      </w:r>
      <w:r w:rsidR="00BB3A81" w:rsidRPr="00D07339">
        <w:rPr>
          <w:rFonts w:ascii="Times New Roman" w:eastAsia="Arial" w:hAnsi="Times New Roman" w:cs="Times New Roman"/>
          <w:sz w:val="24"/>
          <w:szCs w:val="24"/>
          <w:lang w:val="en-GB"/>
        </w:rPr>
        <w:t xml:space="preserve"> to supplement potassium, magnesium, </w:t>
      </w:r>
      <w:proofErr w:type="gramStart"/>
      <w:r w:rsidR="00BB3A81" w:rsidRPr="00D07339">
        <w:rPr>
          <w:rFonts w:ascii="Times New Roman" w:eastAsia="Arial" w:hAnsi="Times New Roman" w:cs="Times New Roman"/>
          <w:sz w:val="24"/>
          <w:szCs w:val="24"/>
          <w:lang w:val="en-GB"/>
        </w:rPr>
        <w:t>calcium</w:t>
      </w:r>
      <w:proofErr w:type="gramEnd"/>
      <w:r w:rsidR="00BB3A81" w:rsidRPr="00D07339">
        <w:rPr>
          <w:rFonts w:ascii="Times New Roman" w:eastAsia="Arial" w:hAnsi="Times New Roman" w:cs="Times New Roman"/>
          <w:sz w:val="24"/>
          <w:szCs w:val="24"/>
          <w:lang w:val="en-GB"/>
        </w:rPr>
        <w:t xml:space="preserve"> and phosphate in IV-MFT.</w:t>
      </w:r>
    </w:p>
    <w:p w14:paraId="078C8AB2" w14:textId="3D384B70" w:rsidR="000D4BB6" w:rsidRPr="00D07339" w:rsidRDefault="00BB3A81" w:rsidP="00B70F75">
      <w:pPr>
        <w:pStyle w:val="Titre1"/>
      </w:pPr>
      <w:r w:rsidRPr="00D07339">
        <w:t xml:space="preserve">Results of the literature search, paper </w:t>
      </w:r>
      <w:r w:rsidR="00E67075" w:rsidRPr="00D07339">
        <w:t xml:space="preserve">critical </w:t>
      </w:r>
      <w:r w:rsidR="00AD2655" w:rsidRPr="00D07339">
        <w:t>appraisal and</w:t>
      </w:r>
      <w:r w:rsidRPr="00D07339">
        <w:t xml:space="preserve"> meta-analysis</w:t>
      </w:r>
    </w:p>
    <w:p w14:paraId="078C8AB4" w14:textId="2ECBF0C1" w:rsidR="000D4BB6" w:rsidRPr="00D07339" w:rsidRDefault="00E67075"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Our</w:t>
      </w:r>
      <w:r w:rsidR="00BB3A81" w:rsidRPr="00D07339">
        <w:rPr>
          <w:rFonts w:ascii="Times New Roman" w:eastAsia="Arial" w:hAnsi="Times New Roman" w:cs="Times New Roman"/>
          <w:sz w:val="24"/>
          <w:szCs w:val="24"/>
          <w:lang w:val="en-GB"/>
        </w:rPr>
        <w:t xml:space="preserve"> literature search did not identify any eligible study that assessed the impact of electrolytes in IV-MFT on clinical outcomes in critically or acutely ill children, other than chloride and sodium which are addressed in other research questions. Some studies did assess the impact on electrolyte supplementation, but electrolytes were not used as systematic maintenance but rather as specific additions to treat deficiencies.</w:t>
      </w:r>
    </w:p>
    <w:p w14:paraId="078C8AB6" w14:textId="7BB4D8AB" w:rsidR="000D4BB6" w:rsidRPr="00D07339" w:rsidRDefault="00BB3A81" w:rsidP="00B70F75">
      <w:pPr>
        <w:pStyle w:val="Titre1"/>
      </w:pPr>
      <w:r w:rsidRPr="00D07339">
        <w:t xml:space="preserve">Volume of evidence, Applicability, </w:t>
      </w:r>
      <w:r w:rsidR="00E67075" w:rsidRPr="00D07339">
        <w:t>Generalisability, Consistency</w:t>
      </w:r>
      <w:r w:rsidRPr="00D07339">
        <w:t xml:space="preserve"> and Clinical impact </w:t>
      </w:r>
    </w:p>
    <w:p w14:paraId="078C8AB7" w14:textId="7030B967" w:rsidR="000D4BB6" w:rsidRPr="00D07339" w:rsidRDefault="00E67075"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Consequently, </w:t>
      </w:r>
      <w:r w:rsidR="00BB3A81" w:rsidRPr="00D07339">
        <w:rPr>
          <w:rFonts w:ascii="Times New Roman" w:eastAsia="Arial" w:hAnsi="Times New Roman" w:cs="Times New Roman"/>
          <w:sz w:val="24"/>
          <w:szCs w:val="24"/>
          <w:lang w:val="en-GB"/>
        </w:rPr>
        <w:t xml:space="preserve">no </w:t>
      </w:r>
      <w:r w:rsidRPr="00D07339">
        <w:rPr>
          <w:rFonts w:ascii="Times New Roman" w:eastAsia="Arial" w:hAnsi="Times New Roman" w:cs="Times New Roman"/>
          <w:sz w:val="24"/>
          <w:szCs w:val="24"/>
          <w:lang w:val="en-GB"/>
        </w:rPr>
        <w:t>evidence-based</w:t>
      </w:r>
      <w:r w:rsidR="00BB3A81" w:rsidRPr="00D07339">
        <w:rPr>
          <w:rFonts w:ascii="Times New Roman" w:eastAsia="Arial" w:hAnsi="Times New Roman" w:cs="Times New Roman"/>
          <w:sz w:val="24"/>
          <w:szCs w:val="24"/>
          <w:lang w:val="en-GB"/>
        </w:rPr>
        <w:t xml:space="preserve"> recommendations can be </w:t>
      </w:r>
      <w:r w:rsidRPr="00D07339">
        <w:rPr>
          <w:rFonts w:ascii="Times New Roman" w:eastAsia="Arial" w:hAnsi="Times New Roman" w:cs="Times New Roman"/>
          <w:sz w:val="24"/>
          <w:szCs w:val="24"/>
          <w:lang w:val="en-GB"/>
        </w:rPr>
        <w:t>made.</w:t>
      </w:r>
    </w:p>
    <w:p w14:paraId="078C8ABB" w14:textId="48C77B44" w:rsidR="000D4BB6" w:rsidRPr="00D07339" w:rsidRDefault="00E67075"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 xml:space="preserve">For </w:t>
      </w:r>
      <w:r w:rsidR="00BB3A81" w:rsidRPr="00D07339">
        <w:rPr>
          <w:rFonts w:ascii="Times New Roman" w:eastAsia="Arial" w:hAnsi="Times New Roman" w:cs="Times New Roman"/>
          <w:sz w:val="24"/>
          <w:szCs w:val="24"/>
          <w:lang w:val="en-GB"/>
        </w:rPr>
        <w:t xml:space="preserve">potassium, most experts </w:t>
      </w:r>
      <w:r w:rsidR="007A62D0" w:rsidRPr="00D07339">
        <w:rPr>
          <w:rFonts w:ascii="Times New Roman" w:eastAsia="Arial" w:hAnsi="Times New Roman" w:cs="Times New Roman"/>
          <w:sz w:val="24"/>
          <w:szCs w:val="24"/>
          <w:lang w:val="en-GB"/>
        </w:rPr>
        <w:t>in</w:t>
      </w:r>
      <w:r w:rsidR="00BB3A81" w:rsidRPr="00D07339">
        <w:rPr>
          <w:rFonts w:ascii="Times New Roman" w:eastAsia="Arial" w:hAnsi="Times New Roman" w:cs="Times New Roman"/>
          <w:sz w:val="24"/>
          <w:szCs w:val="24"/>
          <w:lang w:val="en-GB"/>
        </w:rPr>
        <w:t xml:space="preserve"> the guideline group report a usual addition in IV-MFT of 0.5 to 3 mmol/kg/d which is consistent with </w:t>
      </w:r>
      <w:r w:rsidR="007A62D0" w:rsidRPr="00D07339">
        <w:rPr>
          <w:rFonts w:ascii="Times New Roman" w:eastAsia="Arial" w:hAnsi="Times New Roman" w:cs="Times New Roman"/>
          <w:sz w:val="24"/>
          <w:szCs w:val="24"/>
          <w:lang w:val="en-GB"/>
        </w:rPr>
        <w:t xml:space="preserve">the </w:t>
      </w:r>
      <w:r w:rsidR="00BB3A81" w:rsidRPr="00D07339">
        <w:rPr>
          <w:rFonts w:ascii="Times New Roman" w:eastAsia="Arial" w:hAnsi="Times New Roman" w:cs="Times New Roman"/>
          <w:sz w:val="24"/>
          <w:szCs w:val="24"/>
          <w:lang w:val="en-GB"/>
        </w:rPr>
        <w:t xml:space="preserve">2018 ESPGHAN parenteral nutrition guidelines and </w:t>
      </w:r>
      <w:r w:rsidR="007A62D0" w:rsidRPr="00D07339">
        <w:rPr>
          <w:rFonts w:ascii="Times New Roman" w:eastAsia="Arial" w:hAnsi="Times New Roman" w:cs="Times New Roman"/>
          <w:sz w:val="24"/>
          <w:szCs w:val="24"/>
          <w:lang w:val="en-GB"/>
        </w:rPr>
        <w:t>historical</w:t>
      </w:r>
      <w:r w:rsidR="00BB3A81" w:rsidRPr="00D07339">
        <w:rPr>
          <w:rFonts w:ascii="Times New Roman" w:eastAsia="Arial" w:hAnsi="Times New Roman" w:cs="Times New Roman"/>
          <w:sz w:val="24"/>
          <w:szCs w:val="24"/>
          <w:lang w:val="en-GB"/>
        </w:rPr>
        <w:t xml:space="preserve"> recommendations from Holliday and Segar (2 mmol/100kcal/d) </w:t>
      </w:r>
      <w:r w:rsidR="00E16AB8"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{"citationID":"bMpzCMVT","properties":{"formattedCitation":"[21, 22]","plainCitation":"[21, 22]","noteIndex":0},"citationItems":[{"id":36063,"uris":["http://zotero.org/users/874466/items/M74H85KT"],"itemData":{"id":36063,"type":"article-journal","container-title":"Clinical Nutrition (Edinburgh, Scotland)","DOI":"10.1016/j.clnu.2018.06.948","ISSN":"1532-1983","issue":"6 Pt B","journalAbbreviation":"Clin Nutr","language":"eng","note":"PMID: 30064846","page":"2344-2353","source":"PubMed","title":"ESPGHAN/ESPEN/ESPR/CSPEN guidelines on pediatric parenteral nutrition: Fluid and electrolytes","title-short":"ESPGHAN/ESPEN/ESPR/CSPEN guidelines on pediatric parenteral nutrition","volume":"37","author":[{"family":"Jochum","given":"F."},{"family":"Moltu","given":"S. J."},{"family":"Senterre","given":"T."},{"family":"Nomayo","given":"A."},{"family":"Goulet","given":"O."},{"family":"Iacobelli","given":"S."},{"literal":"ESPGHAN/ESPEN/ESPR/CSPEN working group on pediatric parenteral nutrition"}],"issued":{"date-parts":[["2018",12]]}},"label":"page"},{"id":36065,"uris":["http://zotero.org/users/874466/items/96KENFIH"],"itemData":{"id":36065,"type":"article-journal","container-title":"Pediatrics","ISSN":"0031-4005","issue":"5","journalAbbreviation":"Pediatrics","language":"eng","note":"PMID: 13431307","page":"823-832","source":"PubMed","title":"The maintenance need for water in parenteral fluid therapy","volume":"19","author":[{"family":"Holliday","given":"M. A."},{"family":"Segar","given":"W. E."}],"issued":{"date-parts":[["1957",5]]}},"label":"page"}],"schema":"https://github.com/citation-style-language/schema/raw/master/csl-citation.json"} </w:instrText>
      </w:r>
      <w:r w:rsidR="00E16AB8"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[21, 22]</w:t>
      </w:r>
      <w:r w:rsidR="00E16AB8"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 xml:space="preserve">. </w:t>
      </w:r>
      <w:r w:rsidR="007A62D0" w:rsidRPr="00D07339">
        <w:rPr>
          <w:rFonts w:ascii="Times New Roman" w:eastAsia="Arial" w:hAnsi="Times New Roman" w:cs="Times New Roman"/>
          <w:sz w:val="24"/>
          <w:szCs w:val="24"/>
          <w:lang w:val="en-GB"/>
        </w:rPr>
        <w:t xml:space="preserve">It is unlikely this </w:t>
      </w:r>
      <w:r w:rsidR="009B5065" w:rsidRPr="00D07339">
        <w:rPr>
          <w:rFonts w:ascii="Times New Roman" w:eastAsia="Arial" w:hAnsi="Times New Roman" w:cs="Times New Roman"/>
          <w:sz w:val="24"/>
          <w:szCs w:val="24"/>
          <w:lang w:val="en-GB"/>
        </w:rPr>
        <w:t xml:space="preserve">is </w:t>
      </w:r>
      <w:r w:rsidR="00E16AB8" w:rsidRPr="00D07339">
        <w:rPr>
          <w:rFonts w:ascii="Times New Roman" w:eastAsia="Arial" w:hAnsi="Times New Roman" w:cs="Times New Roman"/>
          <w:sz w:val="24"/>
          <w:szCs w:val="24"/>
          <w:lang w:val="en-GB"/>
        </w:rPr>
        <w:t>essential for</w:t>
      </w:r>
      <w:r w:rsidR="00BB3A81" w:rsidRPr="00D07339">
        <w:rPr>
          <w:rFonts w:ascii="Times New Roman" w:eastAsia="Arial" w:hAnsi="Times New Roman" w:cs="Times New Roman"/>
          <w:sz w:val="24"/>
          <w:szCs w:val="24"/>
          <w:lang w:val="en-GB"/>
        </w:rPr>
        <w:t xml:space="preserve"> very short term IV-MFT.</w:t>
      </w:r>
      <w:r w:rsidR="007A62D0" w:rsidRPr="00D07339">
        <w:rPr>
          <w:rFonts w:ascii="Times New Roman" w:eastAsia="Arial" w:hAnsi="Times New Roman" w:cs="Times New Roman"/>
          <w:sz w:val="24"/>
          <w:szCs w:val="24"/>
          <w:lang w:val="en-GB"/>
        </w:rPr>
        <w:t xml:space="preserve"> F</w:t>
      </w:r>
      <w:r w:rsidR="00BB3A81" w:rsidRPr="00D07339">
        <w:rPr>
          <w:rFonts w:ascii="Times New Roman" w:eastAsia="Arial" w:hAnsi="Times New Roman" w:cs="Times New Roman"/>
          <w:sz w:val="24"/>
          <w:szCs w:val="24"/>
          <w:lang w:val="en-GB"/>
        </w:rPr>
        <w:t xml:space="preserve">or </w:t>
      </w:r>
      <w:r w:rsidR="003C6D37" w:rsidRPr="00D07339">
        <w:rPr>
          <w:rFonts w:ascii="Times New Roman" w:eastAsia="Arial" w:hAnsi="Times New Roman" w:cs="Times New Roman"/>
          <w:sz w:val="24"/>
          <w:szCs w:val="24"/>
          <w:lang w:val="en-GB"/>
        </w:rPr>
        <w:t xml:space="preserve">other nutrients such as </w:t>
      </w:r>
      <w:r w:rsidR="00FF659D" w:rsidRPr="00D07339">
        <w:rPr>
          <w:rFonts w:ascii="Times New Roman" w:eastAsia="Arial" w:hAnsi="Times New Roman" w:cs="Times New Roman"/>
          <w:sz w:val="24"/>
          <w:szCs w:val="24"/>
          <w:lang w:val="en-GB"/>
        </w:rPr>
        <w:t>m</w:t>
      </w:r>
      <w:r w:rsidR="003C6D37" w:rsidRPr="00D07339">
        <w:rPr>
          <w:rFonts w:ascii="Times New Roman" w:eastAsia="Arial" w:hAnsi="Times New Roman" w:cs="Times New Roman"/>
          <w:sz w:val="24"/>
          <w:szCs w:val="24"/>
          <w:lang w:val="en-GB"/>
        </w:rPr>
        <w:t xml:space="preserve">agnesium, </w:t>
      </w:r>
      <w:r w:rsidR="00FF659D" w:rsidRPr="00D07339">
        <w:rPr>
          <w:rFonts w:ascii="Times New Roman" w:eastAsia="Arial" w:hAnsi="Times New Roman" w:cs="Times New Roman"/>
          <w:sz w:val="24"/>
          <w:szCs w:val="24"/>
          <w:lang w:val="en-GB"/>
        </w:rPr>
        <w:t>c</w:t>
      </w:r>
      <w:r w:rsidR="003C6D37" w:rsidRPr="00D07339">
        <w:rPr>
          <w:rFonts w:ascii="Times New Roman" w:eastAsia="Arial" w:hAnsi="Times New Roman" w:cs="Times New Roman"/>
          <w:sz w:val="24"/>
          <w:szCs w:val="24"/>
          <w:lang w:val="en-GB"/>
        </w:rPr>
        <w:t xml:space="preserve">alcium and </w:t>
      </w:r>
      <w:r w:rsidR="00FF659D" w:rsidRPr="00D07339">
        <w:rPr>
          <w:rFonts w:ascii="Times New Roman" w:eastAsia="Arial" w:hAnsi="Times New Roman" w:cs="Times New Roman"/>
          <w:sz w:val="24"/>
          <w:szCs w:val="24"/>
          <w:lang w:val="en-GB"/>
        </w:rPr>
        <w:t>p</w:t>
      </w:r>
      <w:r w:rsidR="003C6D37" w:rsidRPr="00D07339">
        <w:rPr>
          <w:rFonts w:ascii="Times New Roman" w:eastAsia="Arial" w:hAnsi="Times New Roman" w:cs="Times New Roman"/>
          <w:sz w:val="24"/>
          <w:szCs w:val="24"/>
          <w:lang w:val="en-GB"/>
        </w:rPr>
        <w:t xml:space="preserve">hosphate </w:t>
      </w:r>
      <w:r w:rsidR="00BB3A81" w:rsidRPr="00D07339">
        <w:rPr>
          <w:rFonts w:ascii="Times New Roman" w:eastAsia="Arial" w:hAnsi="Times New Roman" w:cs="Times New Roman"/>
          <w:sz w:val="24"/>
          <w:szCs w:val="24"/>
          <w:lang w:val="en-GB"/>
        </w:rPr>
        <w:t>and micronutrients, supplementation in short term IV-MFT is probably not useful.</w:t>
      </w:r>
      <w:r w:rsidR="0062750D"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 xml:space="preserve">In </w:t>
      </w:r>
      <w:r w:rsidR="0062750D" w:rsidRPr="00D07339">
        <w:rPr>
          <w:rFonts w:ascii="Times New Roman" w:eastAsia="Arial" w:hAnsi="Times New Roman" w:cs="Times New Roman"/>
          <w:sz w:val="24"/>
          <w:szCs w:val="24"/>
          <w:lang w:val="en-GB"/>
        </w:rPr>
        <w:t>any</w:t>
      </w:r>
      <w:r w:rsidR="00BB3A81" w:rsidRPr="00D07339">
        <w:rPr>
          <w:rFonts w:ascii="Times New Roman" w:eastAsia="Arial" w:hAnsi="Times New Roman" w:cs="Times New Roman"/>
          <w:sz w:val="24"/>
          <w:szCs w:val="24"/>
          <w:lang w:val="en-GB"/>
        </w:rPr>
        <w:t xml:space="preserve"> case, close monitoring of </w:t>
      </w:r>
      <w:r w:rsidR="0062750D" w:rsidRPr="00D07339">
        <w:rPr>
          <w:rFonts w:ascii="Times New Roman" w:eastAsia="Arial" w:hAnsi="Times New Roman" w:cs="Times New Roman"/>
          <w:sz w:val="24"/>
          <w:szCs w:val="24"/>
          <w:lang w:val="en-GB"/>
        </w:rPr>
        <w:t xml:space="preserve">serum </w:t>
      </w:r>
      <w:r w:rsidR="00BB3A81" w:rsidRPr="00D07339">
        <w:rPr>
          <w:rFonts w:ascii="Times New Roman" w:eastAsia="Arial" w:hAnsi="Times New Roman" w:cs="Times New Roman"/>
          <w:sz w:val="24"/>
          <w:szCs w:val="24"/>
          <w:lang w:val="en-GB"/>
        </w:rPr>
        <w:t xml:space="preserve">electrolyte levels (including </w:t>
      </w:r>
      <w:r w:rsidR="009D6789" w:rsidRPr="00D07339">
        <w:rPr>
          <w:rFonts w:ascii="Times New Roman" w:eastAsia="Arial" w:hAnsi="Times New Roman" w:cs="Times New Roman"/>
          <w:sz w:val="24"/>
          <w:szCs w:val="24"/>
          <w:lang w:val="en-GB"/>
        </w:rPr>
        <w:t xml:space="preserve">K, </w:t>
      </w:r>
      <w:r w:rsidR="00BB3A81" w:rsidRPr="00D07339">
        <w:rPr>
          <w:rFonts w:ascii="Times New Roman" w:eastAsia="Arial" w:hAnsi="Times New Roman" w:cs="Times New Roman"/>
          <w:sz w:val="24"/>
          <w:szCs w:val="24"/>
          <w:lang w:val="en-GB"/>
        </w:rPr>
        <w:t>Ca, P and Mg) will guide the prescription of all these nutrients, to early detect deficienc</w:t>
      </w:r>
      <w:r w:rsidR="0062750D" w:rsidRPr="00D07339">
        <w:rPr>
          <w:rFonts w:ascii="Times New Roman" w:eastAsia="Arial" w:hAnsi="Times New Roman" w:cs="Times New Roman"/>
          <w:sz w:val="24"/>
          <w:szCs w:val="24"/>
          <w:lang w:val="en-GB"/>
        </w:rPr>
        <w:t>ies</w:t>
      </w:r>
      <w:r w:rsidR="009B5065" w:rsidRPr="00D07339">
        <w:rPr>
          <w:rFonts w:ascii="Times New Roman" w:eastAsia="Arial" w:hAnsi="Times New Roman" w:cs="Times New Roman"/>
          <w:sz w:val="24"/>
          <w:szCs w:val="24"/>
          <w:lang w:val="en-GB"/>
        </w:rPr>
        <w:t>.</w:t>
      </w:r>
      <w:r w:rsidR="0062750D" w:rsidRPr="00D07339">
        <w:rPr>
          <w:rFonts w:ascii="Times New Roman" w:eastAsia="Arial" w:hAnsi="Times New Roman" w:cs="Times New Roman"/>
          <w:sz w:val="24"/>
          <w:szCs w:val="24"/>
          <w:lang w:val="en-GB"/>
        </w:rPr>
        <w:t xml:space="preserve"> </w:t>
      </w:r>
      <w:r w:rsidR="00BB3A81" w:rsidRPr="00D07339">
        <w:rPr>
          <w:rFonts w:ascii="Times New Roman" w:eastAsia="Arial" w:hAnsi="Times New Roman" w:cs="Times New Roman"/>
          <w:sz w:val="24"/>
          <w:szCs w:val="24"/>
          <w:lang w:val="en-GB"/>
        </w:rPr>
        <w:t>I</w:t>
      </w:r>
      <w:r w:rsidR="0062750D" w:rsidRPr="00D07339">
        <w:rPr>
          <w:rFonts w:ascii="Times New Roman" w:eastAsia="Arial" w:hAnsi="Times New Roman" w:cs="Times New Roman"/>
          <w:sz w:val="24"/>
          <w:szCs w:val="24"/>
          <w:lang w:val="en-GB"/>
        </w:rPr>
        <w:t xml:space="preserve">f </w:t>
      </w:r>
      <w:r w:rsidR="00BB3A81" w:rsidRPr="00D07339">
        <w:rPr>
          <w:rFonts w:ascii="Times New Roman" w:eastAsia="Arial" w:hAnsi="Times New Roman" w:cs="Times New Roman"/>
          <w:sz w:val="24"/>
          <w:szCs w:val="24"/>
          <w:lang w:val="en-GB"/>
        </w:rPr>
        <w:t>prolonged IV</w:t>
      </w:r>
      <w:r w:rsidR="0062750D" w:rsidRPr="00D07339">
        <w:rPr>
          <w:rFonts w:ascii="Times New Roman" w:eastAsia="Arial" w:hAnsi="Times New Roman" w:cs="Times New Roman"/>
          <w:sz w:val="24"/>
          <w:szCs w:val="24"/>
          <w:lang w:val="en-GB"/>
        </w:rPr>
        <w:t>M-FT is required</w:t>
      </w:r>
      <w:r w:rsidR="00BB3A81" w:rsidRPr="00D07339">
        <w:rPr>
          <w:rFonts w:ascii="Times New Roman" w:eastAsia="Arial" w:hAnsi="Times New Roman" w:cs="Times New Roman"/>
          <w:sz w:val="24"/>
          <w:szCs w:val="24"/>
          <w:lang w:val="en-GB"/>
        </w:rPr>
        <w:t xml:space="preserve">, parenteral nutrition </w:t>
      </w:r>
      <w:r w:rsidR="0077295E" w:rsidRPr="00D07339">
        <w:rPr>
          <w:rFonts w:ascii="Times New Roman" w:eastAsia="Arial" w:hAnsi="Times New Roman" w:cs="Times New Roman"/>
          <w:sz w:val="24"/>
          <w:szCs w:val="24"/>
          <w:lang w:val="en-GB"/>
        </w:rPr>
        <w:t>may be</w:t>
      </w:r>
      <w:r w:rsidR="00BB3A81" w:rsidRPr="00D07339">
        <w:rPr>
          <w:rFonts w:ascii="Times New Roman" w:eastAsia="Arial" w:hAnsi="Times New Roman" w:cs="Times New Roman"/>
          <w:sz w:val="24"/>
          <w:szCs w:val="24"/>
          <w:lang w:val="en-GB"/>
        </w:rPr>
        <w:t xml:space="preserve"> indicated and </w:t>
      </w:r>
      <w:r w:rsidR="0077295E" w:rsidRPr="00D07339">
        <w:rPr>
          <w:rFonts w:ascii="Times New Roman" w:eastAsia="Arial" w:hAnsi="Times New Roman" w:cs="Times New Roman"/>
          <w:sz w:val="24"/>
          <w:szCs w:val="24"/>
          <w:lang w:val="en-GB"/>
        </w:rPr>
        <w:t>should</w:t>
      </w:r>
      <w:r w:rsidR="00BB3A81" w:rsidRPr="00D07339">
        <w:rPr>
          <w:rFonts w:ascii="Times New Roman" w:eastAsia="Arial" w:hAnsi="Times New Roman" w:cs="Times New Roman"/>
          <w:sz w:val="24"/>
          <w:szCs w:val="24"/>
          <w:lang w:val="en-GB"/>
        </w:rPr>
        <w:t xml:space="preserve"> provide all the</w:t>
      </w:r>
      <w:r w:rsidR="0077295E" w:rsidRPr="00D07339">
        <w:rPr>
          <w:rFonts w:ascii="Times New Roman" w:eastAsia="Arial" w:hAnsi="Times New Roman" w:cs="Times New Roman"/>
          <w:sz w:val="24"/>
          <w:szCs w:val="24"/>
          <w:lang w:val="en-GB"/>
        </w:rPr>
        <w:t>se</w:t>
      </w:r>
      <w:r w:rsidR="00BB3A81" w:rsidRPr="00D07339">
        <w:rPr>
          <w:rFonts w:ascii="Times New Roman" w:eastAsia="Arial" w:hAnsi="Times New Roman" w:cs="Times New Roman"/>
          <w:sz w:val="24"/>
          <w:szCs w:val="24"/>
          <w:lang w:val="en-GB"/>
        </w:rPr>
        <w:t xml:space="preserve"> nutrients in recommended </w:t>
      </w:r>
      <w:r w:rsidR="0077295E" w:rsidRPr="00D07339">
        <w:rPr>
          <w:rFonts w:ascii="Times New Roman" w:eastAsia="Arial" w:hAnsi="Times New Roman" w:cs="Times New Roman"/>
          <w:sz w:val="24"/>
          <w:szCs w:val="24"/>
          <w:lang w:val="en-GB"/>
        </w:rPr>
        <w:t xml:space="preserve">daily </w:t>
      </w:r>
      <w:r w:rsidR="00BB3A81" w:rsidRPr="00D07339">
        <w:rPr>
          <w:rFonts w:ascii="Times New Roman" w:eastAsia="Arial" w:hAnsi="Times New Roman" w:cs="Times New Roman"/>
          <w:sz w:val="24"/>
          <w:szCs w:val="24"/>
          <w:lang w:val="en-GB"/>
        </w:rPr>
        <w:t xml:space="preserve">amounts </w:t>
      </w:r>
      <w:r w:rsidR="00660F87" w:rsidRPr="00D07339">
        <w:rPr>
          <w:rFonts w:ascii="Times New Roman" w:eastAsia="Arial" w:hAnsi="Times New Roman" w:cs="Times New Roman"/>
          <w:sz w:val="24"/>
          <w:szCs w:val="24"/>
          <w:lang w:val="en-GB"/>
        </w:rPr>
        <w:fldChar w:fldCharType="begin"/>
      </w:r>
      <w:r w:rsidR="0051482E" w:rsidRPr="00D07339">
        <w:rPr>
          <w:rFonts w:ascii="Times New Roman" w:eastAsia="Arial" w:hAnsi="Times New Roman" w:cs="Times New Roman"/>
          <w:sz w:val="24"/>
          <w:szCs w:val="24"/>
          <w:lang w:val="en-GB"/>
        </w:rPr>
        <w:instrText xml:space="preserve"> ADDIN ZOTERO_ITEM CSL_CITATION {"citationID":"c4rmayr0","properties":{"formattedCitation":"[20]","plainCitation":"[20]","noteIndex":0},"citationItems":[{"id":36061,"uris":["http://zotero.org/users/874466/items/SN8KL6BD"],"itemData":{"id":36061,"type":"article-journal","container-title":"Clinical Nutrition (Edinburgh, Scotland)","DOI":"10.1016/j.clnu.2018.05.029","ISSN":"1532-1983","issue":"6 Pt B","journalAbbreviation":"Clin Nutr","language":"eng","note":"PMID: 30471662","page":"2303-2305","source":"PubMed","title":"ESPGHAN/ESPEN/ESPR/CSPEN guidelines on pediatric parenteral nutrition","volume":"37","author":[{"family":"Mihatsch","given":"Walter A."},{"family":"Braegger","given":"Christian"},{"family":"Bronsky","given":"Jiri"},{"family":"Cai","given":"Wei"},{"family":"Campoy","given":"Cristina"},{"family":"Carnielli","given":"Virgilio"},{"family":"Darmaun","given":"Dominique"},{"family":"Desci","given":"Tamas"},{"family":"Domellöf","given":"Magnus"},{"family":"Embleton","given":"Nicholas"},{"family":"Fewtrell","given":"Mary"},{"family":"Mis","given":"Natasa Fidler"},{"family":"Franz","given":"Axel"},{"family":"Goulet","given":"Olivier"},{"family":"Hartman","given":"Corina"},{"family":"Susan","given":"Hill"},{"family":"Hojsak","given":"Iva"},{"family":"Iacobelli","given":"Silvia"},{"family":"Jochum","given":"Frank"},{"family":"Joosten","given":"Koen"},{"family":"Kolacek","given":"Sanja"},{"family":"Koletzko","given":"Berthold"},{"family":"Ksiazyk","given":"Janusz"},{"family":"Lapillonne","given":"Alexandre"},{"family":"Lohner","given":"Szimonetta"},{"family":"Mesotten","given":"Dieter"},{"family":"Mihalyi","given":"Krisztina"},{"family":"Mimouni","given":"Francis"},{"family":"Mølgaard","given":"Christian"},{"family":"Moltu","given":"Sissel J."},{"family":"Nomayo","given":"Antonia"},{"family":"Picaud","given":"Jean Charles"},{"family":"Prell","given":"Christine"},{"family":"Puntis","given":"John"},{"family":"Riskin","given":"Arieh"},{"family":"Pipaon","given":"Miguel Saenz","non-dropping-particle":"de"},{"family":"Senterre","given":"Thibault"},{"family":"Shamir","given":"Ranaan"},{"family":"Simchowitz","given":"Venetia"},{"family":"Szitanyi","given":"Peter"},{"family":"Tabbers","given":"Merit M."},{"family":"Akker","given":"Chris H. B.","non-dropping-particle":"van den"},{"family":"Goudoever","given":"Johannes B.","non-dropping-particle":"van"},{"family":"Kempen","given":"Anne","non-dropping-particle":"van"},{"family":"Verbruggen","given":"Sascha"},{"family":"Wu","given":"Jiang"},{"family":"Yan","given":"Weihui"}],"issued":{"date-parts":[["2018",12]]}}}],"schema":"https://github.com/citation-style-language/schema/raw/master/csl-citation.json"} </w:instrText>
      </w:r>
      <w:r w:rsidR="00660F87" w:rsidRPr="00D07339">
        <w:rPr>
          <w:rFonts w:ascii="Times New Roman" w:eastAsia="Arial" w:hAnsi="Times New Roman" w:cs="Times New Roman"/>
          <w:sz w:val="24"/>
          <w:szCs w:val="24"/>
          <w:lang w:val="en-GB"/>
        </w:rPr>
        <w:fldChar w:fldCharType="separate"/>
      </w:r>
      <w:r w:rsidR="0051482E" w:rsidRPr="00D07339">
        <w:rPr>
          <w:rFonts w:ascii="Times New Roman" w:hAnsi="Times New Roman" w:cs="Times New Roman"/>
          <w:sz w:val="24"/>
        </w:rPr>
        <w:t>[20]</w:t>
      </w:r>
      <w:r w:rsidR="00660F87" w:rsidRPr="00D07339">
        <w:rPr>
          <w:rFonts w:ascii="Times New Roman" w:eastAsia="Arial" w:hAnsi="Times New Roman" w:cs="Times New Roman"/>
          <w:sz w:val="24"/>
          <w:szCs w:val="24"/>
          <w:lang w:val="en-GB"/>
        </w:rPr>
        <w:fldChar w:fldCharType="end"/>
      </w:r>
      <w:r w:rsidR="00BB3A81" w:rsidRPr="00D07339">
        <w:rPr>
          <w:rFonts w:ascii="Times New Roman" w:eastAsia="Arial" w:hAnsi="Times New Roman" w:cs="Times New Roman"/>
          <w:sz w:val="24"/>
          <w:szCs w:val="24"/>
          <w:lang w:val="en-GB"/>
        </w:rPr>
        <w:t>.</w:t>
      </w:r>
    </w:p>
    <w:p w14:paraId="078C8ABC" w14:textId="77777777" w:rsidR="000D4BB6" w:rsidRPr="00D07339" w:rsidRDefault="00BB3A81" w:rsidP="00B70F75">
      <w:pPr>
        <w:pStyle w:val="Titre1"/>
      </w:pPr>
      <w:r w:rsidRPr="00D07339">
        <w:t xml:space="preserve">Recommendations </w:t>
      </w:r>
    </w:p>
    <w:p w14:paraId="078C8ABD" w14:textId="7BC8A287" w:rsidR="000D4BB6" w:rsidRPr="00D07339" w:rsidRDefault="00BB3A81" w:rsidP="00313EC9">
      <w:pPr>
        <w:spacing w:before="120" w:after="120" w:line="36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b/>
          <w:sz w:val="24"/>
          <w:szCs w:val="24"/>
          <w:lang w:val="en-GB"/>
        </w:rPr>
        <w:t>In acutely and critically ill children, there is insufficient evidence to recommend routine supplementation of magnesium, calcium, and phosphate in intravenous maintenance fluid therapy.</w:t>
      </w:r>
      <w:r w:rsidRPr="00D07339">
        <w:rPr>
          <w:rFonts w:ascii="Times New Roman" w:eastAsia="Arial" w:hAnsi="Times New Roman" w:cs="Times New Roman"/>
          <w:sz w:val="24"/>
          <w:szCs w:val="24"/>
          <w:lang w:val="en-GB"/>
        </w:rPr>
        <w:t xml:space="preserve"> </w:t>
      </w:r>
      <w:r w:rsidRPr="00D07339">
        <w:rPr>
          <w:rFonts w:ascii="Times New Roman" w:eastAsia="Arial" w:hAnsi="Times New Roman" w:cs="Times New Roman"/>
          <w:b/>
          <w:color w:val="0000FF"/>
          <w:sz w:val="24"/>
          <w:szCs w:val="24"/>
          <w:lang w:val="en-GB"/>
        </w:rPr>
        <w:t>GCP</w:t>
      </w:r>
    </w:p>
    <w:p w14:paraId="078C8ABE" w14:textId="23B9E3F5" w:rsidR="000D4BB6" w:rsidRPr="00D07339" w:rsidRDefault="006E1C03" w:rsidP="00313EC9">
      <w:pPr>
        <w:spacing w:before="120" w:after="120" w:line="360" w:lineRule="auto"/>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lastRenderedPageBreak/>
        <w:t xml:space="preserve">In acutely and critically ill children, an appropriate amount of potassium should be considered and added to intravenous maintenance fluid therapy, based on the child's clinical status and regular potassium level monitoring to avoid </w:t>
      </w:r>
      <w:proofErr w:type="spellStart"/>
      <w:r w:rsidRPr="00D07339">
        <w:rPr>
          <w:rFonts w:ascii="Times New Roman" w:eastAsia="Arial" w:hAnsi="Times New Roman" w:cs="Times New Roman"/>
          <w:b/>
          <w:sz w:val="24"/>
          <w:szCs w:val="24"/>
          <w:lang w:val="en-GB"/>
        </w:rPr>
        <w:t>hypokalemia</w:t>
      </w:r>
      <w:proofErr w:type="spellEnd"/>
      <w:r w:rsidRPr="00D07339">
        <w:rPr>
          <w:rFonts w:ascii="Times New Roman" w:eastAsia="Arial" w:hAnsi="Times New Roman" w:cs="Times New Roman"/>
          <w:b/>
          <w:sz w:val="24"/>
          <w:szCs w:val="24"/>
          <w:lang w:val="en-GB"/>
        </w:rPr>
        <w:t>.</w:t>
      </w:r>
      <w:r w:rsidR="00BB3A81" w:rsidRPr="00D07339">
        <w:rPr>
          <w:rFonts w:ascii="Times New Roman" w:eastAsia="Arial" w:hAnsi="Times New Roman" w:cs="Times New Roman"/>
          <w:b/>
          <w:sz w:val="24"/>
          <w:szCs w:val="24"/>
          <w:lang w:val="en-GB"/>
        </w:rPr>
        <w:t xml:space="preserve"> </w:t>
      </w:r>
      <w:r w:rsidR="00BB3A81" w:rsidRPr="00D07339">
        <w:rPr>
          <w:rFonts w:ascii="Times New Roman" w:eastAsia="Arial" w:hAnsi="Times New Roman" w:cs="Times New Roman"/>
          <w:b/>
          <w:color w:val="0000FF"/>
          <w:sz w:val="24"/>
          <w:szCs w:val="24"/>
          <w:lang w:val="en-GB"/>
        </w:rPr>
        <w:t>GCP</w:t>
      </w:r>
    </w:p>
    <w:p w14:paraId="078C8ABF" w14:textId="130343F3" w:rsidR="000D4BB6" w:rsidRPr="00D07339" w:rsidRDefault="00BB3A81" w:rsidP="00313EC9">
      <w:pPr>
        <w:spacing w:before="120" w:after="120" w:line="360" w:lineRule="auto"/>
        <w:jc w:val="both"/>
        <w:rPr>
          <w:rFonts w:ascii="Times New Roman" w:eastAsia="Arial" w:hAnsi="Times New Roman" w:cs="Times New Roman"/>
          <w:b/>
          <w:sz w:val="24"/>
          <w:szCs w:val="24"/>
          <w:lang w:val="en-GB"/>
        </w:rPr>
      </w:pPr>
      <w:r w:rsidRPr="00D07339">
        <w:rPr>
          <w:rFonts w:ascii="Times New Roman" w:eastAsia="Arial" w:hAnsi="Times New Roman" w:cs="Times New Roman"/>
          <w:b/>
          <w:sz w:val="24"/>
          <w:szCs w:val="24"/>
          <w:lang w:val="en-GB"/>
        </w:rPr>
        <w:t xml:space="preserve">In acutely and critically ill children, there is insufficient evidence to recommend routine supplementation of vitamins and trace elements in intravenous maintenance fluid therapy, in the absence of signs of deficiency. </w:t>
      </w:r>
      <w:r w:rsidRPr="00D07339">
        <w:rPr>
          <w:rFonts w:ascii="Times New Roman" w:eastAsia="Arial" w:hAnsi="Times New Roman" w:cs="Times New Roman"/>
          <w:b/>
          <w:color w:val="0000FF"/>
          <w:sz w:val="24"/>
          <w:szCs w:val="24"/>
          <w:lang w:val="en-GB"/>
        </w:rPr>
        <w:t>GCP</w:t>
      </w:r>
    </w:p>
    <w:p w14:paraId="078C8AC1" w14:textId="77777777" w:rsidR="000D4BB6" w:rsidRPr="00D07339" w:rsidRDefault="000D4BB6">
      <w:pPr>
        <w:spacing w:before="120" w:after="120" w:line="240" w:lineRule="auto"/>
        <w:jc w:val="both"/>
        <w:rPr>
          <w:rFonts w:ascii="Times New Roman" w:eastAsia="Arial" w:hAnsi="Times New Roman" w:cs="Times New Roman"/>
          <w:sz w:val="24"/>
          <w:szCs w:val="24"/>
          <w:lang w:val="en-GB"/>
        </w:rPr>
      </w:pPr>
    </w:p>
    <w:p w14:paraId="078C8AC2" w14:textId="264983D0" w:rsidR="000D4BB6" w:rsidRPr="00D07339" w:rsidRDefault="00313EC9">
      <w:pPr>
        <w:spacing w:before="120" w:after="120" w:line="24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t>References List</w:t>
      </w:r>
    </w:p>
    <w:p w14:paraId="69CCF758" w14:textId="77777777" w:rsidR="00B2600B" w:rsidRPr="00D07339" w:rsidRDefault="00B2600B">
      <w:pPr>
        <w:spacing w:before="120" w:after="120" w:line="240" w:lineRule="auto"/>
        <w:jc w:val="both"/>
        <w:rPr>
          <w:rFonts w:ascii="Times New Roman" w:eastAsia="Arial" w:hAnsi="Times New Roman" w:cs="Times New Roman"/>
          <w:sz w:val="24"/>
          <w:szCs w:val="24"/>
          <w:lang w:val="en-GB"/>
        </w:rPr>
      </w:pPr>
    </w:p>
    <w:p w14:paraId="73E95C6D" w14:textId="77777777" w:rsidR="002D7EDE" w:rsidRPr="00D07339" w:rsidRDefault="00881E7D" w:rsidP="002D7EDE">
      <w:pPr>
        <w:pStyle w:val="Bibliographie"/>
        <w:rPr>
          <w:rFonts w:ascii="Times New Roman" w:hAnsi="Times New Roman" w:cs="Times New Roman"/>
          <w:sz w:val="24"/>
        </w:rPr>
      </w:pPr>
      <w:r w:rsidRPr="00D07339">
        <w:rPr>
          <w:rFonts w:eastAsia="Arial"/>
          <w:lang w:val="en-GB"/>
        </w:rPr>
        <w:fldChar w:fldCharType="begin"/>
      </w:r>
      <w:r w:rsidR="00391426" w:rsidRPr="00D07339">
        <w:rPr>
          <w:rFonts w:eastAsia="Arial"/>
          <w:lang w:val="en-GB"/>
        </w:rPr>
        <w:instrText xml:space="preserve"> ADDIN ZOTERO_BIBL {"uncited":[],"omitted":[],"custom":[]} CSL_BIBLIOGRAPHY </w:instrText>
      </w:r>
      <w:r w:rsidRPr="00D07339">
        <w:rPr>
          <w:rFonts w:eastAsia="Arial"/>
          <w:lang w:val="en-GB"/>
        </w:rPr>
        <w:fldChar w:fldCharType="separate"/>
      </w:r>
      <w:r w:rsidR="002D7EDE" w:rsidRPr="00D07339">
        <w:rPr>
          <w:rFonts w:ascii="Times New Roman" w:hAnsi="Times New Roman" w:cs="Times New Roman"/>
          <w:sz w:val="24"/>
        </w:rPr>
        <w:t xml:space="preserve">1. </w:t>
      </w:r>
      <w:r w:rsidR="002D7EDE" w:rsidRPr="00D07339">
        <w:rPr>
          <w:rFonts w:ascii="Times New Roman" w:hAnsi="Times New Roman" w:cs="Times New Roman"/>
          <w:sz w:val="24"/>
        </w:rPr>
        <w:tab/>
        <w:t>Kalhan SC, Kiliç I (1999) Carbohydrate as nutrient in the infant and child: range of acceptable intake. Eur J Clin Nutr 53 Suppl 1:S94-100. https://doi.org/10.1038/sj.ejcn.1600749</w:t>
      </w:r>
    </w:p>
    <w:p w14:paraId="5A8BB46C"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2. </w:t>
      </w:r>
      <w:r w:rsidRPr="00D07339">
        <w:rPr>
          <w:rFonts w:ascii="Times New Roman" w:hAnsi="Times New Roman" w:cs="Times New Roman"/>
          <w:sz w:val="24"/>
        </w:rPr>
        <w:tab/>
        <w:t>Jones MO, Pierro A, Hammond P, et al (1993) Glucose utilization in the surgical newborn infant receiving total parenteral nutrition. J Pediatr Surg 28:1121–1125. https://doi.org/10.1016/0022-3468(93)90144-a</w:t>
      </w:r>
    </w:p>
    <w:p w14:paraId="3C957744"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3. </w:t>
      </w:r>
      <w:r w:rsidRPr="00D07339">
        <w:rPr>
          <w:rFonts w:ascii="Times New Roman" w:hAnsi="Times New Roman" w:cs="Times New Roman"/>
          <w:sz w:val="24"/>
        </w:rPr>
        <w:tab/>
        <w:t>Joosten KFM, Kerklaan D, Verbruggen SCAT (2016) Nutritional support and the role of the stress response in critically ill children. Curr Opin Clin Nutr Metab Care 19:226–233. https://doi.org/10.1097/MCO.0000000000000268</w:t>
      </w:r>
    </w:p>
    <w:p w14:paraId="4D0D31FC"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4. </w:t>
      </w:r>
      <w:r w:rsidRPr="00D07339">
        <w:rPr>
          <w:rFonts w:ascii="Times New Roman" w:hAnsi="Times New Roman" w:cs="Times New Roman"/>
          <w:sz w:val="24"/>
        </w:rPr>
        <w:tab/>
        <w:t>Letton RW, Chwals WJ, Jamie A, Charles B (1995) Early postoperative alterations in infant energy use increase the risk of overfeeding. J Pediatr Surg 30:988–992; discussion 992-993. https://doi.org/10.1016/0022-3468(95)90327-5</w:t>
      </w:r>
    </w:p>
    <w:p w14:paraId="0E4378ED"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5. </w:t>
      </w:r>
      <w:r w:rsidRPr="00D07339">
        <w:rPr>
          <w:rFonts w:ascii="Times New Roman" w:hAnsi="Times New Roman" w:cs="Times New Roman"/>
          <w:sz w:val="24"/>
        </w:rPr>
        <w:tab/>
        <w:t>Tappy L, Schwarz JM, Schneiter P, et al (1998) Effects of isoenergetic glucose-based or lipid-based parenteral nutrition on glucose metabolism, de novo lipogenesis, and respiratory gas exchanges in critically ill patients. Crit Care Med 26:860–867. https://doi.org/10.1097/00003246-199805000-00018</w:t>
      </w:r>
    </w:p>
    <w:p w14:paraId="4D82D08C"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6. </w:t>
      </w:r>
      <w:r w:rsidRPr="00D07339">
        <w:rPr>
          <w:rFonts w:ascii="Times New Roman" w:hAnsi="Times New Roman" w:cs="Times New Roman"/>
          <w:sz w:val="24"/>
        </w:rPr>
        <w:tab/>
        <w:t>Tume LN, Valla FV, Joosten K, et al (2020) Nutritional support for children during critical illness: European Society of Pediatric and Neonatal Intensive Care (ESPNIC) metabolism, endocrine and nutrition section position statement and clinical recommendations. Intensive Care Med 46:411–425. https://doi.org/10.1007/s00134-019-05922-5</w:t>
      </w:r>
    </w:p>
    <w:p w14:paraId="2E876A65"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7. </w:t>
      </w:r>
      <w:r w:rsidRPr="00D07339">
        <w:rPr>
          <w:rFonts w:ascii="Times New Roman" w:hAnsi="Times New Roman" w:cs="Times New Roman"/>
          <w:sz w:val="24"/>
        </w:rPr>
        <w:tab/>
        <w:t>National Clinical Guideline Centre (2015) IV Fluids in Children: Intravenous Fluid Therapy in Children and Young People in Hospital. National Institute for Health and Care Excellence (UK), London</w:t>
      </w:r>
    </w:p>
    <w:p w14:paraId="1C096EDF"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8. </w:t>
      </w:r>
      <w:r w:rsidRPr="00D07339">
        <w:rPr>
          <w:rFonts w:ascii="Times New Roman" w:hAnsi="Times New Roman" w:cs="Times New Roman"/>
          <w:sz w:val="24"/>
        </w:rPr>
        <w:tab/>
        <w:t>Overview | Intravenous fluid therapy in children and young people in hospital | Guidance | NICE. https://www.nice.org.uk/guidance/ng29. Accessed 9 Apr 2022</w:t>
      </w:r>
    </w:p>
    <w:p w14:paraId="30EF341C"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9. </w:t>
      </w:r>
      <w:r w:rsidRPr="00D07339">
        <w:rPr>
          <w:rFonts w:ascii="Times New Roman" w:hAnsi="Times New Roman" w:cs="Times New Roman"/>
          <w:sz w:val="24"/>
        </w:rPr>
        <w:tab/>
        <w:t>Chen L, Li T, Fang F, et al (2018) Tight glycemic control in critically ill pediatric patients: a systematic review and meta-analysis. Crit Care 22:57. https://doi.org/10.1186/s13054-018-1976-2</w:t>
      </w:r>
    </w:p>
    <w:p w14:paraId="63AEDA81"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lastRenderedPageBreak/>
        <w:t xml:space="preserve">10. </w:t>
      </w:r>
      <w:r w:rsidRPr="00D07339">
        <w:rPr>
          <w:rFonts w:ascii="Times New Roman" w:hAnsi="Times New Roman" w:cs="Times New Roman"/>
          <w:sz w:val="24"/>
        </w:rPr>
        <w:tab/>
        <w:t>Beardsall K, Vanhaesebrouck S, Ogilvy-Stuart AL, et al (2008) Early insulin therapy in very-low-birth-weight infants. N Engl J Med 359:1873–1884. https://doi.org/10.1056/NEJMoa0803725</w:t>
      </w:r>
    </w:p>
    <w:p w14:paraId="460179E1"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11. </w:t>
      </w:r>
      <w:r w:rsidRPr="00D07339">
        <w:rPr>
          <w:rFonts w:ascii="Times New Roman" w:hAnsi="Times New Roman" w:cs="Times New Roman"/>
          <w:sz w:val="24"/>
        </w:rPr>
        <w:tab/>
        <w:t>Morice C, Alsohime F, Mayberry H, et al (2022) Intravenous maintenance fluid therapy practice in the pediatric acute and critical care settings: a European and Middle Eastern survey. Eur J Pediatr. https://doi.org/10.1007/s00431-022-04467-y</w:t>
      </w:r>
    </w:p>
    <w:p w14:paraId="41AD7F9C"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12. </w:t>
      </w:r>
      <w:r w:rsidRPr="00D07339">
        <w:rPr>
          <w:rFonts w:ascii="Times New Roman" w:hAnsi="Times New Roman" w:cs="Times New Roman"/>
          <w:sz w:val="24"/>
        </w:rPr>
        <w:tab/>
        <w:t>Moltu SJ, Bronsky J, Embleton N, et al (2021) Nutritional Management of the Critically Ill Neonate: A Position Paper of the ESPGHAN Committee on Nutrition. J Pediatr Gastroenterol Nutr 73:274–289. https://doi.org/10.1097/MPG.0000000000003076</w:t>
      </w:r>
    </w:p>
    <w:p w14:paraId="38055977"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13. </w:t>
      </w:r>
      <w:r w:rsidRPr="00D07339">
        <w:rPr>
          <w:rFonts w:ascii="Times New Roman" w:hAnsi="Times New Roman" w:cs="Times New Roman"/>
          <w:sz w:val="24"/>
        </w:rPr>
        <w:tab/>
        <w:t>Mesotten D, Joosten K, van Kempen A, et al (2018) ESPGHAN/ESPEN/ESPR/CSPEN guidelines on pediatric parenteral nutrition: Carbohydrates. Clin Nutr Edinb Scotl 37:2337–2343. https://doi.org/10.1016/j.clnu.2018.06.947</w:t>
      </w:r>
    </w:p>
    <w:p w14:paraId="4046033F"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14. </w:t>
      </w:r>
      <w:r w:rsidRPr="00D07339">
        <w:rPr>
          <w:rFonts w:ascii="Times New Roman" w:hAnsi="Times New Roman" w:cs="Times New Roman"/>
          <w:sz w:val="24"/>
        </w:rPr>
        <w:tab/>
        <w:t>Sümpelmann R, Mader T, Dennhardt N, et al (2011) A novel isotonic balanced electrolyte solution with 1% glucose for intraoperative fluid therapy in neonates: results of a prospective multicentre observational postauthorisation safety study (PASS). Pediatr Anesth 21:1114–1118. https://doi.org/10.1111/j.1460-9592.2011.03610.x</w:t>
      </w:r>
    </w:p>
    <w:p w14:paraId="58F759A2"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15. </w:t>
      </w:r>
      <w:r w:rsidRPr="00D07339">
        <w:rPr>
          <w:rFonts w:ascii="Times New Roman" w:hAnsi="Times New Roman" w:cs="Times New Roman"/>
          <w:sz w:val="24"/>
        </w:rPr>
        <w:tab/>
        <w:t>de Betue CTI, Verbruggen SCAT, Schierbeek H, et al (2012) Does a reduced glucose intake prevent hyperglycemia in children early after cardiac surgery? a randomized controlled crossover study. Crit Care Lond Engl 16:R176. https://doi.org/10.1186/cc11658</w:t>
      </w:r>
    </w:p>
    <w:p w14:paraId="24367C36"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16. </w:t>
      </w:r>
      <w:r w:rsidRPr="00D07339">
        <w:rPr>
          <w:rFonts w:ascii="Times New Roman" w:hAnsi="Times New Roman" w:cs="Times New Roman"/>
          <w:sz w:val="24"/>
        </w:rPr>
        <w:tab/>
        <w:t>Martínez Carapeto I, López Castilla JD, Fresneda Gutiérrez R (2018) [A comparison of post-surgical plasma glucose levels in patients on fluids with different glucose concentrations]. An Pediatr 89:98–103. https://doi.org/10.1016/j.anpedi.2017.10.002</w:t>
      </w:r>
    </w:p>
    <w:p w14:paraId="5947EDB8"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17. </w:t>
      </w:r>
      <w:r w:rsidRPr="00D07339">
        <w:rPr>
          <w:rFonts w:ascii="Times New Roman" w:hAnsi="Times New Roman" w:cs="Times New Roman"/>
          <w:sz w:val="24"/>
        </w:rPr>
        <w:tab/>
        <w:t>Verbruggen SCAT, de Betue CTI, Schierbeek H, et al (2011) Reducing glucose infusion safely prevents hyperglycemia in post-surgical children. Clin Nutr Edinb Scotl 30:786–792. https://doi.org/10.1016/j.clnu.2011.05.011</w:t>
      </w:r>
    </w:p>
    <w:p w14:paraId="37779E56"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18. </w:t>
      </w:r>
      <w:r w:rsidRPr="00D07339">
        <w:rPr>
          <w:rFonts w:ascii="Times New Roman" w:hAnsi="Times New Roman" w:cs="Times New Roman"/>
          <w:sz w:val="24"/>
        </w:rPr>
        <w:tab/>
        <w:t>Lex DJ, Szántó P, Breuer T, et al (2014) Impact of the insulin and glucose content of the postoperative ﬂuid on the outcome after pediatric cardiac surgery. 10</w:t>
      </w:r>
    </w:p>
    <w:p w14:paraId="030211B4"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19. </w:t>
      </w:r>
      <w:r w:rsidRPr="00D07339">
        <w:rPr>
          <w:rFonts w:ascii="Times New Roman" w:hAnsi="Times New Roman" w:cs="Times New Roman"/>
          <w:sz w:val="24"/>
        </w:rPr>
        <w:tab/>
        <w:t>Marino LV, Chaparro CJ, Moullet C (2020) Refeeding syndrome and other related issues in the paediatric intensive care unit. Pediatr Med 3:. https://doi.org/10.21037/pm-20-59</w:t>
      </w:r>
    </w:p>
    <w:p w14:paraId="016DCC4F"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20. </w:t>
      </w:r>
      <w:r w:rsidRPr="00D07339">
        <w:rPr>
          <w:rFonts w:ascii="Times New Roman" w:hAnsi="Times New Roman" w:cs="Times New Roman"/>
          <w:sz w:val="24"/>
        </w:rPr>
        <w:tab/>
        <w:t>Mihatsch WA, Braegger C, Bronsky J, et al (2018) ESPGHAN/ESPEN/ESPR/CSPEN guidelines on pediatric parenteral nutrition. Clin Nutr Edinb Scotl 37:2303–2305. https://doi.org/10.1016/j.clnu.2018.05.029</w:t>
      </w:r>
    </w:p>
    <w:p w14:paraId="6C43A2BA"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21. </w:t>
      </w:r>
      <w:r w:rsidRPr="00D07339">
        <w:rPr>
          <w:rFonts w:ascii="Times New Roman" w:hAnsi="Times New Roman" w:cs="Times New Roman"/>
          <w:sz w:val="24"/>
        </w:rPr>
        <w:tab/>
        <w:t>Jochum F, Moltu SJ, Senterre T, et al (2018) ESPGHAN/ESPEN/ESPR/CSPEN guidelines on pediatric parenteral nutrition: Fluid and electrolytes. Clin Nutr Edinb Scotl 37:2344–2353. https://doi.org/10.1016/j.clnu.2018.06.948</w:t>
      </w:r>
    </w:p>
    <w:p w14:paraId="79C6BAF6" w14:textId="77777777" w:rsidR="002D7EDE" w:rsidRPr="00D07339" w:rsidRDefault="002D7EDE" w:rsidP="002D7EDE">
      <w:pPr>
        <w:pStyle w:val="Bibliographie"/>
        <w:rPr>
          <w:rFonts w:ascii="Times New Roman" w:hAnsi="Times New Roman" w:cs="Times New Roman"/>
          <w:sz w:val="24"/>
        </w:rPr>
      </w:pPr>
      <w:r w:rsidRPr="00D07339">
        <w:rPr>
          <w:rFonts w:ascii="Times New Roman" w:hAnsi="Times New Roman" w:cs="Times New Roman"/>
          <w:sz w:val="24"/>
        </w:rPr>
        <w:t xml:space="preserve">22. </w:t>
      </w:r>
      <w:r w:rsidRPr="00D07339">
        <w:rPr>
          <w:rFonts w:ascii="Times New Roman" w:hAnsi="Times New Roman" w:cs="Times New Roman"/>
          <w:sz w:val="24"/>
        </w:rPr>
        <w:tab/>
        <w:t>Holliday MA, Segar WE (1957) The maintenance need for water in parenteral fluid therapy. Pediatrics 19:823–832</w:t>
      </w:r>
    </w:p>
    <w:p w14:paraId="7F70C89F" w14:textId="2E342D72" w:rsidR="00B2600B" w:rsidRPr="00313EC9" w:rsidRDefault="00881E7D">
      <w:pPr>
        <w:spacing w:before="120" w:after="120" w:line="240" w:lineRule="auto"/>
        <w:jc w:val="both"/>
        <w:rPr>
          <w:rFonts w:ascii="Times New Roman" w:eastAsia="Arial" w:hAnsi="Times New Roman" w:cs="Times New Roman"/>
          <w:sz w:val="24"/>
          <w:szCs w:val="24"/>
          <w:lang w:val="en-GB"/>
        </w:rPr>
      </w:pPr>
      <w:r w:rsidRPr="00D07339">
        <w:rPr>
          <w:rFonts w:ascii="Times New Roman" w:eastAsia="Arial" w:hAnsi="Times New Roman" w:cs="Times New Roman"/>
          <w:sz w:val="24"/>
          <w:szCs w:val="24"/>
          <w:lang w:val="en-GB"/>
        </w:rPr>
        <w:lastRenderedPageBreak/>
        <w:fldChar w:fldCharType="end"/>
      </w:r>
    </w:p>
    <w:sectPr w:rsidR="00B2600B" w:rsidRPr="00313EC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028F6" w14:textId="77777777" w:rsidR="00D82032" w:rsidRDefault="00D82032">
      <w:pPr>
        <w:spacing w:after="0" w:line="240" w:lineRule="auto"/>
      </w:pPr>
      <w:r>
        <w:separator/>
      </w:r>
    </w:p>
  </w:endnote>
  <w:endnote w:type="continuationSeparator" w:id="0">
    <w:p w14:paraId="247F7EB0" w14:textId="77777777" w:rsidR="00D82032" w:rsidRDefault="00D82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4A4DE" w14:textId="77777777" w:rsidR="00D82032" w:rsidRDefault="00D82032">
      <w:pPr>
        <w:spacing w:after="0" w:line="240" w:lineRule="auto"/>
      </w:pPr>
      <w:r>
        <w:separator/>
      </w:r>
    </w:p>
  </w:footnote>
  <w:footnote w:type="continuationSeparator" w:id="0">
    <w:p w14:paraId="655BB164" w14:textId="77777777" w:rsidR="00D82032" w:rsidRDefault="00D82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D63"/>
    <w:multiLevelType w:val="hybridMultilevel"/>
    <w:tmpl w:val="0DA616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7F298F"/>
    <w:multiLevelType w:val="multilevel"/>
    <w:tmpl w:val="F5CC2EB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EF0E47"/>
    <w:multiLevelType w:val="multilevel"/>
    <w:tmpl w:val="316A2466"/>
    <w:lvl w:ilvl="0">
      <w:start w:val="1"/>
      <w:numFmt w:val="decimal"/>
      <w:pStyle w:val="Titre1"/>
      <w:lvlText w:val="%1."/>
      <w:lvlJc w:val="left"/>
      <w:pPr>
        <w:ind w:left="360" w:hanging="360"/>
      </w:pPr>
      <w:rPr>
        <w:b/>
        <w:u w:val="singl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41534034">
    <w:abstractNumId w:val="1"/>
  </w:num>
  <w:num w:numId="2" w16cid:durableId="1651906171">
    <w:abstractNumId w:val="2"/>
  </w:num>
  <w:num w:numId="3" w16cid:durableId="501940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712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BB6"/>
    <w:rsid w:val="00000B39"/>
    <w:rsid w:val="0004316D"/>
    <w:rsid w:val="00082719"/>
    <w:rsid w:val="00091261"/>
    <w:rsid w:val="000955CA"/>
    <w:rsid w:val="00095EB8"/>
    <w:rsid w:val="000D4BB6"/>
    <w:rsid w:val="000E575B"/>
    <w:rsid w:val="00103CA9"/>
    <w:rsid w:val="00184099"/>
    <w:rsid w:val="00190AEC"/>
    <w:rsid w:val="00194623"/>
    <w:rsid w:val="001F509A"/>
    <w:rsid w:val="0023589E"/>
    <w:rsid w:val="002B2053"/>
    <w:rsid w:val="002C07AD"/>
    <w:rsid w:val="002D7EDE"/>
    <w:rsid w:val="00313EC9"/>
    <w:rsid w:val="0032651F"/>
    <w:rsid w:val="003502D9"/>
    <w:rsid w:val="0037775B"/>
    <w:rsid w:val="00391426"/>
    <w:rsid w:val="003A17C5"/>
    <w:rsid w:val="003C6D37"/>
    <w:rsid w:val="003D3B09"/>
    <w:rsid w:val="003D4100"/>
    <w:rsid w:val="00425501"/>
    <w:rsid w:val="004471FA"/>
    <w:rsid w:val="004565FD"/>
    <w:rsid w:val="0048154A"/>
    <w:rsid w:val="004B6D74"/>
    <w:rsid w:val="004C085F"/>
    <w:rsid w:val="004E2DB4"/>
    <w:rsid w:val="00505B36"/>
    <w:rsid w:val="0051482E"/>
    <w:rsid w:val="0056201D"/>
    <w:rsid w:val="00586AF9"/>
    <w:rsid w:val="00595608"/>
    <w:rsid w:val="005E7544"/>
    <w:rsid w:val="00603FDE"/>
    <w:rsid w:val="0062750D"/>
    <w:rsid w:val="00650A88"/>
    <w:rsid w:val="00660F87"/>
    <w:rsid w:val="006A17FA"/>
    <w:rsid w:val="006C09C5"/>
    <w:rsid w:val="006E1C03"/>
    <w:rsid w:val="006F21A7"/>
    <w:rsid w:val="00713175"/>
    <w:rsid w:val="0074001C"/>
    <w:rsid w:val="0077295E"/>
    <w:rsid w:val="007915AF"/>
    <w:rsid w:val="007A62D0"/>
    <w:rsid w:val="007B6AAB"/>
    <w:rsid w:val="00822247"/>
    <w:rsid w:val="0083344D"/>
    <w:rsid w:val="0085134C"/>
    <w:rsid w:val="00881E7D"/>
    <w:rsid w:val="00892F3E"/>
    <w:rsid w:val="008F5234"/>
    <w:rsid w:val="00917CF5"/>
    <w:rsid w:val="00936DFE"/>
    <w:rsid w:val="00961C1C"/>
    <w:rsid w:val="00970ACC"/>
    <w:rsid w:val="00977234"/>
    <w:rsid w:val="00977D39"/>
    <w:rsid w:val="009A08DC"/>
    <w:rsid w:val="009B5065"/>
    <w:rsid w:val="009D21DB"/>
    <w:rsid w:val="009D6789"/>
    <w:rsid w:val="009E7A76"/>
    <w:rsid w:val="009F3ABD"/>
    <w:rsid w:val="00A25D01"/>
    <w:rsid w:val="00A379F6"/>
    <w:rsid w:val="00A52A63"/>
    <w:rsid w:val="00A578FF"/>
    <w:rsid w:val="00A77559"/>
    <w:rsid w:val="00A85475"/>
    <w:rsid w:val="00A96337"/>
    <w:rsid w:val="00AC093C"/>
    <w:rsid w:val="00AD1628"/>
    <w:rsid w:val="00AD2655"/>
    <w:rsid w:val="00AE0833"/>
    <w:rsid w:val="00AF214D"/>
    <w:rsid w:val="00B115A4"/>
    <w:rsid w:val="00B2600B"/>
    <w:rsid w:val="00B43A1D"/>
    <w:rsid w:val="00B70C34"/>
    <w:rsid w:val="00B70F75"/>
    <w:rsid w:val="00BA1B37"/>
    <w:rsid w:val="00BB3A81"/>
    <w:rsid w:val="00BE38EA"/>
    <w:rsid w:val="00C16025"/>
    <w:rsid w:val="00C35E4B"/>
    <w:rsid w:val="00C40DF1"/>
    <w:rsid w:val="00C53EF2"/>
    <w:rsid w:val="00CA08EF"/>
    <w:rsid w:val="00CA5E66"/>
    <w:rsid w:val="00CF5C77"/>
    <w:rsid w:val="00D07339"/>
    <w:rsid w:val="00D14B0A"/>
    <w:rsid w:val="00D2008F"/>
    <w:rsid w:val="00D52FDD"/>
    <w:rsid w:val="00D64E1D"/>
    <w:rsid w:val="00D72324"/>
    <w:rsid w:val="00D82032"/>
    <w:rsid w:val="00DB3D05"/>
    <w:rsid w:val="00DE318C"/>
    <w:rsid w:val="00E16AB8"/>
    <w:rsid w:val="00E17521"/>
    <w:rsid w:val="00E40CC9"/>
    <w:rsid w:val="00E67075"/>
    <w:rsid w:val="00E673BF"/>
    <w:rsid w:val="00EA3AAE"/>
    <w:rsid w:val="00F01625"/>
    <w:rsid w:val="00F15AF5"/>
    <w:rsid w:val="00F21F2D"/>
    <w:rsid w:val="00F37ECC"/>
    <w:rsid w:val="00F71F0E"/>
    <w:rsid w:val="00F74920"/>
    <w:rsid w:val="00F84070"/>
    <w:rsid w:val="00FE0BD5"/>
    <w:rsid w:val="00FF0383"/>
    <w:rsid w:val="00FF65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8A6B"/>
  <w15:docId w15:val="{6697EDF8-961F-4E31-BBCA-2EFE62A4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B70F75"/>
    <w:pPr>
      <w:numPr>
        <w:numId w:val="2"/>
      </w:numPr>
      <w:pBdr>
        <w:top w:val="nil"/>
        <w:left w:val="nil"/>
        <w:bottom w:val="nil"/>
        <w:right w:val="nil"/>
        <w:between w:val="nil"/>
      </w:pBdr>
      <w:spacing w:before="120" w:after="120" w:line="360" w:lineRule="auto"/>
      <w:jc w:val="both"/>
      <w:outlineLvl w:val="0"/>
    </w:pPr>
    <w:rPr>
      <w:rFonts w:ascii="Times New Roman" w:eastAsia="Arial" w:hAnsi="Times New Roman" w:cs="Times New Roman"/>
      <w:b/>
      <w:color w:val="808080" w:themeColor="background1" w:themeShade="80"/>
      <w:sz w:val="24"/>
      <w:szCs w:val="24"/>
      <w:u w:val="single"/>
      <w:lang w:val="en-GB"/>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paragraph" w:styleId="Paragraphedeliste">
    <w:name w:val="List Paragraph"/>
    <w:basedOn w:val="Normal"/>
    <w:uiPriority w:val="34"/>
    <w:qFormat/>
    <w:rsid w:val="00621A09"/>
    <w:pPr>
      <w:ind w:left="720"/>
      <w:contextualSpacing/>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Grilledutableau">
    <w:name w:val="Table Grid"/>
    <w:basedOn w:val="TableauNormal"/>
    <w:uiPriority w:val="39"/>
    <w:rsid w:val="002B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30276"/>
    <w:pPr>
      <w:tabs>
        <w:tab w:val="center" w:pos="4536"/>
        <w:tab w:val="right" w:pos="9072"/>
      </w:tabs>
      <w:spacing w:after="0" w:line="240" w:lineRule="auto"/>
    </w:pPr>
  </w:style>
  <w:style w:type="character" w:customStyle="1" w:styleId="En-tteCar">
    <w:name w:val="En-tête Car"/>
    <w:basedOn w:val="Policepardfaut"/>
    <w:link w:val="En-tte"/>
    <w:uiPriority w:val="99"/>
    <w:rsid w:val="00930276"/>
  </w:style>
  <w:style w:type="paragraph" w:styleId="Pieddepage">
    <w:name w:val="footer"/>
    <w:basedOn w:val="Normal"/>
    <w:link w:val="PieddepageCar"/>
    <w:uiPriority w:val="99"/>
    <w:unhideWhenUsed/>
    <w:rsid w:val="009302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0276"/>
  </w:style>
  <w:style w:type="character" w:customStyle="1" w:styleId="apple-converted-space">
    <w:name w:val="apple-converted-space"/>
    <w:basedOn w:val="Policepardfaut"/>
    <w:rsid w:val="00D454D4"/>
  </w:style>
  <w:style w:type="character" w:styleId="Marquedecommentaire">
    <w:name w:val="annotation reference"/>
    <w:basedOn w:val="Policepardfaut"/>
    <w:uiPriority w:val="99"/>
    <w:semiHidden/>
    <w:unhideWhenUsed/>
    <w:rsid w:val="00041125"/>
    <w:rPr>
      <w:sz w:val="16"/>
      <w:szCs w:val="16"/>
    </w:rPr>
  </w:style>
  <w:style w:type="paragraph" w:styleId="Commentaire">
    <w:name w:val="annotation text"/>
    <w:basedOn w:val="Normal"/>
    <w:link w:val="CommentaireCar"/>
    <w:uiPriority w:val="99"/>
    <w:unhideWhenUsed/>
    <w:rsid w:val="00041125"/>
    <w:pPr>
      <w:spacing w:line="240" w:lineRule="auto"/>
    </w:pPr>
    <w:rPr>
      <w:sz w:val="20"/>
      <w:szCs w:val="20"/>
    </w:rPr>
  </w:style>
  <w:style w:type="character" w:customStyle="1" w:styleId="CommentaireCar">
    <w:name w:val="Commentaire Car"/>
    <w:basedOn w:val="Policepardfaut"/>
    <w:link w:val="Commentaire"/>
    <w:uiPriority w:val="99"/>
    <w:rsid w:val="00041125"/>
    <w:rPr>
      <w:sz w:val="20"/>
      <w:szCs w:val="20"/>
    </w:rPr>
  </w:style>
  <w:style w:type="paragraph" w:styleId="Objetducommentaire">
    <w:name w:val="annotation subject"/>
    <w:basedOn w:val="Commentaire"/>
    <w:next w:val="Commentaire"/>
    <w:link w:val="ObjetducommentaireCar"/>
    <w:uiPriority w:val="99"/>
    <w:semiHidden/>
    <w:unhideWhenUsed/>
    <w:rsid w:val="00041125"/>
    <w:rPr>
      <w:b/>
      <w:bCs/>
    </w:rPr>
  </w:style>
  <w:style w:type="character" w:customStyle="1" w:styleId="ObjetducommentaireCar">
    <w:name w:val="Objet du commentaire Car"/>
    <w:basedOn w:val="CommentaireCar"/>
    <w:link w:val="Objetducommentaire"/>
    <w:uiPriority w:val="99"/>
    <w:semiHidden/>
    <w:rsid w:val="00041125"/>
    <w:rPr>
      <w:b/>
      <w:bCs/>
      <w:sz w:val="20"/>
      <w:szCs w:val="20"/>
    </w:rPr>
  </w:style>
  <w:style w:type="paragraph" w:styleId="Textedebulles">
    <w:name w:val="Balloon Text"/>
    <w:basedOn w:val="Normal"/>
    <w:link w:val="TextedebullesCar"/>
    <w:uiPriority w:val="99"/>
    <w:semiHidden/>
    <w:unhideWhenUsed/>
    <w:rsid w:val="00247C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7C66"/>
    <w:rPr>
      <w:rFonts w:ascii="Segoe UI" w:hAnsi="Segoe UI" w:cs="Segoe UI"/>
      <w:sz w:val="18"/>
      <w:szCs w:val="18"/>
    </w:rPr>
  </w:style>
  <w:style w:type="paragraph" w:styleId="NormalWeb">
    <w:name w:val="Normal (Web)"/>
    <w:basedOn w:val="Normal"/>
    <w:uiPriority w:val="99"/>
    <w:semiHidden/>
    <w:unhideWhenUsed/>
    <w:rsid w:val="008D5269"/>
    <w:pPr>
      <w:spacing w:before="100" w:beforeAutospacing="1" w:after="100" w:afterAutospacing="1" w:line="240" w:lineRule="auto"/>
    </w:pPr>
    <w:rPr>
      <w:rFonts w:ascii="Times New Roman" w:eastAsia="Times New Roman" w:hAnsi="Times New Roman" w:cs="Times New Roman"/>
      <w:sz w:val="24"/>
      <w:szCs w:val="24"/>
      <w:lang w:val="fr-CH"/>
    </w:rPr>
  </w:style>
  <w:style w:type="paragraph" w:styleId="Rvision">
    <w:name w:val="Revision"/>
    <w:hidden/>
    <w:uiPriority w:val="99"/>
    <w:semiHidden/>
    <w:rsid w:val="004565FD"/>
    <w:pPr>
      <w:spacing w:after="0" w:line="240" w:lineRule="auto"/>
    </w:pPr>
  </w:style>
  <w:style w:type="paragraph" w:styleId="Bibliographie">
    <w:name w:val="Bibliography"/>
    <w:basedOn w:val="Normal"/>
    <w:next w:val="Normal"/>
    <w:uiPriority w:val="37"/>
    <w:unhideWhenUsed/>
    <w:rsid w:val="00881E7D"/>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aA4pJlh96xgbHhrr57ixmHF/dw==">AMUW2mWQ6Bfw10CQUmL7GTl9wqsnydSNRqwtYGliRIre0uAxlaqyjDXRSa1tqsU1nWm0zWYbskVD9uTtfHR+yxEbKQ+/ZDZGkLVaEnBk2ay6IERln2sWnGXF0mBk7yY/wvD4rvKSla1a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18715</Words>
  <Characters>102937</Characters>
  <Application>Microsoft Office Word</Application>
  <DocSecurity>0</DocSecurity>
  <Lines>857</Lines>
  <Paragraphs>242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VALLA, Frederic</dc:creator>
  <cp:lastModifiedBy>frederic valla</cp:lastModifiedBy>
  <cp:revision>3</cp:revision>
  <dcterms:created xsi:type="dcterms:W3CDTF">2022-08-22T08:38:00Z</dcterms:created>
  <dcterms:modified xsi:type="dcterms:W3CDTF">2022-08-22T08:38:00Z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ZOTERO_PREF_1">
    <vt:lpwstr>&lt;data data-version="3" zotero-version="6.0.8"&gt;&lt;session id="Y7fKk5nO"/&gt;&lt;style id="http://www.zotero.org/styles/intensive-care-medicine" hasBibliography="1" bibliographyStyleHasBeenSet="1"/&gt;&lt;prefs&gt;&lt;pref name="fieldType" value="Field"/&gt;&lt;pref name="automaticJ</vt:lpwstr>
  </property>
  <property fmtid="{D5CDD505-2E9C-101B-9397-08002B2CF9AE}" pid="4" name="ZOTERO_PREF_2">
    <vt:lpwstr>ournalAbbreviations" value="true"/&gt;&lt;/prefs&gt;&lt;/data&gt;</vt:lpwstr>
  </property>
</Properties>
</file>