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F8F3D" w14:textId="2E4F0DB3" w:rsidR="00117637" w:rsidRPr="00076637" w:rsidRDefault="00D57C7E" w:rsidP="00456DF3">
      <w:pPr>
        <w:jc w:val="both"/>
        <w:rPr>
          <w:rFonts w:ascii="Times New Roman" w:eastAsia="Times New Roman" w:hAnsi="Times New Roman" w:cs="Times New Roman"/>
          <w:b/>
          <w:sz w:val="24"/>
          <w:szCs w:val="24"/>
        </w:rPr>
      </w:pPr>
      <w:r w:rsidRPr="00076637">
        <w:rPr>
          <w:rFonts w:ascii="Times New Roman" w:eastAsia="Times New Roman" w:hAnsi="Times New Roman" w:cs="Times New Roman"/>
          <w:b/>
          <w:sz w:val="24"/>
          <w:szCs w:val="24"/>
        </w:rPr>
        <w:t>PiCO 5</w:t>
      </w:r>
      <w:r w:rsidR="00505C11" w:rsidRPr="00076637">
        <w:rPr>
          <w:rFonts w:ascii="Times New Roman" w:eastAsia="Times New Roman" w:hAnsi="Times New Roman" w:cs="Times New Roman"/>
          <w:b/>
          <w:sz w:val="24"/>
          <w:szCs w:val="24"/>
        </w:rPr>
        <w:t xml:space="preserve"> long rationale</w:t>
      </w:r>
      <w:r w:rsidRPr="00076637">
        <w:rPr>
          <w:rFonts w:ascii="Times New Roman" w:eastAsia="Times New Roman" w:hAnsi="Times New Roman" w:cs="Times New Roman"/>
          <w:b/>
          <w:sz w:val="24"/>
          <w:szCs w:val="24"/>
        </w:rPr>
        <w:t>: Does the use of a restrictive fluid volume therapy versus a standard fluid volume therapy impact outcome in acute</w:t>
      </w:r>
      <w:r w:rsidR="00456DF3" w:rsidRPr="00076637">
        <w:rPr>
          <w:rFonts w:ascii="Times New Roman" w:eastAsia="Times New Roman" w:hAnsi="Times New Roman" w:cs="Times New Roman"/>
          <w:b/>
          <w:sz w:val="24"/>
          <w:szCs w:val="24"/>
        </w:rPr>
        <w:t>ly</w:t>
      </w:r>
      <w:r w:rsidRPr="00076637">
        <w:rPr>
          <w:rFonts w:ascii="Times New Roman" w:eastAsia="Times New Roman" w:hAnsi="Times New Roman" w:cs="Times New Roman"/>
          <w:b/>
          <w:sz w:val="24"/>
          <w:szCs w:val="24"/>
        </w:rPr>
        <w:t xml:space="preserve"> and critically ill children? </w:t>
      </w:r>
    </w:p>
    <w:p w14:paraId="6914B6CB" w14:textId="77777777" w:rsidR="00456DF3" w:rsidRPr="00076637" w:rsidRDefault="00456DF3" w:rsidP="00456DF3">
      <w:pPr>
        <w:pStyle w:val="Titre1"/>
        <w:rPr>
          <w:lang w:val="en-US"/>
        </w:rPr>
      </w:pPr>
      <w:r w:rsidRPr="00076637">
        <w:rPr>
          <w:lang w:val="en-US"/>
        </w:rPr>
        <w:t xml:space="preserve">Background and Pathophysiology </w:t>
      </w:r>
    </w:p>
    <w:p w14:paraId="277F8F40" w14:textId="7F9B615E"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The prescription of intravenous fluids (IV) represents one of the most common therapies administered in acute and critically ill children</w:t>
      </w:r>
      <w:r w:rsidR="00D779B6" w:rsidRPr="00076637">
        <w:rPr>
          <w:rFonts w:ascii="Times New Roman" w:eastAsia="Times New Roman" w:hAnsi="Times New Roman" w:cs="Times New Roman"/>
          <w:sz w:val="24"/>
          <w:szCs w:val="24"/>
        </w:rPr>
        <w:t xml:space="preserve"> </w:t>
      </w:r>
      <w:r w:rsidR="002816CE"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{"citationID":"yJq0PnoF","properties":{"formattedCitation":"[1, 2]","plainCitation":"[1, 2]","noteIndex":0},"citationItems":[{"id":"7qGQlw7Y/8k3burwY","uris":["http://zotero.org/users/874466/items/N2LYNX8X"],"itemData":{"id":36137,"type":"article-journal","abstract":"BACKGROUND: Intensive Care Medicine set us the task of outlining a global clinical research agenda for paediatric intensive care (PIC). In line with the clinical focus of this journal, we have limited this to research that may directly influence patient care.\nMETHODS: Clinician researchers from PIC research networks of varying degrees of formality from around the world were invited to answer two main questions: (1) What have been the major recent advances in paediatric critical care research? (2) What are the top 10 studies for the next 10 years?\nRESULTS: (1) Inclusive databases are well established in many countries. These registries allow detailed observational studies and feasibility testing of clinical trial protocols. Recent trials are larger and more valuable, and (2) most common interventions in PIC are not evidenced-based. Clinical studies for the next 10 years should address this deficit, including: ventilation techniques and interfaces; fluid, transfusion and feeding strategies; optimal targets for vital signs; multiple organ failure definitions, mechanisms and treatments; trauma, prevention and treatment; improving safety; comfort of the patient and their family; appropriate care in the face of medical complexity; defining post-PICU outcomes; and improving knowledge generation and adoption, with novel trial design and implementation strategies. The group specifically highlighted the need for research in resource-limited environments wherein mortality remains often tenfold higher than in well-resourced settings.\nCONCLUSION: Paediatric intensive care research has never been healthier, but many gaps in knowledge remain. We need to close these urgently. The impact of new knowledge will be greatest in resource-limited environments.","container-title":"Intensive Care Medicine","DOI":"10.1007/s00134-017-4729-9","ISSN":"1432-1238","issue":"9","journalAbbreviation":"Intensive Care Med","language":"eng","note":"PMID: 28315043","page":"1210-1224","source":"PubMed","title":"The intensive care medicine clinical research agenda in paediatrics","volume":"43","author":[{"family":"Peters","given":"Mark J."},{"family":"Argent","given":"Andrew"},{"family":"Festa","given":"Marino"},{"family":"Leteurtre","given":"Stéphane"},{"family":"Piva","given":"Jefferson"},{"family":"Thompson","given":"Ann"},{"family":"Willson","given":"Douglas"},{"family":"Tissières","given":"Pierre"},{"family":"Tucci","given":"Marisa"},{"family":"Lacroix","given":"Jacques"}],"issued":{"date-parts":[["2017",9]]}},"label":"page"},{"id":"7qGQlw7Y/mHAVHUM2","uris":["http://zotero.org/users/874466/items/BNW2YIRW"],"itemData":{"id":36140,"type":"article-journal","abstract":"Background\nIntravenous fluid therapy represents the most common intervention critically ill patients are exposed to. Hyperchloremia and metabolic acidosis associated with 0.9% sodium chloride have been observed to lead to worse outcomes, including mortality. Balanced solutions, such as Plasma-Lyte 148 and Compound Sodium Lactate, represent potential alternatives but the evidence on optimal fluid choices in critically ill children remains scarce. This study aims to demonstrate whether balanced solutions, when used as intravenous fluid therapy, are able to reduce the incidence of a rise in serum chloride level compared to 0.9% sodium chloride in critically ill children.\n\nMethods\nThis is a single-centre, open-label randomized controlled trial with parallel 1:1:1 assignment into three groups: 0.9% sodium chloride, Plasma-Lyte 148, and Compound Sodium Lactate solutions for intravenous fluid therapy. The intervention includes both maintenance and bolus fluid therapy. Children aged &lt; 16 years admitted to intensive care and receiving intravenous fluid therapy during the first 4 h of admission are eligible. The primary outcome measure is a ≥ 5mmol/L increase in serum chloride level within 48 h post-randomization. The enrolment target is 480 patients. The main analyses will be intention-to-treat.\n\nDiscussion\nThis study tests three types of intravenous fluid therapy in order to compare the risk of hyperchloremia associated with normal saline versus balanced solutions. This pragmatic study is thereby assessing the most common intervention in paediatric critical care., This is a single-centre open-label study with no blinding at the level of delivery of the intervention. Certain paediatric intensive care unit (PICU) patient groups such as those admitted with a cardiac condition or following a traumatic brain injury are excluded from this study.\n\nTrial registration\nThe study has received ethical approval (HREC/19/QCHQ/53177: 06/06/2019). It is registered in the Australian New Zealand Clinical Trials Registry (ACTRN12619001244190) from 9th September 2019. Recruitment commenced on 12th November 2019. The primary results manuscript will be published in a peer-reviewed journal.\n\nSupplementary Information\nThe online version contains supplementary material available at 10.1186/s13063-021-05376-5.","container-title":"Trials","DOI":"10.1186/s13063-021-05376-5","ISSN":"1745-6215","journalAbbreviation":"Trials","note":"PMID: 34217337\nPMCID: PMC8254328","page":"427","source":"PubMed Central","title":"0.9% Sodium chloride solution versus Plasma-Lyte 148 versus compound sodium lacTate solution in children admitted to PICU—a randomized controlled trial (SPLYT-P): study protocol for an intravenous fluid therapy trial","title-short":"0.9% Sodium chloride solution versus Plasma-Lyte 148 versus compound sodium lacTate solution in children admitted to PICU—a randomized controlled trial (SPLYT-P)","volume":"22","author":[{"family":"Raman","given":"Sainath"},{"family":"Schibler","given":"Andreas"},{"family":"Marsney","given":"Renate Le"},{"family":"Trnka","given":"Peter"},{"family":"Kennedy","given":"Melanie"},{"family":"Mattke","given":"Adrian"},{"family":"Gibbons","given":"Kristen"},{"family":"Schlapbach","given":"Luregn J."}],"issued":{"date-parts":[["2021",7,3]]}},"label":"page"}],"schema":"https://github.com/citation-style-language/schema/raw/master/csl-citation.json"} </w:instrText>
      </w:r>
      <w:r w:rsidR="002816CE"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[1, 2]</w:t>
      </w:r>
      <w:r w:rsidR="002816CE"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The physiological goal of maintenance IV fluids is to preserve the extracellular volume for tissue perfusion whilst maintaining a normal electrolyte balance. The ideal maintenance fluid regime should provide an adequate quantity of both water and electrolytes, resulting in a net zero balance to avoid fluid overload. </w:t>
      </w:r>
      <w:r w:rsidR="009B0A11" w:rsidRPr="00076637">
        <w:rPr>
          <w:rFonts w:ascii="Times New Roman" w:eastAsia="Times New Roman" w:hAnsi="Times New Roman" w:cs="Times New Roman"/>
          <w:sz w:val="24"/>
          <w:szCs w:val="24"/>
        </w:rPr>
        <w:t>The r</w:t>
      </w:r>
      <w:r w:rsidRPr="00076637">
        <w:rPr>
          <w:rFonts w:ascii="Times New Roman" w:eastAsia="Times New Roman" w:hAnsi="Times New Roman" w:cs="Times New Roman"/>
          <w:sz w:val="24"/>
          <w:szCs w:val="24"/>
        </w:rPr>
        <w:t xml:space="preserve">isks associated with fluid administration, </w:t>
      </w:r>
      <w:r w:rsidR="009B0A11" w:rsidRPr="00076637">
        <w:rPr>
          <w:rFonts w:ascii="Times New Roman" w:eastAsia="Times New Roman" w:hAnsi="Times New Roman" w:cs="Times New Roman"/>
          <w:sz w:val="24"/>
          <w:szCs w:val="24"/>
        </w:rPr>
        <w:t>if</w:t>
      </w:r>
      <w:r w:rsidRPr="00076637">
        <w:rPr>
          <w:rFonts w:ascii="Times New Roman" w:eastAsia="Times New Roman" w:hAnsi="Times New Roman" w:cs="Times New Roman"/>
          <w:sz w:val="24"/>
          <w:szCs w:val="24"/>
        </w:rPr>
        <w:t xml:space="preserve"> hypotonic fluids were administered provoking iatrogenic</w:t>
      </w:r>
      <w:r w:rsidR="00F96AA2"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sometimes fatal</w:t>
      </w:r>
      <w:r w:rsidR="00F96AA2" w:rsidRPr="00076637">
        <w:rPr>
          <w:rFonts w:ascii="Times New Roman" w:eastAsia="Times New Roman" w:hAnsi="Times New Roman" w:cs="Times New Roman"/>
          <w:sz w:val="24"/>
          <w:szCs w:val="24"/>
        </w:rPr>
        <w:t>)</w:t>
      </w:r>
      <w:r w:rsidRPr="00076637">
        <w:rPr>
          <w:rFonts w:ascii="Times New Roman" w:eastAsia="Times New Roman" w:hAnsi="Times New Roman" w:cs="Times New Roman"/>
          <w:sz w:val="24"/>
          <w:szCs w:val="24"/>
        </w:rPr>
        <w:t xml:space="preserve"> hyponatremia, have been known for several decades</w:t>
      </w:r>
      <w:r w:rsidR="000E1CD9" w:rsidRPr="00076637">
        <w:rPr>
          <w:rFonts w:ascii="Times New Roman" w:eastAsia="Times New Roman" w:hAnsi="Times New Roman" w:cs="Times New Roman"/>
          <w:sz w:val="24"/>
          <w:szCs w:val="24"/>
        </w:rPr>
        <w:t xml:space="preserve"> </w:t>
      </w:r>
      <w:r w:rsidR="000E1CD9"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{"citationID":"4RaRWimU","properties":{"formattedCitation":"[3]","plainCitation":"[3]","noteIndex":0},"citationItems":[{"id":"7qGQlw7Y/KLzhaxd4","uris":["http://zotero.org/users/874466/items/S77J9LRA"],"itemData":{"id":36143,"type":"article-journal","abstract":"OBJECTIVE: To develop hyponatremia (plasma sodium concentration [P(Na)] &lt;136 mmol/L), one needs a source of water input and antidiuretic hormone secretion release to diminish its excretion. The administration of hypotonic maintenance fluids is common practice in hospitalized children. The objective of this study was to identify risk factors for the development of hospital-acquired, acute hyponatremia in a tertiary care hospital using a retrospective analysis.\nMETHODS: All children who presented to the emergency department in a 3-month period and had at least 1 P(Na) measured (n = 1586) were evaluated. Those who were admitted were followed for the next 48 hours to identify patients with hospital-acquired hyponatremia. An age- and gender-matched case-control (1:3) analysis was performed with patients who did not become hyponatremic.\nRESULTS: Hyponatremia (P(Na) &lt;136 mmol/L) was documented in 131 of 1586 patients with &gt; or = 1 P(Na) measurements. Although 96 patients were hyponatremic on presentation, our study group consisted of 40 patients who developed hyponatremia in hospital. The case-control study showed that the patients in the hospital-acquired hyponatremia group received significantly more EFW and had a higher positive water balance. With respect to outcomes, 2 patients had major neurologic sequelae and 1 died.\nCONCLUSION: The most important factor for hospital-acquired hyponatremia is the administration of hypotonic fluid. We suggest that hypotonic fluid not be given to children when they have a P(Na) &lt;138 mmol/L.","container-title":"Pediatrics","DOI":"10.1542/peds.113.5.1279","ISSN":"1098-4275","issue":"5","journalAbbreviation":"Pediatrics","language":"eng","note":"PMID: 15121942","page":"1279-1284","source":"PubMed","title":"Acute hyponatremia related to intravenous fluid administration in hospitalized children: an observational study","title-short":"Acute hyponatremia related to intravenous fluid administration in hospitalized children","volume":"113","author":[{"family":"Hoorn","given":"Ewout J."},{"family":"Geary","given":"Denis"},{"family":"Robb","given":"Maryanne"},{"family":"Halperin","given":"Mitchell L."},{"family":"Bohn","given":"Desmond"}],"issued":{"date-parts":[["2004",5]]}}}],"schema":"https://github.com/citation-style-language/schema/raw/master/csl-citation.json"} </w:instrText>
      </w:r>
      <w:r w:rsidR="000E1CD9"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[3]</w:t>
      </w:r>
      <w:r w:rsidR="000E1CD9"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More recently, </w:t>
      </w:r>
      <w:r w:rsidR="009B0A11" w:rsidRPr="00076637">
        <w:rPr>
          <w:rFonts w:ascii="Times New Roman" w:eastAsia="Times New Roman" w:hAnsi="Times New Roman" w:cs="Times New Roman"/>
          <w:sz w:val="24"/>
          <w:szCs w:val="24"/>
        </w:rPr>
        <w:t xml:space="preserve">the </w:t>
      </w:r>
      <w:r w:rsidRPr="00076637">
        <w:rPr>
          <w:rFonts w:ascii="Times New Roman" w:eastAsia="Times New Roman" w:hAnsi="Times New Roman" w:cs="Times New Roman"/>
          <w:sz w:val="24"/>
          <w:szCs w:val="24"/>
        </w:rPr>
        <w:t>potential harm associated with fluid overload has been demonstrated for critically ill children</w:t>
      </w:r>
      <w:r w:rsidR="000E1CD9" w:rsidRPr="00076637">
        <w:rPr>
          <w:rFonts w:ascii="Times New Roman" w:eastAsia="Times New Roman" w:hAnsi="Times New Roman" w:cs="Times New Roman"/>
          <w:sz w:val="24"/>
          <w:szCs w:val="24"/>
        </w:rPr>
        <w:t xml:space="preserve"> </w:t>
      </w:r>
      <w:r w:rsidR="000E1CD9"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{"citationID":"pgH0b2xc","properties":{"formattedCitation":"[4]","plainCitation":"[4]","noteIndex":0},"citationItems":[{"id":"7qGQlw7Y/5oLWy2LG","uris":["http://zotero.org/users/874466/items/TLF3N5GP"],"itemData":{"id":36145,"type":"article-journal","abstract":"This systematic review and meta-analysis describes the methods to measure fluid balance, define fluid overload, and evaluate the association between fluid balance and outcomes in critically ill children.","container-title":"JAMA Pediatrics","DOI":"10.1001/jamapediatrics.2017.4540","ISSN":"2168-6203","issue":"3","journalAbbreviation":"JAMA Pediatr","note":"PMID: 29356810\nPMCID: PMC5885847","page":"257-268","source":"PubMed Central","title":"Association Between Fluid Balance and Outcomes in Critically Ill Children","volume":"172","author":[{"family":"Alobaidi","given":"Rashid"},{"family":"Morgan","given":"Catherine"},{"family":"Basu","given":"Rajit K."},{"family":"Stenson","given":"Erin"},{"family":"Featherstone","given":"Robin"},{"family":"Majumdar","given":"Sumit R."},{"family":"Bagshaw","given":"Sean M."}],"issued":{"date-parts":[["2018",3]]}}}],"schema":"https://github.com/citation-style-language/schema/raw/master/csl-citation.json"} </w:instrText>
      </w:r>
      <w:r w:rsidR="000E1CD9"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[4]</w:t>
      </w:r>
      <w:r w:rsidR="000E1CD9"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resulting in increased mortality, prolonged intensive care unit (ICU) stay, and </w:t>
      </w:r>
      <w:r w:rsidR="009B0A11" w:rsidRPr="00076637">
        <w:rPr>
          <w:rFonts w:ascii="Times New Roman" w:eastAsia="Times New Roman" w:hAnsi="Times New Roman" w:cs="Times New Roman"/>
          <w:sz w:val="24"/>
          <w:szCs w:val="24"/>
        </w:rPr>
        <w:t xml:space="preserve">an </w:t>
      </w:r>
      <w:r w:rsidRPr="00076637">
        <w:rPr>
          <w:rFonts w:ascii="Times New Roman" w:eastAsia="Times New Roman" w:hAnsi="Times New Roman" w:cs="Times New Roman"/>
          <w:sz w:val="24"/>
          <w:szCs w:val="24"/>
        </w:rPr>
        <w:t>increased rate of acute kidney injury</w:t>
      </w:r>
      <w:r w:rsidR="000E1CD9" w:rsidRPr="00076637">
        <w:rPr>
          <w:rFonts w:ascii="Times New Roman" w:eastAsia="Times New Roman" w:hAnsi="Times New Roman" w:cs="Times New Roman"/>
          <w:sz w:val="24"/>
          <w:szCs w:val="24"/>
        </w:rPr>
        <w:t xml:space="preserve"> </w:t>
      </w:r>
      <w:r w:rsidR="00B7217F"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{"citationID":"H3ZHmsfj","properties":{"formattedCitation":"[5, 6]","plainCitation":"[5, 6]","noteIndex":0},"citationItems":[{"id":"7qGQlw7Y/Bdod6ijy","uris":["http://zotero.org/users/874466/items/MPBLJ6T7"],"itemData":{"id":36150,"type":"article-journal","abstract":"BACKGROUND: Early rapid fluid resuscitation (boluses) in African children with severe febrile illnesses increases the 48-hour mortality by 3.3% compared with controls (no bolus). We explored the effect of boluses on 48-hour all-cause mortality by clinical presentation at enrolment, hemodynamic changes over the first hour, and on different modes of death, according to terminal clinical events. We hypothesize that boluses may cause excess deaths from neurological or respiratory events relating to fluid overload.\nMETHODS: Pre-defined presentation syndromes (PS; severe acidosis or severe shock, respiratory, neurological) and predominant terminal clinical events (cardiovascular collapse, respiratory, neurological) were described by randomized arm (bolus versus control) in 3,141 severely ill febrile children with shock enrolled in the Fluid Expansion as Supportive Therapy (FEAST) trial. Landmark analyses were used to compare early mortality in treatment groups, conditional on changes in shock and hypoxia parameters. Competing risks methods were used to estimate cumulative incidence curves and sub-hazard ratios to compare treatment groups in terms of terminal clinical events.\nRESULTS: Of 2,396 out of 3,141 (76%) classifiable participants, 1,647 (69%) had a severe metabolic acidosis or severe shock PS, 625 (26%) had a respiratory PS and 976 (41%) had a neurological PS, either alone or in combination. Mortality was greatest among children fulfilling criteria for all three PS (28% bolus, 21% control) and lowest for lone respiratory (2% bolus, 5% control) or neurological (3% bolus, 0% control) presentations. Excess mortality in bolus arms versus control was apparent for all three PS, including all their component features. By one hour, shock had resolved (responders) more frequently in bolus versus control groups (43% versus 32%, P &lt;0.001), but excess mortality with boluses was evident in responders (relative risk 1.98, 95% confidence interval 0.94 to 4.17, P = 0.06) and 'non-responders' (relative risk 1.67, 95% confidence interval 1.23 to 2.28, P = 0.001), with no evidence of heterogeneity (P = 0.68). The major difference between bolus and control arms was the higher proportion of cardiogenic or shock terminal clinical events in bolus arms (n = 123; 4.6% versus 2.6%, P = 0.008) rather than respiratory (n = 61; 2.2% versus 1.3%, P = 0.09) or neurological (n = 63, 2.1% versus 1.8%, P = 0.6) terminal clinical events.\nCONCLUSIONS: Excess mortality from boluses occurred in all subgroups of children. Contrary to expectation, cardiovascular collapse rather than fluid overload appeared to contribute most to excess deaths with rapid fluid resuscitation. These results should prompt a re-evaluation of evidence on fluid resuscitation for shock and a re-appraisal of the rate, composition and volume of resuscitation fluids.\nTRIAL REGISTRATION: ISRCTN69856593.","container-title":"BMC medicine","DOI":"10.1186/1741-7015-11-68","ISSN":"1741-7015","journalAbbreviation":"BMC Med","language":"eng","note":"PMID: 23496872\nPMCID: PMC3599745","page":"68","source":"PubMed","title":"Exploring mechanisms of excess mortality with early fluid resuscitation: insights from the FEAST trial","title-short":"Exploring mechanisms of excess mortality with early fluid resuscitation","volume":"11","author":[{"family":"Maitland","given":"Kathryn"},{"family":"George","given":"Elizabeth C."},{"family":"Evans","given":"Jennifer A."},{"family":"Kiguli","given":"Sarah"},{"family":"Olupot-Olupot","given":"Peter"},{"family":"Akech","given":"Samuel O."},{"family":"Opoka","given":"Robert O."},{"family":"Engoru","given":"Charles"},{"family":"Nyeko","given":"Richard"},{"family":"Mtove","given":"George"},{"family":"Reyburn","given":"Hugh"},{"family":"Brent","given":"Bernadette"},{"family":"Nteziyaremye","given":"Julius"},{"family":"Mpoya","given":"Ayub"},{"family":"Prevatt","given":"Natalie"},{"family":"Dambisya","given":"Cornelius M."},{"family":"Semakula","given":"Daniel"},{"family":"Ddungu","given":"Ahmed"},{"family":"Okuuny","given":"Vicent"},{"family":"Wokulira","given":"Ronald"},{"family":"Timbwa","given":"Molline"},{"family":"Otii","given":"Benedict"},{"family":"Levin","given":"Michael"},{"family":"Crawley","given":"Jane"},{"family":"Babiker","given":"Abdel G."},{"family":"Gibb","given":"Diana M."},{"literal":"FEAST trial group"}],"issued":{"date-parts":[["2013",3,14]]}},"label":"page"},{"id":"7qGQlw7Y/8T9t4M5P","uris":["http://zotero.org/users/874466/items/RQ4YZ6IY"],"itemData":{"id":36148,"type":"article-journal","abstract":"OBJECTIVE: Recent evidence suggests that fluid overload may be deleterious to critically ill children. The purpose of this study was to investigate the association of early fluid overload with respiratory morbidity and mortality in patients admitted to a general PICU.\nDESIGN: Retrospective cohort study.\nSETTING: Single, tertiary referral PICU.\nPATIENTS SIX HUNDRED THIRTY-SIX: patients aged 0-16 years invasively ventilated at 48 hours post admission, admitted between April 1, 2009, and March 31, 2013.\nMEASUREMENTS AND MAIN RESULTS: Data collected included demographics, diagnosis, Pediatric Index of Mortality 2 score, and fluid overload percent at 48 hours from admission. Fluid overload percent was calculated as (cumulative fluid in - cumulative fluid out (L))/hospital admission weight (kg) × 100%. Outcome measures were oxygenation index at 48 hours from admission, death, and invasive ventilation days in survivors. Data are reported as median (interquartile range) and were analyzed using nonparametric tests. The median age was 1.05 years (0.3-4.2 yr). Fifty-three patients (8%) died. Median duration of ventilation in survivors was 5 days (3-8 d). Fluid overload percent correlated significantly with oxygenation index (Spearman ρ, 0.318; p &lt; 0.0001) and with invasive ventilation days in survivors (Spearman ρ, 0.274; p &lt; 0.0001). There was no significant difference in fluid overload percent between survivors and nonsurvivors. Regression analysis demonstrated that fluid overload percent was a significant predictor of both oxygenation index at 48 hours (p &lt; 0.001) and invasive ventilation days (p = 0.002).\nCONCLUSIONS: Fluid overload at 48 hours was associated with oxygenation index at 48 hours and invasive ventilation days in survivors in a general PICU population. There was no association of fluid overload at 48 hours with mortality.","container-title":"Pediatric Critical Care Medicine: A Journal of the Society of Critical Care Medicine and the World Federation of Pediatric Intensive and Critical Care Societies","DOI":"10.1097/PCC.0000000000000318","ISSN":"1529-7535","issue":"3","journalAbbreviation":"Pediatr Crit Care Med","language":"eng","note":"PMID: 25581632","page":"205-209","source":"PubMed","title":"Fluid overload at 48 hours is associated with respiratory morbidity but not mortality in a general PICU: retrospective cohort study","title-short":"Fluid overload at 48 hours is associated with respiratory morbidity but not mortality in a general PICU","volume":"16","author":[{"family":"Sinitsky","given":"Lynn"},{"family":"Walls","given":"David"},{"family":"Nadel","given":"Simon"},{"family":"Inwald","given":"David P."}],"issued":{"date-parts":[["2015",3]]}},"label":"page"}],"schema":"https://github.com/citation-style-language/schema/raw/master/csl-citation.json"} </w:instrText>
      </w:r>
      <w:r w:rsidR="00B7217F"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[5, 6]</w:t>
      </w:r>
      <w:r w:rsidR="00B7217F"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However, previous reports investigating fluid overload </w:t>
      </w:r>
      <w:r w:rsidR="009B0A11" w:rsidRPr="00076637">
        <w:rPr>
          <w:rFonts w:ascii="Times New Roman" w:eastAsia="Times New Roman" w:hAnsi="Times New Roman" w:cs="Times New Roman"/>
          <w:sz w:val="24"/>
          <w:szCs w:val="24"/>
        </w:rPr>
        <w:t xml:space="preserve">were based </w:t>
      </w:r>
      <w:r w:rsidRPr="00076637">
        <w:rPr>
          <w:rFonts w:ascii="Times New Roman" w:eastAsia="Times New Roman" w:hAnsi="Times New Roman" w:cs="Times New Roman"/>
          <w:sz w:val="24"/>
          <w:szCs w:val="24"/>
        </w:rPr>
        <w:t>predominantly on total fluid intake, or bolus fluids alone, whereas the role of maintenance fluid administration has received less attention.</w:t>
      </w:r>
    </w:p>
    <w:p w14:paraId="277F8F41" w14:textId="4D9D47F5" w:rsidR="00117637" w:rsidRPr="00076637" w:rsidRDefault="009B0A11" w:rsidP="00456DF3">
      <w:pPr>
        <w:spacing w:line="360" w:lineRule="auto"/>
        <w:jc w:val="both"/>
        <w:rPr>
          <w:rFonts w:ascii="Times New Roman" w:eastAsia="Times New Roman" w:hAnsi="Times New Roman" w:cs="Times New Roman"/>
          <w:sz w:val="24"/>
          <w:szCs w:val="24"/>
        </w:rPr>
      </w:pPr>
      <w:bookmarkStart w:id="0" w:name="_heading=h.gjdgxs" w:colFirst="0" w:colLast="0"/>
      <w:bookmarkEnd w:id="0"/>
      <w:proofErr w:type="gramStart"/>
      <w:r w:rsidRPr="00076637">
        <w:rPr>
          <w:rFonts w:ascii="Times New Roman" w:eastAsia="Times New Roman" w:hAnsi="Times New Roman" w:cs="Times New Roman"/>
          <w:sz w:val="24"/>
          <w:szCs w:val="24"/>
        </w:rPr>
        <w:t>As a consequence of</w:t>
      </w:r>
      <w:proofErr w:type="gramEnd"/>
      <w:r w:rsidRPr="00076637">
        <w:rPr>
          <w:rFonts w:ascii="Times New Roman" w:eastAsia="Times New Roman" w:hAnsi="Times New Roman" w:cs="Times New Roman"/>
          <w:sz w:val="24"/>
          <w:szCs w:val="24"/>
        </w:rPr>
        <w:t xml:space="preserve"> </w:t>
      </w:r>
      <w:r w:rsidR="00D57C7E" w:rsidRPr="00076637">
        <w:rPr>
          <w:rFonts w:ascii="Times New Roman" w:eastAsia="Times New Roman" w:hAnsi="Times New Roman" w:cs="Times New Roman"/>
          <w:sz w:val="24"/>
          <w:szCs w:val="24"/>
        </w:rPr>
        <w:t xml:space="preserve">the lack of high-grade evidence, practice is highly variable, and largely based on spurious or inferred evidence from adults or </w:t>
      </w:r>
      <w:r w:rsidRPr="00076637">
        <w:rPr>
          <w:rFonts w:ascii="Times New Roman" w:eastAsia="Times New Roman" w:hAnsi="Times New Roman" w:cs="Times New Roman"/>
          <w:sz w:val="24"/>
          <w:szCs w:val="24"/>
        </w:rPr>
        <w:t xml:space="preserve">preterm </w:t>
      </w:r>
      <w:r w:rsidR="00D57C7E" w:rsidRPr="00076637">
        <w:rPr>
          <w:rFonts w:ascii="Times New Roman" w:eastAsia="Times New Roman" w:hAnsi="Times New Roman" w:cs="Times New Roman"/>
          <w:sz w:val="24"/>
          <w:szCs w:val="24"/>
        </w:rPr>
        <w:t>neonates. The maintenance requirements for water in IV maintenance fluid therapy (IV-MFT) w</w:t>
      </w:r>
      <w:r w:rsidRPr="00076637">
        <w:rPr>
          <w:rFonts w:ascii="Times New Roman" w:eastAsia="Times New Roman" w:hAnsi="Times New Roman" w:cs="Times New Roman"/>
          <w:sz w:val="24"/>
          <w:szCs w:val="24"/>
        </w:rPr>
        <w:t xml:space="preserve">ere </w:t>
      </w:r>
      <w:r w:rsidR="00D57C7E" w:rsidRPr="00076637">
        <w:rPr>
          <w:rFonts w:ascii="Times New Roman" w:eastAsia="Times New Roman" w:hAnsi="Times New Roman" w:cs="Times New Roman"/>
          <w:sz w:val="24"/>
          <w:szCs w:val="24"/>
        </w:rPr>
        <w:t xml:space="preserve">derived from an estimation of daily water losses in </w:t>
      </w:r>
      <w:proofErr w:type="spellStart"/>
      <w:r w:rsidR="00D57C7E" w:rsidRPr="00076637">
        <w:rPr>
          <w:rFonts w:ascii="Times New Roman" w:eastAsia="Times New Roman" w:hAnsi="Times New Roman" w:cs="Times New Roman"/>
          <w:sz w:val="24"/>
          <w:szCs w:val="24"/>
        </w:rPr>
        <w:t>normovol</w:t>
      </w:r>
      <w:r w:rsidR="00EB35CD" w:rsidRPr="00076637">
        <w:rPr>
          <w:rFonts w:ascii="Times New Roman" w:eastAsia="Times New Roman" w:hAnsi="Times New Roman" w:cs="Times New Roman"/>
          <w:sz w:val="24"/>
          <w:szCs w:val="24"/>
        </w:rPr>
        <w:t>a</w:t>
      </w:r>
      <w:r w:rsidR="00D57C7E" w:rsidRPr="00076637">
        <w:rPr>
          <w:rFonts w:ascii="Times New Roman" w:eastAsia="Times New Roman" w:hAnsi="Times New Roman" w:cs="Times New Roman"/>
          <w:sz w:val="24"/>
          <w:szCs w:val="24"/>
        </w:rPr>
        <w:t>emic</w:t>
      </w:r>
      <w:proofErr w:type="spellEnd"/>
      <w:r w:rsidR="00D57C7E" w:rsidRPr="00076637">
        <w:rPr>
          <w:rFonts w:ascii="Times New Roman" w:eastAsia="Times New Roman" w:hAnsi="Times New Roman" w:cs="Times New Roman"/>
          <w:sz w:val="24"/>
          <w:szCs w:val="24"/>
        </w:rPr>
        <w:t xml:space="preserve"> children with preserved renal function, leading to the Holliday and Segar formula </w:t>
      </w:r>
      <w:r w:rsidR="00AE3150"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yRGcLwHu","properties":{"formattedCitation":"[7]","plainCitation":"[7]","noteIndex":0},"citationItems":[{"id":"7qGQlw7Y/xXpaMqJu","uris":["http://zotero.org/users/874466/items/96KENFIH"],"itemData":{"id":36065,"type":"article-journal","container-title":"Pediatrics","ISSN":"0031-4005","issue":"5","journalAbbreviation":"Pediatrics","language":"eng","note":"PMID: 13431307","page":"823-832","source":"PubMed","title":"The maintenance need for water in parenteral fluid therapy","volume":"19","author":[{"family":"Holliday","given":"M. A."},{"family":"Segar","given":"W. E."}],"issued":{"date-parts":[["1957",5]]}}}],"schema":"https://github.com/citation-style-language/schema/raw/master/csl-citation.json"} </w:instrText>
      </w:r>
      <w:r w:rsidR="00AE3150"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[7]</w:t>
      </w:r>
      <w:r w:rsidR="00AE3150"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published in 1957 which has </w:t>
      </w:r>
      <w:r w:rsidRPr="00076637">
        <w:rPr>
          <w:rFonts w:ascii="Times New Roman" w:eastAsia="Times New Roman" w:hAnsi="Times New Roman" w:cs="Times New Roman"/>
          <w:sz w:val="24"/>
          <w:szCs w:val="24"/>
        </w:rPr>
        <w:t xml:space="preserve">formed the </w:t>
      </w:r>
      <w:r w:rsidR="00D57C7E" w:rsidRPr="00076637">
        <w:rPr>
          <w:rFonts w:ascii="Times New Roman" w:eastAsia="Times New Roman" w:hAnsi="Times New Roman" w:cs="Times New Roman"/>
          <w:sz w:val="24"/>
          <w:szCs w:val="24"/>
        </w:rPr>
        <w:t xml:space="preserve">mainstay of </w:t>
      </w:r>
      <w:r w:rsidR="00EB35CD" w:rsidRPr="00076637">
        <w:rPr>
          <w:rFonts w:ascii="Times New Roman" w:eastAsia="Times New Roman" w:hAnsi="Times New Roman" w:cs="Times New Roman"/>
          <w:sz w:val="24"/>
          <w:szCs w:val="24"/>
        </w:rPr>
        <w:t>p</w:t>
      </w:r>
      <w:r w:rsidR="00E652AF" w:rsidRPr="00076637">
        <w:rPr>
          <w:rFonts w:ascii="Times New Roman" w:eastAsia="Times New Roman" w:hAnsi="Times New Roman" w:cs="Times New Roman"/>
          <w:sz w:val="24"/>
          <w:szCs w:val="24"/>
        </w:rPr>
        <w:t>ediatric</w:t>
      </w:r>
      <w:r w:rsidR="00D57C7E" w:rsidRPr="00076637">
        <w:rPr>
          <w:rFonts w:ascii="Times New Roman" w:eastAsia="Times New Roman" w:hAnsi="Times New Roman" w:cs="Times New Roman"/>
          <w:sz w:val="24"/>
          <w:szCs w:val="24"/>
        </w:rPr>
        <w:t xml:space="preserve"> practice ever since. However, it remains unclear to what degree this simplification matches the needs of acute</w:t>
      </w:r>
      <w:r w:rsidR="006B76EA" w:rsidRPr="00076637">
        <w:rPr>
          <w:rFonts w:ascii="Times New Roman" w:eastAsia="Times New Roman" w:hAnsi="Times New Roman" w:cs="Times New Roman"/>
          <w:sz w:val="24"/>
          <w:szCs w:val="24"/>
        </w:rPr>
        <w:t xml:space="preserve"> and critically </w:t>
      </w:r>
      <w:r w:rsidR="00D57C7E" w:rsidRPr="00076637">
        <w:rPr>
          <w:rFonts w:ascii="Times New Roman" w:eastAsia="Times New Roman" w:hAnsi="Times New Roman" w:cs="Times New Roman"/>
          <w:sz w:val="24"/>
          <w:szCs w:val="24"/>
        </w:rPr>
        <w:t xml:space="preserve">ill children. Critically ill children often are at risk of organ hypoperfusion, dehydration, and may suffer complications from intravascular hypovolemia such as renal dysfunction; at the same time, they are vulnerable to </w:t>
      </w:r>
      <w:r w:rsidR="00FF364C" w:rsidRPr="00076637">
        <w:rPr>
          <w:rFonts w:ascii="Times New Roman" w:eastAsia="Times New Roman" w:hAnsi="Times New Roman" w:cs="Times New Roman"/>
          <w:sz w:val="24"/>
          <w:szCs w:val="24"/>
        </w:rPr>
        <w:t>cumulative</w:t>
      </w:r>
      <w:r w:rsidR="00D57C7E" w:rsidRPr="00076637">
        <w:rPr>
          <w:rFonts w:ascii="Times New Roman" w:eastAsia="Times New Roman" w:hAnsi="Times New Roman" w:cs="Times New Roman"/>
          <w:sz w:val="24"/>
          <w:szCs w:val="24"/>
        </w:rPr>
        <w:t xml:space="preserve"> fluid</w:t>
      </w:r>
      <w:r w:rsidR="00FF364C" w:rsidRPr="00076637">
        <w:rPr>
          <w:rFonts w:ascii="Times New Roman" w:eastAsia="Times New Roman" w:hAnsi="Times New Roman" w:cs="Times New Roman"/>
          <w:sz w:val="24"/>
          <w:szCs w:val="24"/>
        </w:rPr>
        <w:t xml:space="preserve"> overload </w:t>
      </w:r>
      <w:r w:rsidR="00D57C7E" w:rsidRPr="00076637">
        <w:rPr>
          <w:rFonts w:ascii="Times New Roman" w:eastAsia="Times New Roman" w:hAnsi="Times New Roman" w:cs="Times New Roman"/>
          <w:sz w:val="24"/>
          <w:szCs w:val="24"/>
        </w:rPr>
        <w:t xml:space="preserve">and suffer from </w:t>
      </w:r>
      <w:r w:rsidR="007B110C" w:rsidRPr="00076637">
        <w:rPr>
          <w:rFonts w:ascii="Times New Roman" w:eastAsia="Times New Roman" w:hAnsi="Times New Roman" w:cs="Times New Roman"/>
          <w:sz w:val="24"/>
          <w:szCs w:val="24"/>
        </w:rPr>
        <w:t>the</w:t>
      </w:r>
      <w:r w:rsidR="00D57C7E" w:rsidRPr="00076637">
        <w:rPr>
          <w:rFonts w:ascii="Times New Roman" w:eastAsia="Times New Roman" w:hAnsi="Times New Roman" w:cs="Times New Roman"/>
          <w:sz w:val="24"/>
          <w:szCs w:val="24"/>
        </w:rPr>
        <w:t xml:space="preserve"> adverse </w:t>
      </w:r>
      <w:r w:rsidR="007B110C" w:rsidRPr="00076637">
        <w:rPr>
          <w:rFonts w:ascii="Times New Roman" w:eastAsia="Times New Roman" w:hAnsi="Times New Roman" w:cs="Times New Roman"/>
          <w:sz w:val="24"/>
          <w:szCs w:val="24"/>
        </w:rPr>
        <w:t xml:space="preserve">of this seen as </w:t>
      </w:r>
      <w:r w:rsidR="00D57C7E" w:rsidRPr="00076637">
        <w:rPr>
          <w:rFonts w:ascii="Times New Roman" w:eastAsia="Times New Roman" w:hAnsi="Times New Roman" w:cs="Times New Roman"/>
          <w:sz w:val="24"/>
          <w:szCs w:val="24"/>
        </w:rPr>
        <w:t>tissue oedema in various organs</w:t>
      </w:r>
      <w:r w:rsidR="00980C5F" w:rsidRPr="00076637">
        <w:rPr>
          <w:rFonts w:ascii="Times New Roman" w:eastAsia="Times New Roman" w:hAnsi="Times New Roman" w:cs="Times New Roman"/>
          <w:sz w:val="24"/>
          <w:szCs w:val="24"/>
        </w:rPr>
        <w:t>,</w:t>
      </w:r>
      <w:r w:rsidR="00D57C7E" w:rsidRPr="00076637">
        <w:rPr>
          <w:rFonts w:ascii="Times New Roman" w:eastAsia="Times New Roman" w:hAnsi="Times New Roman" w:cs="Times New Roman"/>
          <w:sz w:val="24"/>
          <w:szCs w:val="24"/>
        </w:rPr>
        <w:t xml:space="preserve"> </w:t>
      </w:r>
      <w:r w:rsidR="007B110C" w:rsidRPr="00076637">
        <w:rPr>
          <w:rFonts w:ascii="Times New Roman" w:eastAsia="Times New Roman" w:hAnsi="Times New Roman" w:cs="Times New Roman"/>
          <w:sz w:val="24"/>
          <w:szCs w:val="24"/>
        </w:rPr>
        <w:t>mos</w:t>
      </w:r>
      <w:r w:rsidR="009B6571" w:rsidRPr="00076637">
        <w:rPr>
          <w:rFonts w:ascii="Times New Roman" w:eastAsia="Times New Roman" w:hAnsi="Times New Roman" w:cs="Times New Roman"/>
          <w:sz w:val="24"/>
          <w:szCs w:val="24"/>
        </w:rPr>
        <w:t>t prominently the lungs (</w:t>
      </w:r>
      <w:r w:rsidR="00D57C7E" w:rsidRPr="00076637">
        <w:rPr>
          <w:rFonts w:ascii="Times New Roman" w:eastAsia="Times New Roman" w:hAnsi="Times New Roman" w:cs="Times New Roman"/>
          <w:sz w:val="24"/>
          <w:szCs w:val="24"/>
        </w:rPr>
        <w:t xml:space="preserve">pulmonary </w:t>
      </w:r>
      <w:r w:rsidR="00E652AF" w:rsidRPr="00076637">
        <w:rPr>
          <w:rFonts w:ascii="Times New Roman" w:eastAsia="Times New Roman" w:hAnsi="Times New Roman" w:cs="Times New Roman"/>
          <w:sz w:val="24"/>
          <w:szCs w:val="24"/>
        </w:rPr>
        <w:t>oedema</w:t>
      </w:r>
      <w:r w:rsidR="009B6571" w:rsidRPr="00076637">
        <w:rPr>
          <w:rFonts w:ascii="Times New Roman" w:eastAsia="Times New Roman" w:hAnsi="Times New Roman" w:cs="Times New Roman"/>
          <w:sz w:val="24"/>
          <w:szCs w:val="24"/>
        </w:rPr>
        <w:t>)</w:t>
      </w:r>
      <w:r w:rsidR="00D57C7E" w:rsidRPr="00076637">
        <w:rPr>
          <w:rFonts w:ascii="Times New Roman" w:eastAsia="Times New Roman" w:hAnsi="Times New Roman" w:cs="Times New Roman"/>
          <w:sz w:val="24"/>
          <w:szCs w:val="24"/>
        </w:rPr>
        <w:t xml:space="preserve">. </w:t>
      </w:r>
    </w:p>
    <w:p w14:paraId="277F8F42" w14:textId="592E789E"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 xml:space="preserve">A range of adult studies indicate increased mortality and morbidity such as </w:t>
      </w:r>
      <w:r w:rsidR="00142E2D" w:rsidRPr="00076637">
        <w:rPr>
          <w:rFonts w:ascii="Times New Roman" w:eastAsia="Times New Roman" w:hAnsi="Times New Roman" w:cs="Times New Roman"/>
          <w:sz w:val="24"/>
          <w:szCs w:val="24"/>
        </w:rPr>
        <w:t xml:space="preserve">lower </w:t>
      </w:r>
      <w:r w:rsidRPr="00076637">
        <w:rPr>
          <w:rFonts w:ascii="Times New Roman" w:eastAsia="Times New Roman" w:hAnsi="Times New Roman" w:cs="Times New Roman"/>
          <w:sz w:val="24"/>
          <w:szCs w:val="24"/>
        </w:rPr>
        <w:t xml:space="preserve">ventilation free-days or </w:t>
      </w:r>
      <w:r w:rsidR="00142E2D" w:rsidRPr="00076637">
        <w:rPr>
          <w:rFonts w:ascii="Times New Roman" w:eastAsia="Times New Roman" w:hAnsi="Times New Roman" w:cs="Times New Roman"/>
          <w:sz w:val="24"/>
          <w:szCs w:val="24"/>
        </w:rPr>
        <w:t xml:space="preserve">increased </w:t>
      </w:r>
      <w:r w:rsidRPr="00076637">
        <w:rPr>
          <w:rFonts w:ascii="Times New Roman" w:eastAsia="Times New Roman" w:hAnsi="Times New Roman" w:cs="Times New Roman"/>
          <w:sz w:val="24"/>
          <w:szCs w:val="24"/>
        </w:rPr>
        <w:t>ICU length of stay associated with fluid overload and venous congestion</w:t>
      </w:r>
      <w:r w:rsidR="00377264" w:rsidRPr="00076637">
        <w:rPr>
          <w:rFonts w:ascii="Times New Roman" w:eastAsia="Times New Roman" w:hAnsi="Times New Roman" w:cs="Times New Roman"/>
          <w:sz w:val="24"/>
          <w:szCs w:val="24"/>
        </w:rPr>
        <w:t xml:space="preserve"> </w:t>
      </w:r>
      <w:r w:rsidR="005414E1"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vk9NEhKa","properties":{"formattedCitation":"[8\\uc0\\u8211{}10]","plainCitation":"[8–10]","noteIndex":0},"citationItems":[{"id":"7qGQlw7Y/hP4i6nGe","uris":["http://zotero.org/users/874466/items/JFS42TFW"],"itemData":{"id":36152,"type":"article-journal","abstract":"OBJECTIVE: Fluid administration in combination with the increase in vasopermeability induced by critical illness often results in significant fluid overload in critically ill patients. Recent research indicates that mortality is increased in patients who have received large volumes of fluids. We have systematically reviewed and synthesized the evidence on fluid overload and mortality in critically ill patients and have performed a meta-analysis of available data from observational studies.\nDATA SOURCES: A systematic search was performed on PubMed, EmBase, and the Cochrane Library databases.\nSTUDY SELECTION AND DATA EXTRACTION: All studies were eligible that investigated the impact of fluid overload (defined by weight gain &gt; 5%) or positive cumulative fluid balance on mortality in adult critical care patients. We excluded animal studies and trials in pediatric populations (age &lt; 16 years old), pregnant women, noncritically ill patients, very specific subpopulations of critically ill patients, and on early goal-directed therapy. Randomized controlled trials were only evaluated in the section on systematic review. Assessment followed the Cochrane/meta-analysis of observational trials in epidemiology guidelines for systematic reviews.\nDATA SYNTHESIS: A total of 31 observational and three randomized controlled trials including 31,076 ICU patients met the inclusion criteria. Only observational studies were included in the meta-analysis. Fluid overload and cumulative fluid balance were both associated with pooled mortality: after 3 days of ICU stay, adjusted relative risk for fluid overload was 8.83 (95% CI, 4.03-19.33), and for cumulative fluid balance 2.15 (95% CI, 1.51-3.07), at any time point, adjusted relative risk for fluid overload was 2.79 (95% CI, 1.55-5.00) and 1.39 (95% CI, 1.15-1.69) for cumulative fluid balance. Fluid overload was associated with mortality in patients with both acute kidney injury (adjusted relative risk, 2.38; 95% CI, 1.75-2.98) and surgery (adjusted relative risk, 6.17; 95% CI, 4.81-7.97). Cumulative fluid balance was linked to mortality in patients with sepsis (adjusted relative risk, 1.66; 95% CI, 1.39-1.98), acute kidney injury (adjusted relative risk, 2.63; 95% CI, 1.30-5.30), and respiratory failure (adjusted relative risk, 1.19; 95% CI, 1.03-1.43). The risk of mortality increased by a factor of 1.19 (95% CI, 1.11-1.28) per liter increase in positive fluid balance.\nCONCLUSIONS: This systematic review and meta-analysis of observational studies reporting adjusted risk estimates suggests that fluid overload and positive cumulative fluid balance are associated with increased mortality in a general population and defined subgroups of critically ill patients.","container-title":"Critical Care Medicine","DOI":"10.1097/CCM.0000000000004617","ISSN":"1530-0293","issue":"12","journalAbbreviation":"Crit Care Med","language":"eng","note":"PMID: 33009098","page":"1862-1870","source":"PubMed","title":"Fluid Overload and Mortality in Adult Critical Care Patients-A Systematic Review and Meta-Analysis of Observational Studies","volume":"48","author":[{"family":"Messmer","given":"Anna S."},{"family":"Zingg","given":"Carina"},{"family":"Müller","given":"Martin"},{"family":"Gerber","given":"Joel Loic"},{"family":"Schefold","given":"Joerg Christian"},{"family":"Pfortmueller","given":"Carmen Andrea"}],"issued":{"date-parts":[["2020",12]]}},"label":"page"},{"id":"7qGQlw7Y/1leXPwbg","uris":["http://zotero.org/users/874466/items/9USNVQDF"],"itemData":{"id":36159,"type":"article-journal","abstract":"BACKGROUND: It is unknown whether a conservative approach to fluid administration or deresuscitation (active removal of fluid using diuretics or renal replacement therapy) is beneficial following haemodynamic stabilisation of critically ill patients.\nPURPOSE: To evaluate the efficacy and safety of conservative or deresuscitative fluid strategies in adults and children with acute respiratory distress syndrome (ARDS), sepsis or systemic inflammatory response syndrome (SIRS) in the post-resuscitation phase of critical illness.\nMETHODS: We searched Medline, EMBASE and the Cochrane central register of controlled trials from 1980 to June 2016, and manually reviewed relevant conference proceedings from 2009 to the present. Two reviewers independently assessed search results for inclusion and undertook data extraction and quality appraisal. We included randomised trials comparing fluid regimens with differing fluid balances between groups, and observational studies investigating the relationship between fluid balance and clinical outcomes.\nRESULTS: Forty-nine studies met the inclusion criteria. Marked clinical heterogeneity was evident. In a meta-analysis of 11 randomised trials (2051 patients) using a random-effects model, we found no significant difference in mortality with conservative or deresuscitative strategies compared with a liberal strategy or usual care [pooled risk ratio (RR) 0.92, 95 % confidence interval (CI) 0.82-1.02, I 2 = 0 %]. A conservative or deresuscitative strategy resulted in increased ventilator-free days (mean difference 1.82 days, 95 % CI 0.53-3.10, I 2 = 9 %) and reduced length of ICU stay (mean difference -1.88 days, 95 % CI -0.12 to -3.64, I 2 = 75 %) compared with a liberal strategy or standard care.\nCONCLUSIONS: In adults and children with ARDS, sepsis or SIRS, a conservative or deresuscitative fluid strategy results in an increased number of ventilator-free days and a decreased length of ICU stay compared with a liberal strategy or standard care. The effect on mortality remains uncertain. Large randomised trials are needed to determine optimal fluid strategies in critical illness.","container-title":"Intensive Care Medicine","DOI":"10.1007/s00134-016-4573-3","ISSN":"1432-1238","issue":"2","journalAbbreviation":"Intensive Care Med","language":"eng","note":"PMID: 27734109","page":"155-170","source":"PubMed","title":"Conservative fluid management or deresuscitation for patients with sepsis or acute respiratory distress syndrome following the resuscitation phase of critical illness: a systematic review and meta-analysis","title-short":"Conservative fluid management or deresuscitation for patients with sepsis or acute respiratory distress syndrome following the resuscitation phase of critical illness","volume":"43","author":[{"family":"Silversides","given":"Jonathan A."},{"family":"Major","given":"Emmet"},{"family":"Ferguson","given":"Andrew J."},{"family":"Mann","given":"Emma E."},{"family":"McAuley","given":"Daniel F."},{"family":"Marshall","given":"John C."},{"family":"Blackwood","given":"Bronagh"},{"family":"Fan","given":"Eddy"}],"issued":{"date-parts":[["2017",2]]}},"label":"page"},{"id":"7qGQlw7Y/XHBgbFVf","uris":["http://zotero.org/users/874466/items/A68T4ZKE"],"itemData":{"id":36156,"type":"article-journal","container-title":"Intensive Care Medicine","DOI":"10.1007/s00134-019-05713-y","ISSN":"1432-1238","issue":"10","journalAbbreviation":"Intensive Care Med","language":"eng","note":"PMID: 31399779","page":"1440-1442","source":"PubMed","title":"Liberal versus restrictive fluid therapy in critically ill patients","volume":"45","author":[{"family":"Silversides","given":"Jonathan A."},{"family":"Perner","given":"Anders"},{"family":"Malbrain","given":"Manu L. N. G."}],"issued":{"date-parts":[["2019",10]]}},"label":"page"}],"schema":"https://github.com/citation-style-language/schema/raw/master/csl-citation.json"} </w:instrText>
      </w:r>
      <w:r w:rsidR="005414E1"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[8–10]</w:t>
      </w:r>
      <w:r w:rsidR="005414E1"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A retrospective cohort study in adult ICU patients admitted with sepsis showed that the impact of non-resuscitation fluids (maintenance and fluid creep) on cumulative fluid balance plays a larger role than resuscitation fluids during the first 5 days of ICU stay</w:t>
      </w:r>
      <w:r w:rsidR="00B76D2A" w:rsidRPr="00076637">
        <w:rPr>
          <w:rFonts w:ascii="Times New Roman" w:eastAsia="Times New Roman" w:hAnsi="Times New Roman" w:cs="Times New Roman"/>
          <w:sz w:val="24"/>
          <w:szCs w:val="24"/>
        </w:rPr>
        <w:t xml:space="preserve"> </w:t>
      </w:r>
      <w:r w:rsidR="00B76D2A"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YvIbYp6U","properties":{"formattedCitation":"[11]","plainCitation":"[11]","noteIndex":0},"citationItems":[{"id":"7qGQlw7Y/fkEyb8xJ","uris":["http://zotero.org/users/874466/items/UGW4R8MW"],"itemData":{"id":36162,"type":"article-journal","abstract":"Purpose\nResearch on intravenous fluid therapy and its side effects, volume, sodium, and chloride overload, has focused almost exclusively on the resuscitation setting. We aimed to quantify all fluid sources in the ICU and assess fluid creep, the hidden and unintentional volume administered as a vehicle for medication or electrolytes.\n\nMethods\nWe precisely recorded the volume, sodium, and chloride burdens imposed by every fluid source administered to 14,654 patients during the cumulative 103,098 days they resided in our 45-bed tertiary ICU and simulated the impact of important strategic fluid choices on patients’ chloride burdens. In septic patients, we assessed the impact of the different fluid sources on cumulative fluid balance, an established marker of morbidity.\n\nResults\nMaintenance and replacement fluids accounted for 24.7% of the mean daily total fluid volume, thereby far exceeding resuscitation fluids (6.5%) and were the most important sources of sodium and chloride. Fluid creep represented a striking 32.6% of the mean daily total fluid volume [median 645 mL (IQR 308–1039 mL)]. Chloride levels can be more effectively reduced by adopting a hypotonic maintenance strategy [a daily difference in chloride burden of 30.8 mmol (95% CI 30.5–31.1)] than a balanced resuscitation strategy [daily difference 3.0 mmol (95% CI 2.9–3.1)]. In septic patients, non-resuscitation fluids had a larger absolute impact on cumulative fluid balance than did resuscitation fluids.\n\nConclusions\nInadvertent daily volume, sodium, and chloride loading should be avoided when prescribing maintenance fluids in view of the vast amounts of fluid creep. This is especially important when adopting an isotonic maintenance strategy.\n\nElectronic supplementary material\nThe online version of this article (10.1007/s00134-018-5147-3) contains supplementary material, which is available to authorized users.","container-title":"Intensive Care Medicine","DOI":"10.1007/s00134-018-5147-3","ISSN":"0342-4642","issue":"4","journalAbbreviation":"Intensive Care Med","note":"PMID: 29589054\nPMCID: PMC5924672","page":"409-417","source":"PubMed Central","title":"Maintenance fluid therapy and fluid creep impose more significant fluid, sodium, and chloride burdens than resuscitation fluids in critically ill patients: a retrospective study in a tertiary mixed ICU population","title-short":"Maintenance fluid therapy and fluid creep impose more significant fluid, sodium, and chloride burdens than resuscitation fluids in critically ill patients","volume":"44","author":[{"family":"Van Regenmortel","given":"Niels"},{"family":"Verbrugghe","given":"Walter"},{"family":"Roelant","given":"Ella"},{"family":"Van den Wyngaert","given":"Tim"},{"family":"Jorens","given":"Philippe G."}],"issued":{"date-parts":[["2018"]]}}}],"schema":"https://github.com/citation-style-language/schema/raw/master/csl-citation.json"} </w:instrText>
      </w:r>
      <w:r w:rsidR="00B76D2A"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[11]</w:t>
      </w:r>
      <w:r w:rsidR="00B76D2A"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w:t>
      </w:r>
    </w:p>
    <w:p w14:paraId="277F8F43" w14:textId="012B437F" w:rsidR="00117637" w:rsidRPr="00076637" w:rsidRDefault="00D57C7E" w:rsidP="00456DF3">
      <w:pPr>
        <w:spacing w:after="0"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lastRenderedPageBreak/>
        <w:t xml:space="preserve">Observational evidence in children is increasing, </w:t>
      </w:r>
      <w:r w:rsidR="002538CE" w:rsidRPr="00076637">
        <w:rPr>
          <w:rFonts w:ascii="Times New Roman" w:eastAsia="Times New Roman" w:hAnsi="Times New Roman" w:cs="Times New Roman"/>
          <w:sz w:val="24"/>
          <w:szCs w:val="24"/>
        </w:rPr>
        <w:t>showing</w:t>
      </w:r>
      <w:r w:rsidRPr="00076637">
        <w:rPr>
          <w:rFonts w:ascii="Times New Roman" w:eastAsia="Times New Roman" w:hAnsi="Times New Roman" w:cs="Times New Roman"/>
          <w:sz w:val="24"/>
          <w:szCs w:val="24"/>
        </w:rPr>
        <w:t xml:space="preserve"> </w:t>
      </w:r>
      <w:proofErr w:type="gramStart"/>
      <w:r w:rsidRPr="00076637">
        <w:rPr>
          <w:rFonts w:ascii="Times New Roman" w:eastAsia="Times New Roman" w:hAnsi="Times New Roman" w:cs="Times New Roman"/>
          <w:sz w:val="24"/>
          <w:szCs w:val="24"/>
        </w:rPr>
        <w:t>particular patterns</w:t>
      </w:r>
      <w:proofErr w:type="gramEnd"/>
      <w:r w:rsidRPr="00076637">
        <w:rPr>
          <w:rFonts w:ascii="Times New Roman" w:eastAsia="Times New Roman" w:hAnsi="Times New Roman" w:cs="Times New Roman"/>
          <w:sz w:val="24"/>
          <w:szCs w:val="24"/>
        </w:rPr>
        <w:t xml:space="preserve"> of fluid overload, the contribution of maintenance fluids, and associations with worse outcomes including mortality. </w:t>
      </w:r>
      <w:r w:rsidR="00F9204B" w:rsidRPr="00076637">
        <w:rPr>
          <w:rFonts w:ascii="Times New Roman" w:eastAsia="Times New Roman" w:hAnsi="Times New Roman" w:cs="Times New Roman"/>
          <w:sz w:val="24"/>
          <w:szCs w:val="24"/>
        </w:rPr>
        <w:t>M</w:t>
      </w:r>
      <w:r w:rsidRPr="00076637">
        <w:rPr>
          <w:rFonts w:ascii="Times New Roman" w:eastAsia="Times New Roman" w:hAnsi="Times New Roman" w:cs="Times New Roman"/>
          <w:sz w:val="24"/>
          <w:szCs w:val="24"/>
        </w:rPr>
        <w:t xml:space="preserve">any PICU patients </w:t>
      </w:r>
      <w:r w:rsidR="00AA35AE" w:rsidRPr="00076637">
        <w:rPr>
          <w:rFonts w:ascii="Times New Roman" w:eastAsia="Times New Roman" w:hAnsi="Times New Roman" w:cs="Times New Roman"/>
          <w:sz w:val="24"/>
          <w:szCs w:val="24"/>
        </w:rPr>
        <w:t xml:space="preserve">will </w:t>
      </w:r>
      <w:r w:rsidRPr="00076637">
        <w:rPr>
          <w:rFonts w:ascii="Times New Roman" w:eastAsia="Times New Roman" w:hAnsi="Times New Roman" w:cs="Times New Roman"/>
          <w:sz w:val="24"/>
          <w:szCs w:val="24"/>
        </w:rPr>
        <w:t>develop fluid overload during the first days of admission</w:t>
      </w:r>
      <w:r w:rsidR="001E2B45" w:rsidRPr="00076637">
        <w:rPr>
          <w:rFonts w:ascii="Times New Roman" w:eastAsia="Times New Roman" w:hAnsi="Times New Roman" w:cs="Times New Roman"/>
          <w:sz w:val="24"/>
          <w:szCs w:val="24"/>
        </w:rPr>
        <w:t xml:space="preserve">, which in as many as 30% of cases may be </w:t>
      </w:r>
      <w:r w:rsidR="00635A15" w:rsidRPr="00076637">
        <w:rPr>
          <w:rFonts w:ascii="Times New Roman" w:eastAsia="Times New Roman" w:hAnsi="Times New Roman" w:cs="Times New Roman"/>
          <w:sz w:val="24"/>
          <w:szCs w:val="24"/>
        </w:rPr>
        <w:t>missed by</w:t>
      </w:r>
      <w:r w:rsidR="00AA35AE"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clinicians</w:t>
      </w:r>
      <w:r w:rsidR="00635A15" w:rsidRPr="00076637">
        <w:rPr>
          <w:rFonts w:ascii="Times New Roman" w:eastAsia="Times New Roman" w:hAnsi="Times New Roman" w:cs="Times New Roman"/>
          <w:sz w:val="24"/>
          <w:szCs w:val="24"/>
        </w:rPr>
        <w:t xml:space="preserve"> </w:t>
      </w:r>
      <w:r w:rsidR="00635A15"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{"citationID":"B3VHmmze","properties":{"formattedCitation":"[12]","plainCitation":"[12]","noteIndex":0},"citationItems":[{"id":"7qGQlw7Y/8SWfBO1s","uris":["http://zotero.org/users/874466/items/NET8CNZ7"],"itemData":{"id":36165,"type":"article-journal","abstract":"OBJECTIVES: Fluid overload is common in the PICU and has been associated with increased morbidity and mortality. It remains unclear whether fluid overload is a surrogate marker for severity of illness and need for increased support, an iatrogenic modifiable risk factor, or a sign of oliguria. The proportions of various fluid intake contributing to fluid overload and its recognition have not been adequately examined. We aimed to: 1) describe the types and amounts of fluid exposure in the PICU and 2) identify the clinicians' recognition of fluid overload.\nSETTING: Noncardiac PICU in a quaternary care hospital.\nPATIENTS: Pediatric patients admitted for more than 24 hours.\nDESIGN: Prospective observational study over 28 days.\nINTERVENTIONS: Data were collected on the amount and type of fluid exposure-resuscitative boluses, blood products, enteral intake, parenteral nutrition (total parenteral nutrition), or modifiable fluids (IV fluids and medications) indexed to the patients' admission body surface area on days 1 and 3. Charts of patients admitted for 3 days who developed 15% fluid overload were reviewed to assess clinicians' recognition of fluid overload.\nMEASUREMENTS AND MAIN RESULTS: One hundred two patients were included. Day 1 median fluid exposure was 2,318 mL/m (1,831-3,037 mL/m; 1,646 mL/m [1,296-2,086 mL/m] modifiable fluids). Forty-seven patients (46%) received fluid boluses, and 16 (16%) received blood products. Day 3 median fluid exposure was 2,233 mL/m (1,904-2,556 mL/m; 750 mL/m [375-1,816 mL/m] modifiable fluids). Of the 54 patients, one patient (1.9%) received a fluid bolus and two (3.7%) received blood products. In our cohort, 47 of 54 (87%) had fluid exposure greater than 1,600 mL/m on day 3. Fluid overload was not recognized by the clinicians in 30% of the patients who developed more than 15% fluid overload.\nCONCLUSIONS: Although resuscitation fluids contributed more to fluid exposure on day 1 compared with day 3, fluid exposure frequently exceeded maintenance requirements on day 3. Fluid overload was not always recognized by PICU practitioners. Further studies to correlate modifiable fluid exposure to fluid overload and explore modifiable practice improvement opportunities are needed.","container-title":"Pediatric Critical Care Medicine: A Journal of the Society of Critical Care Medicine and the World Federation of Pediatric Intensive and Critical Care Societies","DOI":"10.1097/PCC.0000000000002337","ISSN":"1529-7535","issue":"8","journalAbbreviation":"Pediatr Crit Care Med","language":"eng","note":"PMID: 32168295","page":"760-766","source":"PubMed","title":"Profile of Fluid Exposure and Recognition of Fluid Overload in Critically Ill Children","volume":"21","author":[{"family":"Al-Lawati","given":"Zahraa H."},{"family":"Sur","given":"Moushumi"},{"family":"Kennedy","given":"Curtis E."},{"family":"Akcan Arikan","given":"Ayse"}],"issued":{"date-parts":[["2020",8]]}}}],"schema":"https://github.com/citation-style-language/schema/raw/master/csl-citation.json"} </w:instrText>
      </w:r>
      <w:r w:rsidR="00635A15"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[12]</w:t>
      </w:r>
      <w:r w:rsidR="00635A15"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w:t>
      </w:r>
    </w:p>
    <w:p w14:paraId="277F8F44" w14:textId="34790515"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 xml:space="preserve">In mechanically ventilated critically ill children </w:t>
      </w:r>
      <w:r w:rsidR="009449DD"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BTl73Xcc","properties":{"formattedCitation":"[13]","plainCitation":"[13]","noteIndex":0},"citationItems":[{"id":"7qGQlw7Y/nT7Dz8Z9","uris":["http://zotero.org/users/874466/items/X2M382ZM"],"itemData":{"id":36167,"type":"article-journal","abstract":"Background\nFluid therapy is a cornerstone of pediatric intensive care medicine. We aimed at quantifying the load of water, sodium and chloride due to different fluid indications in our pediatric intensive care unit (PICU). We were particularly interested in the role of fluid creep, i.e. fluid administered mainly as the vehicle for drugs, and the association between sodium load and water balance.\n\nMethods\nCritically ill children aged ≤3 years and invasively ventilated for ≥48 h between 2016 and 2019 in a single tertiary center PICU were retrospectively enrolled. Need for renal replacement therapy, plasmapheresis or parenteral nutrition constituted exclusion criteria. Quantity, quality and indication of fluids administered intravenously or enterally, urinary output and fluid balance were recorded for the first 48 h following intubation. Concentrations of sodium and chloride provided by the manufacturers were used to compute the electrolyte load.\n\nResults\nForty-three patients (median 7 months (IQR 3–15)) were enrolled. Patients received 1004 ± 284 ml of water daily (153 ± 36 ml/kg/day), mainly due to enteral (39%), creep (34%) and maintenance (24%) fluids. Patients received 14.4 ± 4.8 mEq/kg/day of sodium and 13.6 ± 4.7 mEq/kg/day of chloride, respectively. The majority of sodium and chloride derived from fluid creep (56 and 58%). Daily fluid balance was 417 ± 221 ml (64 ± 30 ml/kg/day) and was associated with total sodium intake (r2 = 0.49, p &lt; 0.001).\n\nConclusions\nCritically ill children are exposed, especially in the acute phase, to extremely high loads of water, sodium and chloride, possibly contributing to edema development. Fluid creep is quantitatively the most relevant fluid in the PICU and future research efforts should address this topic in order to reduce the inadvertent water and electrolyte burden and improve the quality of care of critically ill children.","container-title":"BMC Pediatrics","DOI":"10.1186/s12887-020-02322-3","ISSN":"1471-2431","journalAbbreviation":"BMC Pediatr","note":"PMID: 32891127\nPMCID: PMC7487923","page":"424","source":"PubMed Central","title":"Fluid therapy in mechanically ventilated critically ill children: the sodium, chloride and water burden of fluid creep","title-short":"Fluid therapy in mechanically ventilated critically ill children","volume":"20","author":[{"family":"Langer","given":"Thomas"},{"family":"D’Oria","given":"Veronica"},{"family":"Spolidoro","given":"Giulia C. I."},{"family":"Chidini","given":"Giovanna"},{"family":"Scalia Catenacci","given":"Stefano"},{"family":"Marchesi","given":"Tiziana"},{"family":"Guerrini","given":"Marta"},{"family":"Cislaghi","given":"Andrea"},{"family":"Agostoni","given":"Carlo"},{"family":"Pesenti","given":"Antonio"},{"family":"Calderini","given":"Edoardo"}],"issued":{"date-parts":[["2020",9,5]]}}}],"schema":"https://github.com/citation-style-language/schema/raw/master/csl-citation.json"} </w:instrText>
      </w:r>
      <w:r w:rsidR="009449DD"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[13]</w:t>
      </w:r>
      <w:r w:rsidR="009449DD"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23.4% of water in</w:t>
      </w:r>
      <w:r w:rsidR="007A24DA" w:rsidRPr="00076637">
        <w:rPr>
          <w:rFonts w:ascii="Times New Roman" w:eastAsia="Times New Roman" w:hAnsi="Times New Roman" w:cs="Times New Roman"/>
          <w:sz w:val="24"/>
          <w:szCs w:val="24"/>
        </w:rPr>
        <w:t>take was</w:t>
      </w:r>
      <w:r w:rsidRPr="00076637">
        <w:rPr>
          <w:rFonts w:ascii="Times New Roman" w:eastAsia="Times New Roman" w:hAnsi="Times New Roman" w:cs="Times New Roman"/>
          <w:sz w:val="24"/>
          <w:szCs w:val="24"/>
        </w:rPr>
        <w:t xml:space="preserve"> </w:t>
      </w:r>
      <w:r w:rsidR="005812F5" w:rsidRPr="00076637">
        <w:rPr>
          <w:rFonts w:ascii="Times New Roman" w:eastAsia="Times New Roman" w:hAnsi="Times New Roman" w:cs="Times New Roman"/>
          <w:sz w:val="24"/>
          <w:szCs w:val="24"/>
        </w:rPr>
        <w:t xml:space="preserve">specifically </w:t>
      </w:r>
      <w:r w:rsidRPr="00076637">
        <w:rPr>
          <w:rFonts w:ascii="Times New Roman" w:eastAsia="Times New Roman" w:hAnsi="Times New Roman" w:cs="Times New Roman"/>
          <w:sz w:val="24"/>
          <w:szCs w:val="24"/>
        </w:rPr>
        <w:t xml:space="preserve"> by </w:t>
      </w:r>
      <w:r w:rsidR="007A24DA" w:rsidRPr="00076637">
        <w:rPr>
          <w:rFonts w:ascii="Times New Roman" w:eastAsia="Times New Roman" w:hAnsi="Times New Roman" w:cs="Times New Roman"/>
          <w:sz w:val="24"/>
          <w:szCs w:val="24"/>
        </w:rPr>
        <w:t>IVF</w:t>
      </w:r>
      <w:r w:rsidR="005812F5" w:rsidRPr="00076637">
        <w:rPr>
          <w:rFonts w:ascii="Times New Roman" w:eastAsia="Times New Roman" w:hAnsi="Times New Roman" w:cs="Times New Roman"/>
          <w:sz w:val="24"/>
          <w:szCs w:val="24"/>
        </w:rPr>
        <w:t>-MT</w:t>
      </w:r>
      <w:r w:rsidRPr="00076637">
        <w:rPr>
          <w:rFonts w:ascii="Times New Roman" w:eastAsia="Times New Roman" w:hAnsi="Times New Roman" w:cs="Times New Roman"/>
          <w:sz w:val="24"/>
          <w:szCs w:val="24"/>
        </w:rPr>
        <w:t xml:space="preserve">, 34.2% </w:t>
      </w:r>
      <w:r w:rsidR="0033596C" w:rsidRPr="00076637">
        <w:rPr>
          <w:rFonts w:ascii="Times New Roman" w:eastAsia="Times New Roman" w:hAnsi="Times New Roman" w:cs="Times New Roman"/>
          <w:sz w:val="24"/>
          <w:szCs w:val="24"/>
        </w:rPr>
        <w:t>as a result of</w:t>
      </w:r>
      <w:r w:rsidRPr="00076637">
        <w:rPr>
          <w:rFonts w:ascii="Times New Roman" w:eastAsia="Times New Roman" w:hAnsi="Times New Roman" w:cs="Times New Roman"/>
          <w:sz w:val="24"/>
          <w:szCs w:val="24"/>
        </w:rPr>
        <w:t xml:space="preserve"> fluid creep, </w:t>
      </w:r>
      <w:r w:rsidR="0033596C" w:rsidRPr="00076637">
        <w:rPr>
          <w:rFonts w:ascii="Times New Roman" w:eastAsia="Times New Roman" w:hAnsi="Times New Roman" w:cs="Times New Roman"/>
          <w:sz w:val="24"/>
          <w:szCs w:val="24"/>
        </w:rPr>
        <w:t>with</w:t>
      </w:r>
      <w:r w:rsidRPr="00076637">
        <w:rPr>
          <w:rFonts w:ascii="Times New Roman" w:eastAsia="Times New Roman" w:hAnsi="Times New Roman" w:cs="Times New Roman"/>
          <w:sz w:val="24"/>
          <w:szCs w:val="24"/>
        </w:rPr>
        <w:t xml:space="preserve"> 32.8% of </w:t>
      </w:r>
      <w:r w:rsidR="0033596C" w:rsidRPr="00076637">
        <w:rPr>
          <w:rFonts w:ascii="Times New Roman" w:eastAsia="Times New Roman" w:hAnsi="Times New Roman" w:cs="Times New Roman"/>
          <w:sz w:val="24"/>
          <w:szCs w:val="24"/>
        </w:rPr>
        <w:t xml:space="preserve">the </w:t>
      </w:r>
      <w:r w:rsidRPr="00076637">
        <w:rPr>
          <w:rFonts w:ascii="Times New Roman" w:eastAsia="Times New Roman" w:hAnsi="Times New Roman" w:cs="Times New Roman"/>
          <w:sz w:val="24"/>
          <w:szCs w:val="24"/>
        </w:rPr>
        <w:t>total sodium in</w:t>
      </w:r>
      <w:r w:rsidR="0033596C" w:rsidRPr="00076637">
        <w:rPr>
          <w:rFonts w:ascii="Times New Roman" w:eastAsia="Times New Roman" w:hAnsi="Times New Roman" w:cs="Times New Roman"/>
          <w:sz w:val="24"/>
          <w:szCs w:val="24"/>
        </w:rPr>
        <w:t>take</w:t>
      </w:r>
      <w:r w:rsidRPr="00076637">
        <w:rPr>
          <w:rFonts w:ascii="Times New Roman" w:eastAsia="Times New Roman" w:hAnsi="Times New Roman" w:cs="Times New Roman"/>
          <w:sz w:val="24"/>
          <w:szCs w:val="24"/>
        </w:rPr>
        <w:t xml:space="preserve"> accounted for by</w:t>
      </w:r>
      <w:r w:rsidR="00F9204B" w:rsidRPr="00076637">
        <w:rPr>
          <w:rFonts w:ascii="Times New Roman" w:eastAsia="Times New Roman" w:hAnsi="Times New Roman" w:cs="Times New Roman"/>
          <w:sz w:val="24"/>
          <w:szCs w:val="24"/>
        </w:rPr>
        <w:t xml:space="preserve"> </w:t>
      </w:r>
      <w:r w:rsidR="0033596C" w:rsidRPr="00076637">
        <w:rPr>
          <w:rFonts w:ascii="Times New Roman" w:eastAsia="Times New Roman" w:hAnsi="Times New Roman" w:cs="Times New Roman"/>
          <w:sz w:val="24"/>
          <w:szCs w:val="24"/>
        </w:rPr>
        <w:t>IVM-FT</w:t>
      </w:r>
      <w:r w:rsidRPr="00076637">
        <w:rPr>
          <w:rFonts w:ascii="Times New Roman" w:eastAsia="Times New Roman" w:hAnsi="Times New Roman" w:cs="Times New Roman"/>
          <w:sz w:val="24"/>
          <w:szCs w:val="24"/>
        </w:rPr>
        <w:t xml:space="preserve">. </w:t>
      </w:r>
    </w:p>
    <w:p w14:paraId="277F8F45" w14:textId="2905F1B1"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 xml:space="preserve">In a </w:t>
      </w:r>
      <w:proofErr w:type="spellStart"/>
      <w:r w:rsidR="00E652AF" w:rsidRPr="00076637">
        <w:rPr>
          <w:rFonts w:ascii="Times New Roman" w:eastAsia="Times New Roman" w:hAnsi="Times New Roman" w:cs="Times New Roman"/>
          <w:sz w:val="24"/>
          <w:szCs w:val="24"/>
        </w:rPr>
        <w:t>multicentre</w:t>
      </w:r>
      <w:proofErr w:type="spellEnd"/>
      <w:r w:rsidRPr="00076637">
        <w:rPr>
          <w:rFonts w:ascii="Times New Roman" w:eastAsia="Times New Roman" w:hAnsi="Times New Roman" w:cs="Times New Roman"/>
          <w:sz w:val="24"/>
          <w:szCs w:val="24"/>
        </w:rPr>
        <w:t xml:space="preserve"> retrospective observational cohort study, </w:t>
      </w:r>
      <w:proofErr w:type="spellStart"/>
      <w:r w:rsidRPr="00076637">
        <w:rPr>
          <w:rFonts w:ascii="Times New Roman" w:eastAsia="Times New Roman" w:hAnsi="Times New Roman" w:cs="Times New Roman"/>
          <w:sz w:val="24"/>
          <w:szCs w:val="24"/>
        </w:rPr>
        <w:t>Barhight</w:t>
      </w:r>
      <w:proofErr w:type="spellEnd"/>
      <w:r w:rsidRPr="00076637">
        <w:rPr>
          <w:rFonts w:ascii="Times New Roman" w:eastAsia="Times New Roman" w:hAnsi="Times New Roman" w:cs="Times New Roman"/>
          <w:sz w:val="24"/>
          <w:szCs w:val="24"/>
        </w:rPr>
        <w:t xml:space="preserve"> et al</w:t>
      </w:r>
      <w:r w:rsidR="009449DD" w:rsidRPr="00076637">
        <w:rPr>
          <w:rFonts w:ascii="Times New Roman" w:eastAsia="Times New Roman" w:hAnsi="Times New Roman" w:cs="Times New Roman"/>
          <w:sz w:val="24"/>
          <w:szCs w:val="24"/>
        </w:rPr>
        <w:t>.</w:t>
      </w:r>
      <w:r w:rsidRPr="00076637">
        <w:rPr>
          <w:rFonts w:ascii="Times New Roman" w:eastAsia="Times New Roman" w:hAnsi="Times New Roman" w:cs="Times New Roman"/>
          <w:sz w:val="24"/>
          <w:szCs w:val="24"/>
        </w:rPr>
        <w:t xml:space="preserve"> </w:t>
      </w:r>
      <w:proofErr w:type="spellStart"/>
      <w:r w:rsidR="00E652AF" w:rsidRPr="00076637">
        <w:rPr>
          <w:rFonts w:ascii="Times New Roman" w:eastAsia="Times New Roman" w:hAnsi="Times New Roman" w:cs="Times New Roman"/>
          <w:sz w:val="24"/>
          <w:szCs w:val="24"/>
        </w:rPr>
        <w:t>analysed</w:t>
      </w:r>
      <w:proofErr w:type="spellEnd"/>
      <w:r w:rsidRPr="00076637">
        <w:rPr>
          <w:rFonts w:ascii="Times New Roman" w:eastAsia="Times New Roman" w:hAnsi="Times New Roman" w:cs="Times New Roman"/>
          <w:sz w:val="24"/>
          <w:szCs w:val="24"/>
        </w:rPr>
        <w:t xml:space="preserve"> the volume of different sources of fluid for each of the first three days following PICU admission. In their adjusted model, non-resuscitation fluids in excess of</w:t>
      </w:r>
      <w:r w:rsidR="0033596C" w:rsidRPr="00076637">
        <w:rPr>
          <w:rFonts w:ascii="Times New Roman" w:eastAsia="Times New Roman" w:hAnsi="Times New Roman" w:cs="Times New Roman"/>
          <w:sz w:val="24"/>
          <w:szCs w:val="24"/>
        </w:rPr>
        <w:t xml:space="preserve"> the</w:t>
      </w:r>
      <w:r w:rsidR="00392549" w:rsidRPr="00076637">
        <w:rPr>
          <w:rFonts w:ascii="Times New Roman" w:eastAsia="Times New Roman" w:hAnsi="Times New Roman" w:cs="Times New Roman"/>
          <w:sz w:val="24"/>
          <w:szCs w:val="24"/>
        </w:rPr>
        <w:t xml:space="preserve"> child’s</w:t>
      </w:r>
      <w:r w:rsidRPr="00076637">
        <w:rPr>
          <w:rFonts w:ascii="Times New Roman" w:eastAsia="Times New Roman" w:hAnsi="Times New Roman" w:cs="Times New Roman"/>
          <w:sz w:val="24"/>
          <w:szCs w:val="24"/>
        </w:rPr>
        <w:t xml:space="preserve"> hydration requirement were independently associated with </w:t>
      </w:r>
      <w:r w:rsidR="00392549" w:rsidRPr="00076637">
        <w:rPr>
          <w:rFonts w:ascii="Times New Roman" w:eastAsia="Times New Roman" w:hAnsi="Times New Roman" w:cs="Times New Roman"/>
          <w:sz w:val="24"/>
          <w:szCs w:val="24"/>
        </w:rPr>
        <w:t xml:space="preserve">an </w:t>
      </w:r>
      <w:r w:rsidRPr="00076637">
        <w:rPr>
          <w:rFonts w:ascii="Times New Roman" w:eastAsia="Times New Roman" w:hAnsi="Times New Roman" w:cs="Times New Roman"/>
          <w:sz w:val="24"/>
          <w:szCs w:val="24"/>
        </w:rPr>
        <w:t>increased in-hospital mortality and reduced ventilator-free days</w:t>
      </w:r>
      <w:r w:rsidR="003D6B1D" w:rsidRPr="00076637">
        <w:rPr>
          <w:rFonts w:ascii="Times New Roman" w:eastAsia="Times New Roman" w:hAnsi="Times New Roman" w:cs="Times New Roman"/>
          <w:sz w:val="24"/>
          <w:szCs w:val="24"/>
        </w:rPr>
        <w:t xml:space="preserve"> </w:t>
      </w:r>
      <w:r w:rsidR="003D6B1D"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0ju5oXZK","properties":{"formattedCitation":"[14]","plainCitation":"[14]","noteIndex":0},"citationItems":[{"id":"7qGQlw7Y/TOu71gE9","uris":["http://zotero.org/users/874466/items/NVSAMH66"],"itemData":{"id":36170,"type":"article-journal","abstract":"Background\nHyperchloremia and chloride load have been associated with worse clinical outcomes in critically ill patients. We sought to evaluate the electrolyte profile and clinical outcomes associated with a unit-wide transition from saline to balanced fluids for resuscitation and maintenance fluids in a pediatric intensive care unit (PICU).\n\nMethods\nA before and after analysis of all patients admitted to the PICU in a large, urban, academic hospital between August 2018 and March 2020. The transition from the use of saline to the use of balanced fluids for both resuscitation and maintenance fluid as standard care occurred in June 2019. The primary outcome was day 3 acute kidney injury (AKI). The secondary outcomes included mortality, ventilator-free days (VFDs), need for renal replacement therapy (RRT), hospital length of stay (LOS), and electrolyte abnormalities.\n\nResults\nOverall, 2863 patients (47% female) with a day 3 AKI rate of 12.9% (n = 130) and a mortality rate of 2.8% (n = 79) were included. After adjusting for confounders (age, PRISM III, mechanical ventilation, and immunocompromised state, septic shock), there were no significant differences in the odds of day 3 AKI (pre 13%, post 12.5%; adjusted odds ratio [aOR] 0.96, 95%CI 0.65–1.42). There were no differences in the secondary outcomes. The post-intervention period had fewer patients with hyperchloremia (pre 15.5% vs. post 10.4%, p =  &lt; 0.0001) and hyperkalemia (pre 3.2% vs. post 1.4%, p = 0.02) and more patients with hypochloremia (pre 9.5% vs. post 14.4%, p =  &lt; 0.0001) and hypokalemia (pre 38.2% vs. post 47.2%, p =  &lt; 0.0001). In reference to the normochloremic cohort, the hypochloremic cohort had an increase in day 3 AKI, need for RRT, hyperchloremia, and hyperkalemia, and a decrease in hypokalemia; and the hyperchloremic cohort had an increase in VFD and a decrease in hospital LOS.\n\nConclusions\nFollowing a unit-wide implementation of balanced fluids as standard care, there were no differences in rates of day 3 AKI or other clinical outcomes. However, there were lower rates of hyperkalemia and hyperchloremia and higher rates of hypokalemia and hypochloremia. Further evaluation of the effect of balanced fluids and the clinical significance of electrolyte abnormalities in critically ill children is needed.\n\nSupplementary Information\nThe online version contains supplementary material available at 10.1186/s13054-021-03705-3.","container-title":"Critical Care","DOI":"10.1186/s13054-021-03705-3","ISSN":"1364-8535","journalAbbreviation":"Crit Care","note":"PMID: 34325729\nPMCID: PMC8319885","page":"266","source":"PubMed Central","title":"Association between the use of balanced fluids and outcomes in critically ill children: a before and after study","title-short":"Association between the use of balanced fluids and outcomes in critically ill children","volume":"25","author":[{"family":"Barhight","given":"Matthew F."},{"family":"Nelson","given":"Delphine"},{"family":"Moran","given":"Thomas"},{"family":"Christiano","given":"Jessica"},{"family":"Sanchez-Pinto","given":"L. Nelson"}],"issued":{"date-parts":[["2021",7,29]]}}}],"schema":"https://github.com/citation-style-language/schema/raw/master/csl-citation.json"} </w:instrText>
      </w:r>
      <w:r w:rsidR="003D6B1D"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[14]</w:t>
      </w:r>
      <w:r w:rsidR="003D6B1D"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Observational data indicates that th</w:t>
      </w:r>
      <w:r w:rsidR="00392549" w:rsidRPr="00076637">
        <w:rPr>
          <w:rFonts w:ascii="Times New Roman" w:eastAsia="Times New Roman" w:hAnsi="Times New Roman" w:cs="Times New Roman"/>
          <w:sz w:val="24"/>
          <w:szCs w:val="24"/>
        </w:rPr>
        <w:t>is</w:t>
      </w:r>
      <w:r w:rsidRPr="00076637">
        <w:rPr>
          <w:rFonts w:ascii="Times New Roman" w:eastAsia="Times New Roman" w:hAnsi="Times New Roman" w:cs="Times New Roman"/>
          <w:sz w:val="24"/>
          <w:szCs w:val="24"/>
        </w:rPr>
        <w:t xml:space="preserve"> fluid creep extends beyond the first 48 hours of PICU, and that both severe fluid overload as well as late timing of peak fluid overload (after 48 hours) was associated with worst outcomes</w:t>
      </w:r>
      <w:r w:rsidR="002254DC" w:rsidRPr="00076637">
        <w:rPr>
          <w:rFonts w:ascii="Times New Roman" w:eastAsia="Times New Roman" w:hAnsi="Times New Roman" w:cs="Times New Roman"/>
          <w:sz w:val="24"/>
          <w:szCs w:val="24"/>
        </w:rPr>
        <w:t xml:space="preserve"> </w:t>
      </w:r>
      <w:r w:rsidR="002254DC"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{"citationID":"stf0MP1K","properties":{"formattedCitation":"[15]","plainCitation":"[15]","noteIndex":0},"citationItems":[{"id":"7qGQlw7Y/ci8L1uPM","uris":["http://zotero.org/users/874466/items/HHSJJRX9"],"itemData":{"id":36173,"type":"article-journal","abstract":"OBJECTIVES: To determine if the timing of excess fluid accumulation (fluid overload) is associated with adverse patient outcomes.\nDESIGN: Secondary analysis of a prospectively collected dataset.\nSETTING: PICU of a tertiary care hospital.\nPATIENTS: Children 3 months to 25 years old admitted to the PICU with expected length of stay greater than or equal to 48 hours.\nINTERVENTIONS: Patients were dichotomized by time of peak overload: peak fluid overload from ICU admission (Day0) to 48 hours (Day3-7) and peak fluid overload value after 48 hours of ICU admission, as well as time of first-time negative daily fluid balance: net fluid out greater than net fluid in for that 24-hour period.\nMEASUREMENTS AND MAIN RESULTS: There were 177 patients who met inclusion criteria, 92 (52%) male, with an overall mortality rate of 7% (n = 12). There were no differences in severity of illness scores or fluid overload on Day0 between peak fluid overload from ICU admission (Day0) to 48 hours (Day3-7) (n = 97; 55%) and peak fluid overload value after 48 hours of ICU admission (n = 80; 45%) groups. Peak fluid overload value after 48 hours of ICU admission was associated with a longer median ICU course (8 [4-15] vs 4 d [3-8 d]; p ≤ 0.001], hospital length of stay (18 [10-38) vs 12 [8-24]; p = 0.01], and increased risk of mortality (n = 10 [13%] vs 2 [2%]; χ2 = 7.6; p = 0.006]. ICU length of stay was also longer in the peak fluid overload value after 48 hours of ICU admission group when only patients with at least 7 days of ICU stay were analyzed (p = 0.02). Timing of negative fluid balance was also correlated with outcome. Compared with Day0-2, a negative daily fluid balance on Day3-7 was associated with increased length of mechanical ventilation (3 [1-7] vs 1 d [2-10 d]; p ≤ 0.001) and increased hospital (17 [10-35] vs 11 d [7-26 d]; p = 0.006) and ICU (7 [4-13] vs 4 d [3-7 d]; p ≤ 0.001) length of stay compared with a negative fluid balance between Day0-2.\nCONCLUSIONS: Our results show timing of fluid accumulation not just peak percentage accumulated is associated with patient outcome. Further exploration of the association between time and fluid accumulation is warranted.","container-title":"Pediatric Critical Care Medicine: A Journal of the Society of Critical Care Medicine and the World Federation of Pediatric Intensive and Critical Care Societies","DOI":"10.1097/PCC.0000000000002547","ISSN":"1529-7535","issue":"1","journalAbbreviation":"Pediatr Crit Care Med","language":"eng","note":"PMID: 32947381","page":"114-124","source":"PubMed","title":"Timing of Fluid Overload and Association With Patient Outcome","volume":"22","author":[{"family":"Lima","given":"Lisa"},{"family":"Menon","given":"Shina"},{"family":"Goldstein","given":"Stuart L."},{"family":"Basu","given":"Rajit K."}],"issued":{"date-parts":[["2021",1,1]]}}}],"schema":"https://github.com/citation-style-language/schema/raw/master/csl-citation.json"} </w:instrText>
      </w:r>
      <w:r w:rsidR="002254DC"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[15]</w:t>
      </w:r>
      <w:r w:rsidR="002254DC"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w:t>
      </w:r>
    </w:p>
    <w:p w14:paraId="277F8F57" w14:textId="01446B46" w:rsidR="00117637" w:rsidRPr="00076637" w:rsidRDefault="00D57C7E" w:rsidP="00456DF3">
      <w:pPr>
        <w:spacing w:line="360" w:lineRule="auto"/>
        <w:jc w:val="both"/>
        <w:rPr>
          <w:rFonts w:ascii="Times New Roman" w:eastAsia="Times New Roman" w:hAnsi="Times New Roman" w:cs="Times New Roman"/>
          <w:bCs/>
          <w:sz w:val="24"/>
          <w:szCs w:val="24"/>
        </w:rPr>
      </w:pPr>
      <w:r w:rsidRPr="00076637">
        <w:rPr>
          <w:rFonts w:ascii="Times New Roman" w:eastAsia="Times New Roman" w:hAnsi="Times New Roman" w:cs="Times New Roman"/>
          <w:bCs/>
          <w:sz w:val="24"/>
          <w:szCs w:val="24"/>
        </w:rPr>
        <w:t xml:space="preserve">In summary, while intravenous fluid therapy remains a cornerstone of </w:t>
      </w:r>
      <w:r w:rsidR="00E652AF" w:rsidRPr="00076637">
        <w:rPr>
          <w:rFonts w:ascii="Times New Roman" w:eastAsia="Times New Roman" w:hAnsi="Times New Roman" w:cs="Times New Roman"/>
          <w:bCs/>
          <w:sz w:val="24"/>
          <w:szCs w:val="24"/>
        </w:rPr>
        <w:t>pediatric</w:t>
      </w:r>
      <w:r w:rsidRPr="00076637">
        <w:rPr>
          <w:rFonts w:ascii="Times New Roman" w:eastAsia="Times New Roman" w:hAnsi="Times New Roman" w:cs="Times New Roman"/>
          <w:bCs/>
          <w:sz w:val="24"/>
          <w:szCs w:val="24"/>
        </w:rPr>
        <w:t xml:space="preserve"> acute and critical care, evidence to guide accurate</w:t>
      </w:r>
      <w:r w:rsidR="00487661" w:rsidRPr="00076637">
        <w:rPr>
          <w:rFonts w:ascii="Times New Roman" w:eastAsia="Times New Roman" w:hAnsi="Times New Roman" w:cs="Times New Roman"/>
          <w:bCs/>
          <w:sz w:val="24"/>
          <w:szCs w:val="24"/>
        </w:rPr>
        <w:t>ly</w:t>
      </w:r>
      <w:r w:rsidRPr="00076637">
        <w:rPr>
          <w:rFonts w:ascii="Times New Roman" w:eastAsia="Times New Roman" w:hAnsi="Times New Roman" w:cs="Times New Roman"/>
          <w:bCs/>
          <w:sz w:val="24"/>
          <w:szCs w:val="24"/>
        </w:rPr>
        <w:t xml:space="preserve"> estimate fluid requirements in acute and critically ill children is lacking. Given </w:t>
      </w:r>
      <w:r w:rsidR="00487661" w:rsidRPr="00076637">
        <w:rPr>
          <w:rFonts w:ascii="Times New Roman" w:eastAsia="Times New Roman" w:hAnsi="Times New Roman" w:cs="Times New Roman"/>
          <w:bCs/>
          <w:sz w:val="24"/>
          <w:szCs w:val="24"/>
        </w:rPr>
        <w:t xml:space="preserve">the </w:t>
      </w:r>
      <w:r w:rsidRPr="00076637">
        <w:rPr>
          <w:rFonts w:ascii="Times New Roman" w:eastAsia="Times New Roman" w:hAnsi="Times New Roman" w:cs="Times New Roman"/>
          <w:bCs/>
          <w:sz w:val="24"/>
          <w:szCs w:val="24"/>
        </w:rPr>
        <w:t xml:space="preserve">observational evidence for adverse outcomes </w:t>
      </w:r>
      <w:r w:rsidR="00487661" w:rsidRPr="00076637">
        <w:rPr>
          <w:rFonts w:ascii="Times New Roman" w:eastAsia="Times New Roman" w:hAnsi="Times New Roman" w:cs="Times New Roman"/>
          <w:bCs/>
          <w:sz w:val="24"/>
          <w:szCs w:val="24"/>
        </w:rPr>
        <w:t xml:space="preserve">associated </w:t>
      </w:r>
      <w:r w:rsidRPr="00076637">
        <w:rPr>
          <w:rFonts w:ascii="Times New Roman" w:eastAsia="Times New Roman" w:hAnsi="Times New Roman" w:cs="Times New Roman"/>
          <w:bCs/>
          <w:sz w:val="24"/>
          <w:szCs w:val="24"/>
        </w:rPr>
        <w:t xml:space="preserve">with fluid overload, there is urgency to define fluid-restrictive regimens (“bundles”), and patients most likely to benefit from such regimens through adequately powered </w:t>
      </w:r>
      <w:proofErr w:type="spellStart"/>
      <w:r w:rsidRPr="00076637">
        <w:rPr>
          <w:rFonts w:ascii="Times New Roman" w:eastAsia="Times New Roman" w:hAnsi="Times New Roman" w:cs="Times New Roman"/>
          <w:bCs/>
          <w:sz w:val="24"/>
          <w:szCs w:val="24"/>
        </w:rPr>
        <w:t>randomi</w:t>
      </w:r>
      <w:r w:rsidR="00487661" w:rsidRPr="00076637">
        <w:rPr>
          <w:rFonts w:ascii="Times New Roman" w:eastAsia="Times New Roman" w:hAnsi="Times New Roman" w:cs="Times New Roman"/>
          <w:bCs/>
          <w:sz w:val="24"/>
          <w:szCs w:val="24"/>
        </w:rPr>
        <w:t>s</w:t>
      </w:r>
      <w:r w:rsidRPr="00076637">
        <w:rPr>
          <w:rFonts w:ascii="Times New Roman" w:eastAsia="Times New Roman" w:hAnsi="Times New Roman" w:cs="Times New Roman"/>
          <w:bCs/>
          <w:sz w:val="24"/>
          <w:szCs w:val="24"/>
        </w:rPr>
        <w:t>ed</w:t>
      </w:r>
      <w:proofErr w:type="spellEnd"/>
      <w:r w:rsidRPr="00076637">
        <w:rPr>
          <w:rFonts w:ascii="Times New Roman" w:eastAsia="Times New Roman" w:hAnsi="Times New Roman" w:cs="Times New Roman"/>
          <w:bCs/>
          <w:sz w:val="24"/>
          <w:szCs w:val="24"/>
        </w:rPr>
        <w:t>-controlled trials.</w:t>
      </w:r>
    </w:p>
    <w:p w14:paraId="277F8F58" w14:textId="6800ACCC" w:rsidR="00117637" w:rsidRPr="00076637" w:rsidRDefault="00D57C7E" w:rsidP="00456DF3">
      <w:pPr>
        <w:pStyle w:val="Titre1"/>
        <w:rPr>
          <w:color w:val="A5A5A5"/>
        </w:rPr>
      </w:pPr>
      <w:r w:rsidRPr="00076637">
        <w:rPr>
          <w:rFonts w:eastAsia="Arial"/>
        </w:rPr>
        <w:t xml:space="preserve">IV-MFT survey </w:t>
      </w:r>
      <w:r w:rsidR="00487661" w:rsidRPr="00076637">
        <w:rPr>
          <w:rFonts w:eastAsia="Arial"/>
        </w:rPr>
        <w:t xml:space="preserve">of </w:t>
      </w:r>
      <w:r w:rsidR="00D2261B" w:rsidRPr="00076637">
        <w:rPr>
          <w:rFonts w:eastAsia="Arial"/>
        </w:rPr>
        <w:t xml:space="preserve">current practice </w:t>
      </w:r>
    </w:p>
    <w:p w14:paraId="277F8F59" w14:textId="0B6FEE02" w:rsidR="00117637" w:rsidRPr="00076637" w:rsidRDefault="00D57C7E" w:rsidP="00456DF3">
      <w:pPr>
        <w:spacing w:line="360" w:lineRule="auto"/>
        <w:jc w:val="both"/>
        <w:rPr>
          <w:rFonts w:ascii="Times New Roman" w:eastAsia="Times New Roman" w:hAnsi="Times New Roman" w:cs="Times New Roman"/>
          <w:color w:val="000000"/>
          <w:sz w:val="24"/>
          <w:szCs w:val="24"/>
        </w:rPr>
      </w:pPr>
      <w:r w:rsidRPr="00076637">
        <w:rPr>
          <w:rFonts w:ascii="Times New Roman" w:eastAsia="Times New Roman" w:hAnsi="Times New Roman" w:cs="Times New Roman"/>
          <w:sz w:val="24"/>
          <w:szCs w:val="24"/>
        </w:rPr>
        <w:t xml:space="preserve">A recent survey of </w:t>
      </w:r>
      <w:r w:rsidRPr="00076637">
        <w:rPr>
          <w:rFonts w:ascii="Times New Roman" w:eastAsia="Times New Roman" w:hAnsi="Times New Roman" w:cs="Times New Roman"/>
          <w:color w:val="000000"/>
          <w:sz w:val="24"/>
          <w:szCs w:val="24"/>
        </w:rPr>
        <w:t xml:space="preserve">154 respondents from 35 European and Middle East countries found considerable variability in practices around IV-MFT </w:t>
      </w:r>
      <w:r w:rsidR="00F71D23" w:rsidRPr="00076637">
        <w:rPr>
          <w:rFonts w:ascii="Times New Roman" w:eastAsia="Times New Roman" w:hAnsi="Times New Roman" w:cs="Times New Roman"/>
          <w:color w:val="000000"/>
          <w:sz w:val="24"/>
          <w:szCs w:val="24"/>
        </w:rPr>
        <w:fldChar w:fldCharType="begin"/>
      </w:r>
      <w:r w:rsidR="0046376A" w:rsidRPr="00076637">
        <w:rPr>
          <w:rFonts w:ascii="Times New Roman" w:eastAsia="Times New Roman" w:hAnsi="Times New Roman" w:cs="Times New Roman"/>
          <w:color w:val="000000"/>
          <w:sz w:val="24"/>
          <w:szCs w:val="24"/>
        </w:rPr>
        <w:instrText xml:space="preserve"> ADDIN ZOTERO_ITEM CSL_CITATION {"citationID":"78S6K85c","properties":{"formattedCitation":"[16]","plainCitation":"[16]","noteIndex":0},"citationItems":[{"id":"7qGQlw7Y/XqFgkANd","uris":["http://zotero.org/users/874466/items/B5PBBPKB"],"itemData":{"id":36253,"type":"article-journal","abstract":"The ideal fluid for intravenous maintenance fluid therapy (IV-MFT) in acutely and critically ill children is controversial, and evidence-based clinical practice guidelines are lacking and current prescribing practices remain unknown. We aimed to describe the current practices in prescribing IV-MFT in the context of acute and critically ill children with regard to the amount, tonicity, composition, use of balanced fluids, and prescribing strategies in various clinical contexts. A cross-sectional electronic 27-item survey was emailed in April-May 2021 to pediatric critical care physicians across European and Middle East countries. The survey instrument was developed by an expert multi-professional panel within the European Society of Pediatric and Neonatal Intensive Care (ESPNIC). A total of 154 respondents from 35 European and Middle East countries participated (response rate 64%). Respondents were physicians in charge of acute or critically ill children. All respondents indicated they routinely use a predefined formula to prescribe the amount of IV-MFT and considered fluid balance monitoring very important in the management of acute and critically ill children. The use of balanced solution was preferred if there were altered serum sodium and chloride levels or metabolic acidosis. Just under half (42%, 65/153) of respondents believed balanced solutions should always be used. Respondents considered the use of isotonic IV solutions as important for acute and critically ill children. In terms of the indication and the composition of IV-MFT prescribed, responses were heterogeneous among centers. Almost 70% (107/154) respondents believed there was a gap between current practice and what they considered ideal IV-MFT due to a lack of guidelines and inadequate training of healthcare professionals.   Conclusions: Our study showed considerable variability in clinical prescribing practice of IV-MFT in acute pediatric settings across Europe and the Middle East. There is an urgent need to develop evidence-based guidelines for IV-MFT prescription in acute and critically ill children. What is Known: • The administration of maintenance intravenous fluid therapy is a standard of care for a lot of hospitalized children • Maintenance intravenous fluid therapy prescriptions are often based on Holliday and Segar's historical guidelines even if this practice has been associated with several complications. What is New: • This study provided information on the prescribing practice regarding fluid restriction, fluid tonicity, and balance. • This study showed considerable variability in clinical prescribing practice of intravenous maintenance fluid therapy across Europe and the Middle East.","container-title":"European Journal of Pediatrics","DOI":"10.1007/s00431-022-04467-y","ISSN":"1432-1076","journalAbbreviation":"Eur J Pediatr","language":"eng","note":"PMID: 35503578","source":"PubMed","title":"Intravenous maintenance fluid therapy practice in the pediatric acute and critical care settings: a European and Middle Eastern survey","title-short":"Intravenous maintenance fluid therapy practice in the pediatric acute and critical care settings","author":[{"family":"Morice","given":"Claire"},{"family":"Alsohime","given":"Fahad"},{"family":"Mayberry","given":"Huw"},{"family":"Tume","given":"Lyvonne N."},{"family":"Brossier","given":"David"},{"family":"Valla","given":"Frederic V."},{"literal":"ESPNICIVMFT group"}],"issued":{"date-parts":[["2022",5,3]]}}}],"schema":"https://github.com/citation-style-language/schema/raw/master/csl-citation.json"} </w:instrText>
      </w:r>
      <w:r w:rsidR="00F71D23" w:rsidRPr="00076637">
        <w:rPr>
          <w:rFonts w:ascii="Times New Roman" w:eastAsia="Times New Roman" w:hAnsi="Times New Roman" w:cs="Times New Roman"/>
          <w:color w:val="000000"/>
          <w:sz w:val="24"/>
          <w:szCs w:val="24"/>
        </w:rPr>
        <w:fldChar w:fldCharType="separate"/>
      </w:r>
      <w:r w:rsidR="00F71D23" w:rsidRPr="00076637">
        <w:rPr>
          <w:rFonts w:ascii="Times New Roman" w:hAnsi="Times New Roman" w:cs="Times New Roman"/>
          <w:sz w:val="24"/>
        </w:rPr>
        <w:t>[16]</w:t>
      </w:r>
      <w:r w:rsidR="00F71D23" w:rsidRPr="00076637">
        <w:rPr>
          <w:rFonts w:ascii="Times New Roman" w:eastAsia="Times New Roman" w:hAnsi="Times New Roman" w:cs="Times New Roman"/>
          <w:color w:val="000000"/>
          <w:sz w:val="24"/>
          <w:szCs w:val="24"/>
        </w:rPr>
        <w:fldChar w:fldCharType="end"/>
      </w:r>
      <w:r w:rsidRPr="00076637">
        <w:rPr>
          <w:rFonts w:ascii="Times New Roman" w:eastAsia="Times New Roman" w:hAnsi="Times New Roman" w:cs="Times New Roman"/>
          <w:color w:val="000000"/>
          <w:sz w:val="24"/>
          <w:szCs w:val="24"/>
        </w:rPr>
        <w:t xml:space="preserve">. All used a formula to calculate the daily amount for IV-MFT, most commonly </w:t>
      </w:r>
      <w:r w:rsidR="00D2261B" w:rsidRPr="00076637">
        <w:rPr>
          <w:rFonts w:ascii="Times New Roman" w:eastAsia="Times New Roman" w:hAnsi="Times New Roman" w:cs="Times New Roman"/>
          <w:color w:val="000000"/>
          <w:sz w:val="24"/>
          <w:szCs w:val="24"/>
        </w:rPr>
        <w:t xml:space="preserve">using the </w:t>
      </w:r>
      <w:r w:rsidRPr="00076637">
        <w:rPr>
          <w:rFonts w:ascii="Times New Roman" w:eastAsia="Times New Roman" w:hAnsi="Times New Roman" w:cs="Times New Roman"/>
          <w:color w:val="000000"/>
          <w:sz w:val="24"/>
          <w:szCs w:val="24"/>
        </w:rPr>
        <w:t xml:space="preserve">Holliday-Segar </w:t>
      </w:r>
      <w:r w:rsidR="00D2261B" w:rsidRPr="00076637">
        <w:rPr>
          <w:rFonts w:ascii="Times New Roman" w:eastAsia="Times New Roman" w:hAnsi="Times New Roman" w:cs="Times New Roman"/>
          <w:color w:val="000000"/>
          <w:sz w:val="24"/>
          <w:szCs w:val="24"/>
        </w:rPr>
        <w:t xml:space="preserve">formula </w:t>
      </w:r>
      <w:r w:rsidRPr="00076637">
        <w:rPr>
          <w:rFonts w:ascii="Times New Roman" w:eastAsia="Times New Roman" w:hAnsi="Times New Roman" w:cs="Times New Roman"/>
          <w:color w:val="000000"/>
          <w:sz w:val="24"/>
          <w:szCs w:val="24"/>
        </w:rPr>
        <w:t xml:space="preserve">(76%). However, </w:t>
      </w:r>
      <w:r w:rsidR="00D2261B" w:rsidRPr="00076637">
        <w:rPr>
          <w:rFonts w:ascii="Times New Roman" w:eastAsia="Times New Roman" w:hAnsi="Times New Roman" w:cs="Times New Roman"/>
          <w:color w:val="000000"/>
          <w:sz w:val="24"/>
          <w:szCs w:val="24"/>
        </w:rPr>
        <w:t>respondents</w:t>
      </w:r>
      <w:r w:rsidRPr="00076637">
        <w:rPr>
          <w:rFonts w:ascii="Times New Roman" w:eastAsia="Times New Roman" w:hAnsi="Times New Roman" w:cs="Times New Roman"/>
          <w:color w:val="000000"/>
          <w:sz w:val="24"/>
          <w:szCs w:val="24"/>
        </w:rPr>
        <w:t xml:space="preserve"> stated </w:t>
      </w:r>
      <w:r w:rsidR="00D2261B" w:rsidRPr="00076637">
        <w:rPr>
          <w:rFonts w:ascii="Times New Roman" w:eastAsia="Times New Roman" w:hAnsi="Times New Roman" w:cs="Times New Roman"/>
          <w:color w:val="000000"/>
          <w:sz w:val="24"/>
          <w:szCs w:val="24"/>
        </w:rPr>
        <w:t xml:space="preserve">they </w:t>
      </w:r>
      <w:r w:rsidRPr="00076637">
        <w:rPr>
          <w:rFonts w:ascii="Times New Roman" w:eastAsia="Times New Roman" w:hAnsi="Times New Roman" w:cs="Times New Roman"/>
          <w:color w:val="000000"/>
          <w:sz w:val="24"/>
          <w:szCs w:val="24"/>
        </w:rPr>
        <w:t>restrict</w:t>
      </w:r>
      <w:r w:rsidR="00D2261B" w:rsidRPr="00076637">
        <w:rPr>
          <w:rFonts w:ascii="Times New Roman" w:eastAsia="Times New Roman" w:hAnsi="Times New Roman" w:cs="Times New Roman"/>
          <w:color w:val="000000"/>
          <w:sz w:val="24"/>
          <w:szCs w:val="24"/>
        </w:rPr>
        <w:t>ed</w:t>
      </w:r>
      <w:r w:rsidRPr="00076637">
        <w:rPr>
          <w:rFonts w:ascii="Times New Roman" w:eastAsia="Times New Roman" w:hAnsi="Times New Roman" w:cs="Times New Roman"/>
          <w:color w:val="000000"/>
          <w:sz w:val="24"/>
          <w:szCs w:val="24"/>
        </w:rPr>
        <w:t xml:space="preserve"> IV-MFT in children who have cardiac conditions (87%), </w:t>
      </w:r>
      <w:r w:rsidR="00D2261B" w:rsidRPr="00076637">
        <w:rPr>
          <w:rFonts w:ascii="Times New Roman" w:eastAsia="Times New Roman" w:hAnsi="Times New Roman" w:cs="Times New Roman"/>
          <w:color w:val="000000"/>
          <w:sz w:val="24"/>
          <w:szCs w:val="24"/>
        </w:rPr>
        <w:t>after</w:t>
      </w:r>
      <w:r w:rsidRPr="00076637">
        <w:rPr>
          <w:rFonts w:ascii="Times New Roman" w:eastAsia="Times New Roman" w:hAnsi="Times New Roman" w:cs="Times New Roman"/>
          <w:color w:val="000000"/>
          <w:sz w:val="24"/>
          <w:szCs w:val="24"/>
        </w:rPr>
        <w:t xml:space="preserve"> cardiac surgery (86%), in renal failure (78%) and those on invasive mechanical ventilation (56%). Although all respondents </w:t>
      </w:r>
      <w:r w:rsidR="008202FA" w:rsidRPr="00076637">
        <w:rPr>
          <w:rFonts w:ascii="Times New Roman" w:eastAsia="Times New Roman" w:hAnsi="Times New Roman" w:cs="Times New Roman"/>
          <w:color w:val="000000"/>
          <w:sz w:val="24"/>
          <w:szCs w:val="24"/>
        </w:rPr>
        <w:t xml:space="preserve">reported that </w:t>
      </w:r>
      <w:r w:rsidRPr="00076637">
        <w:rPr>
          <w:rFonts w:ascii="Times New Roman" w:eastAsia="Times New Roman" w:hAnsi="Times New Roman" w:cs="Times New Roman"/>
          <w:color w:val="000000"/>
          <w:sz w:val="24"/>
          <w:szCs w:val="24"/>
        </w:rPr>
        <w:t xml:space="preserve">fluid balance monitoring </w:t>
      </w:r>
      <w:r w:rsidR="008202FA" w:rsidRPr="00076637">
        <w:rPr>
          <w:rFonts w:ascii="Times New Roman" w:eastAsia="Times New Roman" w:hAnsi="Times New Roman" w:cs="Times New Roman"/>
          <w:color w:val="000000"/>
          <w:sz w:val="24"/>
          <w:szCs w:val="24"/>
        </w:rPr>
        <w:t xml:space="preserve">was </w:t>
      </w:r>
      <w:r w:rsidRPr="00076637">
        <w:rPr>
          <w:rFonts w:ascii="Times New Roman" w:eastAsia="Times New Roman" w:hAnsi="Times New Roman" w:cs="Times New Roman"/>
          <w:color w:val="000000"/>
          <w:sz w:val="24"/>
          <w:szCs w:val="24"/>
        </w:rPr>
        <w:t>important, what was included in</w:t>
      </w:r>
      <w:r w:rsidR="008202FA" w:rsidRPr="00076637">
        <w:rPr>
          <w:rFonts w:ascii="Times New Roman" w:eastAsia="Times New Roman" w:hAnsi="Times New Roman" w:cs="Times New Roman"/>
          <w:color w:val="000000"/>
          <w:sz w:val="24"/>
          <w:szCs w:val="24"/>
        </w:rPr>
        <w:t xml:space="preserve"> this</w:t>
      </w:r>
      <w:r w:rsidRPr="00076637">
        <w:rPr>
          <w:rFonts w:ascii="Times New Roman" w:eastAsia="Times New Roman" w:hAnsi="Times New Roman" w:cs="Times New Roman"/>
          <w:color w:val="000000"/>
          <w:sz w:val="24"/>
          <w:szCs w:val="24"/>
        </w:rPr>
        <w:t xml:space="preserve"> </w:t>
      </w:r>
      <w:r w:rsidR="008202FA" w:rsidRPr="00076637">
        <w:rPr>
          <w:rFonts w:ascii="Times New Roman" w:eastAsia="Times New Roman" w:hAnsi="Times New Roman" w:cs="Times New Roman"/>
          <w:color w:val="000000"/>
          <w:sz w:val="24"/>
          <w:szCs w:val="24"/>
        </w:rPr>
        <w:t xml:space="preserve">calculation </w:t>
      </w:r>
      <w:r w:rsidRPr="00076637">
        <w:rPr>
          <w:rFonts w:ascii="Times New Roman" w:eastAsia="Times New Roman" w:hAnsi="Times New Roman" w:cs="Times New Roman"/>
          <w:color w:val="000000"/>
          <w:sz w:val="24"/>
          <w:szCs w:val="24"/>
        </w:rPr>
        <w:t xml:space="preserve">varied. Most </w:t>
      </w:r>
      <w:r w:rsidR="008202FA" w:rsidRPr="00076637">
        <w:rPr>
          <w:rFonts w:ascii="Times New Roman" w:eastAsia="Times New Roman" w:hAnsi="Times New Roman" w:cs="Times New Roman"/>
          <w:color w:val="000000"/>
          <w:sz w:val="24"/>
          <w:szCs w:val="24"/>
        </w:rPr>
        <w:t>respondents</w:t>
      </w:r>
      <w:r w:rsidRPr="00076637">
        <w:rPr>
          <w:rFonts w:ascii="Times New Roman" w:eastAsia="Times New Roman" w:hAnsi="Times New Roman" w:cs="Times New Roman"/>
          <w:color w:val="000000"/>
          <w:sz w:val="24"/>
          <w:szCs w:val="24"/>
        </w:rPr>
        <w:t xml:space="preserve"> included continuous</w:t>
      </w:r>
      <w:r w:rsidR="008202FA" w:rsidRPr="00076637">
        <w:rPr>
          <w:rFonts w:ascii="Times New Roman" w:eastAsia="Times New Roman" w:hAnsi="Times New Roman" w:cs="Times New Roman"/>
          <w:color w:val="000000"/>
          <w:sz w:val="24"/>
          <w:szCs w:val="24"/>
        </w:rPr>
        <w:t>ly</w:t>
      </w:r>
      <w:r w:rsidRPr="00076637">
        <w:rPr>
          <w:rFonts w:ascii="Times New Roman" w:eastAsia="Times New Roman" w:hAnsi="Times New Roman" w:cs="Times New Roman"/>
          <w:color w:val="000000"/>
          <w:sz w:val="24"/>
          <w:szCs w:val="24"/>
        </w:rPr>
        <w:t xml:space="preserve"> infus</w:t>
      </w:r>
      <w:r w:rsidR="008202FA" w:rsidRPr="00076637">
        <w:rPr>
          <w:rFonts w:ascii="Times New Roman" w:eastAsia="Times New Roman" w:hAnsi="Times New Roman" w:cs="Times New Roman"/>
          <w:color w:val="000000"/>
          <w:sz w:val="24"/>
          <w:szCs w:val="24"/>
        </w:rPr>
        <w:t>ed</w:t>
      </w:r>
      <w:r w:rsidRPr="00076637">
        <w:rPr>
          <w:rFonts w:ascii="Times New Roman" w:eastAsia="Times New Roman" w:hAnsi="Times New Roman" w:cs="Times New Roman"/>
          <w:color w:val="000000"/>
          <w:sz w:val="24"/>
          <w:szCs w:val="24"/>
        </w:rPr>
        <w:t xml:space="preserve"> medications (99%), enteral nutrition (91%) and parenteral nutrition (100%). The majority also included IV bolus drugs (78%), blood products (71%), </w:t>
      </w:r>
      <w:r w:rsidR="00CD3002" w:rsidRPr="00076637">
        <w:rPr>
          <w:rFonts w:ascii="Times New Roman" w:eastAsia="Times New Roman" w:hAnsi="Times New Roman" w:cs="Times New Roman"/>
          <w:color w:val="000000"/>
          <w:sz w:val="24"/>
          <w:szCs w:val="24"/>
        </w:rPr>
        <w:t xml:space="preserve">arterial and venous </w:t>
      </w:r>
      <w:r w:rsidRPr="00076637">
        <w:rPr>
          <w:rFonts w:ascii="Times New Roman" w:eastAsia="Times New Roman" w:hAnsi="Times New Roman" w:cs="Times New Roman"/>
          <w:color w:val="000000"/>
          <w:sz w:val="24"/>
          <w:szCs w:val="24"/>
        </w:rPr>
        <w:t xml:space="preserve">flush solutions (74%), fluid boluses (73%) and oral nutrition (77%).  </w:t>
      </w:r>
    </w:p>
    <w:p w14:paraId="44DBFDFF" w14:textId="352B02A6" w:rsidR="00CD3002" w:rsidRPr="00076637" w:rsidRDefault="00D57C7E" w:rsidP="00456DF3">
      <w:pPr>
        <w:spacing w:line="360" w:lineRule="auto"/>
        <w:jc w:val="both"/>
        <w:rPr>
          <w:rFonts w:ascii="Times New Roman" w:eastAsia="Arial" w:hAnsi="Times New Roman" w:cs="Times New Roman"/>
          <w:color w:val="808080"/>
          <w:sz w:val="24"/>
          <w:szCs w:val="24"/>
        </w:rPr>
      </w:pPr>
      <w:r w:rsidRPr="00076637">
        <w:rPr>
          <w:rFonts w:ascii="Times New Roman" w:eastAsia="Times New Roman" w:hAnsi="Times New Roman" w:cs="Times New Roman"/>
          <w:bCs/>
          <w:sz w:val="24"/>
          <w:szCs w:val="24"/>
        </w:rPr>
        <w:lastRenderedPageBreak/>
        <w:t>Our survey found most clinicians bas</w:t>
      </w:r>
      <w:r w:rsidR="00CD3002" w:rsidRPr="00076637">
        <w:rPr>
          <w:rFonts w:ascii="Times New Roman" w:eastAsia="Times New Roman" w:hAnsi="Times New Roman" w:cs="Times New Roman"/>
          <w:bCs/>
          <w:sz w:val="24"/>
          <w:szCs w:val="24"/>
        </w:rPr>
        <w:t xml:space="preserve">ed </w:t>
      </w:r>
      <w:r w:rsidRPr="00076637">
        <w:rPr>
          <w:rFonts w:ascii="Times New Roman" w:eastAsia="Times New Roman" w:hAnsi="Times New Roman" w:cs="Times New Roman"/>
          <w:bCs/>
          <w:sz w:val="24"/>
          <w:szCs w:val="24"/>
        </w:rPr>
        <w:t xml:space="preserve">their calculations for </w:t>
      </w:r>
      <w:r w:rsidR="00CD3002" w:rsidRPr="00076637">
        <w:rPr>
          <w:rFonts w:ascii="Times New Roman" w:eastAsia="Times New Roman" w:hAnsi="Times New Roman" w:cs="Times New Roman"/>
          <w:bCs/>
          <w:sz w:val="24"/>
          <w:szCs w:val="24"/>
        </w:rPr>
        <w:t xml:space="preserve">acute and </w:t>
      </w:r>
      <w:r w:rsidRPr="00076637">
        <w:rPr>
          <w:rFonts w:ascii="Times New Roman" w:eastAsia="Times New Roman" w:hAnsi="Times New Roman" w:cs="Times New Roman"/>
          <w:bCs/>
          <w:sz w:val="24"/>
          <w:szCs w:val="24"/>
        </w:rPr>
        <w:t>critically ill children on a formula originally devised in 1957</w:t>
      </w:r>
      <w:r w:rsidR="00CD3002" w:rsidRPr="00076637">
        <w:rPr>
          <w:rFonts w:ascii="Times New Roman" w:eastAsia="Times New Roman" w:hAnsi="Times New Roman" w:cs="Times New Roman"/>
          <w:bCs/>
          <w:sz w:val="24"/>
          <w:szCs w:val="24"/>
        </w:rPr>
        <w:t>, which was developed</w:t>
      </w:r>
      <w:r w:rsidRPr="00076637">
        <w:rPr>
          <w:rFonts w:ascii="Times New Roman" w:eastAsia="Times New Roman" w:hAnsi="Times New Roman" w:cs="Times New Roman"/>
          <w:bCs/>
          <w:sz w:val="24"/>
          <w:szCs w:val="24"/>
        </w:rPr>
        <w:t xml:space="preserve"> </w:t>
      </w:r>
      <w:r w:rsidR="00CD3002" w:rsidRPr="00076637">
        <w:rPr>
          <w:rFonts w:ascii="Times New Roman" w:eastAsia="Times New Roman" w:hAnsi="Times New Roman" w:cs="Times New Roman"/>
          <w:bCs/>
          <w:sz w:val="24"/>
          <w:szCs w:val="24"/>
        </w:rPr>
        <w:t xml:space="preserve">from </w:t>
      </w:r>
      <w:r w:rsidRPr="00076637">
        <w:rPr>
          <w:rFonts w:ascii="Times New Roman" w:eastAsia="Times New Roman" w:hAnsi="Times New Roman" w:cs="Times New Roman"/>
          <w:bCs/>
          <w:sz w:val="24"/>
          <w:szCs w:val="24"/>
        </w:rPr>
        <w:t>the requirements of healthy children</w:t>
      </w:r>
      <w:r w:rsidR="00CD3002" w:rsidRPr="00076637">
        <w:rPr>
          <w:rFonts w:ascii="Times New Roman" w:eastAsia="Times New Roman" w:hAnsi="Times New Roman" w:cs="Times New Roman"/>
          <w:bCs/>
          <w:sz w:val="24"/>
          <w:szCs w:val="24"/>
        </w:rPr>
        <w:t xml:space="preserve">, with many restricting fluids beyond this formula for different conditions. </w:t>
      </w:r>
    </w:p>
    <w:p w14:paraId="277F8F5B" w14:textId="77777777" w:rsidR="00117637" w:rsidRPr="00076637" w:rsidRDefault="00D57C7E" w:rsidP="00456DF3">
      <w:pPr>
        <w:pStyle w:val="Titre1"/>
        <w:rPr>
          <w:color w:val="A5A5A5"/>
        </w:rPr>
      </w:pPr>
      <w:r w:rsidRPr="00076637">
        <w:rPr>
          <w:rFonts w:eastAsia="Arial"/>
        </w:rPr>
        <w:t>Adult IV-MFT recommendations</w:t>
      </w:r>
    </w:p>
    <w:p w14:paraId="277F8F5D" w14:textId="563B6253"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The physiological rationale for restrictive IV-MFT in acute</w:t>
      </w:r>
      <w:r w:rsidR="00442D0A" w:rsidRPr="00076637">
        <w:rPr>
          <w:rFonts w:ascii="Times New Roman" w:eastAsia="Times New Roman" w:hAnsi="Times New Roman" w:cs="Times New Roman"/>
          <w:sz w:val="24"/>
          <w:szCs w:val="24"/>
        </w:rPr>
        <w:t>ly</w:t>
      </w:r>
      <w:r w:rsidRPr="00076637">
        <w:rPr>
          <w:rFonts w:ascii="Times New Roman" w:eastAsia="Times New Roman" w:hAnsi="Times New Roman" w:cs="Times New Roman"/>
          <w:sz w:val="24"/>
          <w:szCs w:val="24"/>
        </w:rPr>
        <w:t xml:space="preserve"> and critically ill patients is logical, to reduce the amount of water and sodium retention caused by both increased endogenous secretion of antidiuretic hormone (ADH) and the effect of positive pressure ventilation (PPV)</w:t>
      </w:r>
      <w:r w:rsidR="00D77564" w:rsidRPr="00076637">
        <w:rPr>
          <w:rFonts w:ascii="Times New Roman" w:eastAsia="Times New Roman" w:hAnsi="Times New Roman" w:cs="Times New Roman"/>
          <w:sz w:val="24"/>
          <w:szCs w:val="24"/>
        </w:rPr>
        <w:t>,</w:t>
      </w:r>
      <w:r w:rsidRPr="00076637">
        <w:rPr>
          <w:rFonts w:ascii="Times New Roman" w:eastAsia="Times New Roman" w:hAnsi="Times New Roman" w:cs="Times New Roman"/>
          <w:sz w:val="24"/>
          <w:szCs w:val="24"/>
        </w:rPr>
        <w:t xml:space="preserve"> </w:t>
      </w:r>
      <w:r w:rsidR="00EE5A3D" w:rsidRPr="00076637">
        <w:rPr>
          <w:rFonts w:ascii="Times New Roman" w:eastAsia="Times New Roman" w:hAnsi="Times New Roman" w:cs="Times New Roman"/>
          <w:sz w:val="24"/>
          <w:szCs w:val="24"/>
        </w:rPr>
        <w:t xml:space="preserve">which </w:t>
      </w:r>
      <w:r w:rsidRPr="00076637">
        <w:rPr>
          <w:rFonts w:ascii="Times New Roman" w:eastAsia="Times New Roman" w:hAnsi="Times New Roman" w:cs="Times New Roman"/>
          <w:sz w:val="24"/>
          <w:szCs w:val="24"/>
        </w:rPr>
        <w:t>further increase</w:t>
      </w:r>
      <w:r w:rsidR="00EE5A3D" w:rsidRPr="00076637">
        <w:rPr>
          <w:rFonts w:ascii="Times New Roman" w:eastAsia="Times New Roman" w:hAnsi="Times New Roman" w:cs="Times New Roman"/>
          <w:sz w:val="24"/>
          <w:szCs w:val="24"/>
        </w:rPr>
        <w:t>s</w:t>
      </w:r>
      <w:r w:rsidRPr="00076637">
        <w:rPr>
          <w:rFonts w:ascii="Times New Roman" w:eastAsia="Times New Roman" w:hAnsi="Times New Roman" w:cs="Times New Roman"/>
          <w:sz w:val="24"/>
          <w:szCs w:val="24"/>
        </w:rPr>
        <w:t xml:space="preserve"> ADH secretion </w:t>
      </w:r>
      <w:r w:rsidR="00EE5A3D" w:rsidRPr="00076637">
        <w:rPr>
          <w:rFonts w:ascii="Times New Roman" w:eastAsia="Times New Roman" w:hAnsi="Times New Roman" w:cs="Times New Roman"/>
          <w:sz w:val="24"/>
          <w:szCs w:val="24"/>
        </w:rPr>
        <w:t>together</w:t>
      </w:r>
      <w:r w:rsidRPr="00076637">
        <w:rPr>
          <w:rFonts w:ascii="Times New Roman" w:eastAsia="Times New Roman" w:hAnsi="Times New Roman" w:cs="Times New Roman"/>
          <w:sz w:val="24"/>
          <w:szCs w:val="24"/>
        </w:rPr>
        <w:t xml:space="preserve"> with the impact on the atrial stretch receptors </w:t>
      </w:r>
      <w:r w:rsidR="00EE5A3D" w:rsidRPr="00076637">
        <w:rPr>
          <w:rFonts w:ascii="Times New Roman" w:eastAsia="Times New Roman" w:hAnsi="Times New Roman" w:cs="Times New Roman"/>
          <w:sz w:val="24"/>
          <w:szCs w:val="24"/>
        </w:rPr>
        <w:t xml:space="preserve">causing </w:t>
      </w:r>
      <w:r w:rsidRPr="00076637">
        <w:rPr>
          <w:rFonts w:ascii="Times New Roman" w:eastAsia="Times New Roman" w:hAnsi="Times New Roman" w:cs="Times New Roman"/>
          <w:sz w:val="24"/>
          <w:szCs w:val="24"/>
        </w:rPr>
        <w:t>vasopressin</w:t>
      </w:r>
      <w:r w:rsidR="00EE5A3D" w:rsidRPr="00076637">
        <w:rPr>
          <w:rFonts w:ascii="Times New Roman" w:eastAsia="Times New Roman" w:hAnsi="Times New Roman" w:cs="Times New Roman"/>
          <w:sz w:val="24"/>
          <w:szCs w:val="24"/>
        </w:rPr>
        <w:t xml:space="preserve"> release</w:t>
      </w:r>
      <w:r w:rsidRPr="00076637">
        <w:rPr>
          <w:rFonts w:ascii="Times New Roman" w:eastAsia="Times New Roman" w:hAnsi="Times New Roman" w:cs="Times New Roman"/>
          <w:sz w:val="24"/>
          <w:szCs w:val="24"/>
        </w:rPr>
        <w:t xml:space="preserve">. </w:t>
      </w:r>
      <w:r w:rsidR="00EE5A3D" w:rsidRPr="00076637">
        <w:rPr>
          <w:rFonts w:ascii="Times New Roman" w:eastAsia="Times New Roman" w:hAnsi="Times New Roman" w:cs="Times New Roman"/>
          <w:sz w:val="24"/>
          <w:szCs w:val="24"/>
        </w:rPr>
        <w:t xml:space="preserve">  However a r</w:t>
      </w:r>
      <w:r w:rsidRPr="00076637">
        <w:rPr>
          <w:rFonts w:ascii="Times New Roman" w:eastAsia="Times New Roman" w:hAnsi="Times New Roman" w:cs="Times New Roman"/>
          <w:sz w:val="24"/>
          <w:szCs w:val="24"/>
        </w:rPr>
        <w:t xml:space="preserve">estrictive (or conservative) </w:t>
      </w:r>
      <w:r w:rsidR="000A4738" w:rsidRPr="00076637">
        <w:rPr>
          <w:rFonts w:ascii="Times New Roman" w:eastAsia="Times New Roman" w:hAnsi="Times New Roman" w:cs="Times New Roman"/>
          <w:sz w:val="24"/>
          <w:szCs w:val="24"/>
        </w:rPr>
        <w:t>IV</w:t>
      </w:r>
      <w:r w:rsidR="0078308C" w:rsidRPr="00076637">
        <w:rPr>
          <w:rFonts w:ascii="Times New Roman" w:eastAsia="Times New Roman" w:hAnsi="Times New Roman" w:cs="Times New Roman"/>
          <w:sz w:val="24"/>
          <w:szCs w:val="24"/>
        </w:rPr>
        <w:t xml:space="preserve"> fluid</w:t>
      </w:r>
      <w:r w:rsidR="000A4738"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strategy </w:t>
      </w:r>
      <w:r w:rsidR="00EE5A3D" w:rsidRPr="00076637">
        <w:rPr>
          <w:rFonts w:ascii="Times New Roman" w:eastAsia="Times New Roman" w:hAnsi="Times New Roman" w:cs="Times New Roman"/>
          <w:sz w:val="24"/>
          <w:szCs w:val="24"/>
        </w:rPr>
        <w:t xml:space="preserve">may </w:t>
      </w:r>
      <w:r w:rsidRPr="00076637">
        <w:rPr>
          <w:rFonts w:ascii="Times New Roman" w:eastAsia="Times New Roman" w:hAnsi="Times New Roman" w:cs="Times New Roman"/>
          <w:sz w:val="24"/>
          <w:szCs w:val="24"/>
        </w:rPr>
        <w:t>expos</w:t>
      </w:r>
      <w:r w:rsidR="000A4738" w:rsidRPr="00076637">
        <w:rPr>
          <w:rFonts w:ascii="Times New Roman" w:eastAsia="Times New Roman" w:hAnsi="Times New Roman" w:cs="Times New Roman"/>
          <w:sz w:val="24"/>
          <w:szCs w:val="24"/>
        </w:rPr>
        <w:t>e</w:t>
      </w:r>
      <w:r w:rsidRPr="00076637">
        <w:rPr>
          <w:rFonts w:ascii="Times New Roman" w:eastAsia="Times New Roman" w:hAnsi="Times New Roman" w:cs="Times New Roman"/>
          <w:sz w:val="24"/>
          <w:szCs w:val="24"/>
        </w:rPr>
        <w:t xml:space="preserve"> patients to</w:t>
      </w:r>
      <w:r w:rsidR="00EE5A3D" w:rsidRPr="00076637">
        <w:rPr>
          <w:rFonts w:ascii="Times New Roman" w:eastAsia="Times New Roman" w:hAnsi="Times New Roman" w:cs="Times New Roman"/>
          <w:sz w:val="24"/>
          <w:szCs w:val="24"/>
        </w:rPr>
        <w:t xml:space="preserve"> impaired </w:t>
      </w:r>
      <w:r w:rsidRPr="00076637">
        <w:rPr>
          <w:rFonts w:ascii="Times New Roman" w:eastAsia="Times New Roman" w:hAnsi="Times New Roman" w:cs="Times New Roman"/>
          <w:sz w:val="24"/>
          <w:szCs w:val="24"/>
        </w:rPr>
        <w:t xml:space="preserve">cardiac output or non-pulmonary organ function; conversely a standard (or liberal) </w:t>
      </w:r>
      <w:r w:rsidR="000A4738" w:rsidRPr="00076637">
        <w:rPr>
          <w:rFonts w:ascii="Times New Roman" w:eastAsia="Times New Roman" w:hAnsi="Times New Roman" w:cs="Times New Roman"/>
          <w:sz w:val="24"/>
          <w:szCs w:val="24"/>
        </w:rPr>
        <w:t>IV</w:t>
      </w:r>
      <w:r w:rsidR="00D764CF" w:rsidRPr="00076637">
        <w:rPr>
          <w:rFonts w:ascii="Times New Roman" w:eastAsia="Times New Roman" w:hAnsi="Times New Roman" w:cs="Times New Roman"/>
          <w:sz w:val="24"/>
          <w:szCs w:val="24"/>
        </w:rPr>
        <w:t xml:space="preserve"> fluid</w:t>
      </w:r>
      <w:r w:rsidR="000A4738"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strategy </w:t>
      </w:r>
      <w:r w:rsidR="000A4738" w:rsidRPr="00076637">
        <w:rPr>
          <w:rFonts w:ascii="Times New Roman" w:eastAsia="Times New Roman" w:hAnsi="Times New Roman" w:cs="Times New Roman"/>
          <w:sz w:val="24"/>
          <w:szCs w:val="24"/>
        </w:rPr>
        <w:t>may</w:t>
      </w:r>
      <w:r w:rsidRPr="00076637">
        <w:rPr>
          <w:rFonts w:ascii="Times New Roman" w:eastAsia="Times New Roman" w:hAnsi="Times New Roman" w:cs="Times New Roman"/>
          <w:sz w:val="24"/>
          <w:szCs w:val="24"/>
        </w:rPr>
        <w:t xml:space="preserve"> lead to more respiratory complications, sepsis, acute kidney injury (AKI) and </w:t>
      </w:r>
      <w:r w:rsidR="000A4738" w:rsidRPr="00076637">
        <w:rPr>
          <w:rFonts w:ascii="Times New Roman" w:eastAsia="Times New Roman" w:hAnsi="Times New Roman" w:cs="Times New Roman"/>
          <w:sz w:val="24"/>
          <w:szCs w:val="24"/>
        </w:rPr>
        <w:t xml:space="preserve">impaired </w:t>
      </w:r>
      <w:r w:rsidRPr="00076637">
        <w:rPr>
          <w:rFonts w:ascii="Times New Roman" w:eastAsia="Times New Roman" w:hAnsi="Times New Roman" w:cs="Times New Roman"/>
          <w:sz w:val="24"/>
          <w:szCs w:val="24"/>
        </w:rPr>
        <w:t xml:space="preserve">wound </w:t>
      </w:r>
      <w:r w:rsidR="000A4738" w:rsidRPr="00076637">
        <w:rPr>
          <w:rFonts w:ascii="Times New Roman" w:eastAsia="Times New Roman" w:hAnsi="Times New Roman" w:cs="Times New Roman"/>
          <w:sz w:val="24"/>
          <w:szCs w:val="24"/>
        </w:rPr>
        <w:t xml:space="preserve">healing </w:t>
      </w:r>
      <w:r w:rsidR="00D764CF"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{"citationID":"f9AABlbR","properties":{"formattedCitation":"[17]","plainCitation":"[17]","noteIndex":0},"citationItems":[{"id":"7qGQlw7Y/YdI1sp0W","uris":["http://zotero.org/users/874466/items/W9MM9B4Q"],"itemData":{"id":36175,"type":"article-journal","abstract":"BACKGROUND: Guidelines to promote the early recovery of patients undergoing major surgery recommend a restrictive intravenous-fluid strategy for abdominal surgery. However, the supporting evidence is limited, and there is concern about impaired organ perfusion.\nMETHODS: In a pragmatic, international trial, we randomly assigned 3000 patients who had an increased risk of complications while undergoing major abdominal surgery to receive a restrictive or liberal intravenous-fluid regimen during and up to 24 hours after surgery. The primary outcome was disability-free survival at 1 year. Key secondary outcomes were acute kidney injury at 30 days, renal-replacement therapy at 90 days, and a composite of septic complications, surgical-site infection, or death.\nRESULTS: During and up to 24 hours after surgery, 1490 patients in the restrictive fluid group had a median intravenous-fluid intake of 3.7 liters (interquartile range, 2.9 to 4.9), as compared with 6.1 liters (interquartile range, 5.0 to 7.4) in 1493 patients in the liberal fluid group (P&lt;0.001). The rate of disability-free survival at 1 year was 81.9% in the restrictive fluid group and 82.3% in the liberal fluid group (hazard ratio for death or disability, 1.05; 95% confidence interval, 0.88 to 1.24; P=0.61). The rate of acute kidney injury was 8.6% in the restrictive fluid group and 5.0% in the liberal fluid group (P&lt;0.001). The rate of septic complications or death was 21.8% in the restrictive fluid group and 19.8% in the liberal fluid group (P=0.19); rates of surgical-site infection (16.5% vs. 13.6%, P=0.02) and renal-replacement therapy (0.9% vs. 0.3%, P=0.048) were higher in the restrictive fluid group, but the between-group difference was not significant after adjustment for multiple testing.\nCONCLUSIONS: Among patients at increased risk for complications during major abdominal surgery, a restrictive fluid regimen was not associated with a higher rate of disability-free survival than a liberal fluid regimen and was associated with a higher rate of acute kidney injury. (Funded by the Australian National Health and Medical Research Council and others; RELIEF ClinicalTrials.gov number, NCT01424150 .).","container-title":"The New England Journal of Medicine","DOI":"10.1056/NEJMoa1801601","ISSN":"1533-4406","issue":"24","journalAbbreviation":"N Engl J Med","language":"eng","note":"PMID: 29742967","page":"2263-2274","source":"PubMed","title":"Restrictive versus Liberal Fluid Therapy for Major Abdominal Surgery","volume":"378","author":[{"family":"Myles","given":"Paul S."},{"family":"Bellomo","given":"Rinaldo"},{"family":"Corcoran","given":"Tomas"},{"family":"Forbes","given":"Andrew"},{"family":"Peyton","given":"Philip"},{"family":"Story","given":"David"},{"family":"Christophi","given":"Chris"},{"family":"Leslie","given":"Kate"},{"family":"McGuinness","given":"Shay"},{"family":"Parke","given":"Rachael"},{"family":"Serpell","given":"Jonathan"},{"family":"Chan","given":"Matthew T. V."},{"family":"Painter","given":"Thomas"},{"family":"McCluskey","given":"Stuart"},{"family":"Minto","given":"Gary"},{"family":"Wallace","given":"Sophie"},{"literal":"Australian and New Zealand College of Anaesthetists Clinical Trials Network and the Australian and New Zealand Intensive Care Society Clinical Trials Group"}],"issued":{"date-parts":[["2018",6,14]]}}}],"schema":"https://github.com/citation-style-language/schema/raw/master/csl-citation.json"} </w:instrText>
      </w:r>
      <w:r w:rsidR="00D764CF"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[17]</w:t>
      </w:r>
      <w:r w:rsidR="00D764CF"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w:t>
      </w:r>
      <w:r w:rsidR="000A4738"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However, robust evidence to support this is lacking. Only two studies (both RCTs) specifically examine the impact of restrictive vs liberal IV maintenance fluid therapy in adults, both trials after major abdominal surgery. These trials show mixed results, the largest trial of 3000 adults </w:t>
      </w:r>
      <w:r w:rsidR="00E74982"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{"citationID":"zlsA9oTt","properties":{"formattedCitation":"[17]","plainCitation":"[17]","noteIndex":0},"citationItems":[{"id":"7qGQlw7Y/YdI1sp0W","uris":["http://zotero.org/users/874466/items/W9MM9B4Q"],"itemData":{"id":36175,"type":"article-journal","abstract":"BACKGROUND: Guidelines to promote the early recovery of patients undergoing major surgery recommend a restrictive intravenous-fluid strategy for abdominal surgery. However, the supporting evidence is limited, and there is concern about impaired organ perfusion.\nMETHODS: In a pragmatic, international trial, we randomly assigned 3000 patients who had an increased risk of complications while undergoing major abdominal surgery to receive a restrictive or liberal intravenous-fluid regimen during and up to 24 hours after surgery. The primary outcome was disability-free survival at 1 year. Key secondary outcomes were acute kidney injury at 30 days, renal-replacement therapy at 90 days, and a composite of septic complications, surgical-site infection, or death.\nRESULTS: During and up to 24 hours after surgery, 1490 patients in the restrictive fluid group had a median intravenous-fluid intake of 3.7 liters (interquartile range, 2.9 to 4.9), as compared with 6.1 liters (interquartile range, 5.0 to 7.4) in 1493 patients in the liberal fluid group (P&lt;0.001). The rate of disability-free survival at 1 year was 81.9% in the restrictive fluid group and 82.3% in the liberal fluid group (hazard ratio for death or disability, 1.05; 95% confidence interval, 0.88 to 1.24; P=0.61). The rate of acute kidney injury was 8.6% in the restrictive fluid group and 5.0% in the liberal fluid group (P&lt;0.001). The rate of septic complications or death was 21.8% in the restrictive fluid group and 19.8% in the liberal fluid group (P=0.19); rates of surgical-site infection (16.5% vs. 13.6%, P=0.02) and renal-replacement therapy (0.9% vs. 0.3%, P=0.048) were higher in the restrictive fluid group, but the between-group difference was not significant after adjustment for multiple testing.\nCONCLUSIONS: Among patients at increased risk for complications during major abdominal surgery, a restrictive fluid regimen was not associated with a higher rate of disability-free survival than a liberal fluid regimen and was associated with a higher rate of acute kidney injury. (Funded by the Australian National Health and Medical Research Council and others; RELIEF ClinicalTrials.gov number, NCT01424150 .).","container-title":"The New England Journal of Medicine","DOI":"10.1056/NEJMoa1801601","ISSN":"1533-4406","issue":"24","journalAbbreviation":"N Engl J Med","language":"eng","note":"PMID: 29742967","page":"2263-2274","source":"PubMed","title":"Restrictive versus Liberal Fluid Therapy for Major Abdominal Surgery","volume":"378","author":[{"family":"Myles","given":"Paul S."},{"family":"Bellomo","given":"Rinaldo"},{"family":"Corcoran","given":"Tomas"},{"family":"Forbes","given":"Andrew"},{"family":"Peyton","given":"Philip"},{"family":"Story","given":"David"},{"family":"Christophi","given":"Chris"},{"family":"Leslie","given":"Kate"},{"family":"McGuinness","given":"Shay"},{"family":"Parke","given":"Rachael"},{"family":"Serpell","given":"Jonathan"},{"family":"Chan","given":"Matthew T. V."},{"family":"Painter","given":"Thomas"},{"family":"McCluskey","given":"Stuart"},{"family":"Minto","given":"Gary"},{"family":"Wallace","given":"Sophie"},{"literal":"Australian and New Zealand College of Anaesthetists Clinical Trials Network and the Australian and New Zealand Intensive Care Society Clinical Trials Group"}],"issued":{"date-parts":[["2018",6,14]]}}}],"schema":"https://github.com/citation-style-language/schema/raw/master/csl-citation.json"} </w:instrText>
      </w:r>
      <w:r w:rsidR="00E74982"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[17]</w:t>
      </w:r>
      <w:r w:rsidR="00E74982" w:rsidRPr="00076637">
        <w:rPr>
          <w:rFonts w:ascii="Times New Roman" w:eastAsia="Times New Roman" w:hAnsi="Times New Roman" w:cs="Times New Roman"/>
          <w:sz w:val="24"/>
          <w:szCs w:val="24"/>
        </w:rPr>
        <w:fldChar w:fldCharType="end"/>
      </w:r>
      <w:r w:rsidR="00E74982"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found no difference in disability-free survival at </w:t>
      </w:r>
      <w:r w:rsidR="000A4738" w:rsidRPr="00076637">
        <w:rPr>
          <w:rFonts w:ascii="Times New Roman" w:eastAsia="Times New Roman" w:hAnsi="Times New Roman" w:cs="Times New Roman"/>
          <w:sz w:val="24"/>
          <w:szCs w:val="24"/>
        </w:rPr>
        <w:t>one</w:t>
      </w:r>
      <w:r w:rsidRPr="00076637">
        <w:rPr>
          <w:rFonts w:ascii="Times New Roman" w:eastAsia="Times New Roman" w:hAnsi="Times New Roman" w:cs="Times New Roman"/>
          <w:sz w:val="24"/>
          <w:szCs w:val="24"/>
        </w:rPr>
        <w:t xml:space="preserve"> year, but an increased risk of AKI. A smaller trial of 40 adults </w:t>
      </w:r>
      <w:r w:rsidR="00223FE3"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{"citationID":"1aLZh7Gj","properties":{"formattedCitation":"[18]","plainCitation":"[18]","noteIndex":0},"citationItems":[{"id":"7qGQlw7Y/cEU8NqM8","uris":["http://zotero.org/users/874466/items/AECW4F3I"],"itemData":{"id":36177,"type":"article-journal","abstract":"OBJECTIVE: To compare the outcome of the postoperative administration of a restricted or standard intravenous fluid regimen in patients who underwent elective abdominal vascular surgery. The primary end point was postoperative hospital stay.\nDESIGN: Prospective observer-blinded, randomised controlled trial.\nMATERIAL AND METHODS: Patients were considered eligible if they underwent transperitoneal aorto-iliac approach with infrarenal graft repair. During the operation and intensive care unit stay, fluids were prescribed by the anaesthetists who were unaware of the details of the study. In the vascular surgical ward, patients in the standard group (SG) received 2500ml of fluids per day, whereas patients in the restricted group (RG) received 1500ml of fluids per day. All the patients were evaluated on an intention-to-treat basis.\nRESULTS: Forty patients were randomised to the RG (n=20) or SG (n=20). No significant differences were observed in the recovery of gastrointestinal function. However, the postoperative hospital stay was shorter in the RG (8 days) than in the SG (12 days) (p=0.003).\nCONCLUSIONS: The use of a restrictive postoperative fluid protocol significantly reduces the duration of hospital stay in patients who have undergone major elective abdominal vascular surgery.","container-title":"European Journal of Vascular and Endovascular Surgery: The Official Journal of the European Society for Vascular Surgery","DOI":"10.1016/j.ejvs.2009.01.010","ISSN":"1532-2165","issue":"5","journalAbbreviation":"Eur J Vasc Endovasc Surg","language":"eng","note":"PMID: 19231249","page":"538-543","source":"PubMed","title":"Effect of postoperative restrictive fluid therapy in the recovery of patients with abdominal vascular surgery","volume":"37","author":[{"family":"González-Fajardo","given":"J. A."},{"family":"Mengibar","given":"L."},{"family":"Brizuela","given":"J. A."},{"family":"Castrodeza","given":"J."},{"family":"Vaquero-Puerta","given":"C."}],"issued":{"date-parts":[["2009",5]]}}}],"schema":"https://github.com/citation-style-language/schema/raw/master/csl-citation.json"} </w:instrText>
      </w:r>
      <w:r w:rsidR="00223FE3"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[18]</w:t>
      </w:r>
      <w:r w:rsidR="00223FE3"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showed only a shorter length of hospital stay in the restrictive group. </w:t>
      </w:r>
    </w:p>
    <w:p w14:paraId="277F8F5E" w14:textId="4D059219" w:rsidR="00117637" w:rsidRPr="00076637" w:rsidRDefault="000A4738"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The o</w:t>
      </w:r>
      <w:r w:rsidR="00D57C7E" w:rsidRPr="00076637">
        <w:rPr>
          <w:rFonts w:ascii="Times New Roman" w:eastAsia="Times New Roman" w:hAnsi="Times New Roman" w:cs="Times New Roman"/>
          <w:sz w:val="24"/>
          <w:szCs w:val="24"/>
        </w:rPr>
        <w:t>ther adult studies have examined the effect of</w:t>
      </w:r>
      <w:r w:rsidRPr="00076637">
        <w:rPr>
          <w:rFonts w:ascii="Times New Roman" w:eastAsia="Times New Roman" w:hAnsi="Times New Roman" w:cs="Times New Roman"/>
          <w:sz w:val="24"/>
          <w:szCs w:val="24"/>
        </w:rPr>
        <w:t xml:space="preserve"> </w:t>
      </w:r>
      <w:r w:rsidR="00D57C7E" w:rsidRPr="00076637">
        <w:rPr>
          <w:rFonts w:ascii="Times New Roman" w:eastAsia="Times New Roman" w:hAnsi="Times New Roman" w:cs="Times New Roman"/>
          <w:sz w:val="24"/>
          <w:szCs w:val="24"/>
        </w:rPr>
        <w:t>restricted fluid therapy primarily for resuscitation and volume/fluid boluses for signs of shock a</w:t>
      </w:r>
      <w:r w:rsidRPr="00076637">
        <w:rPr>
          <w:rFonts w:ascii="Times New Roman" w:eastAsia="Times New Roman" w:hAnsi="Times New Roman" w:cs="Times New Roman"/>
          <w:sz w:val="24"/>
          <w:szCs w:val="24"/>
        </w:rPr>
        <w:t>s</w:t>
      </w:r>
      <w:r w:rsidR="00D57C7E" w:rsidRPr="00076637">
        <w:rPr>
          <w:rFonts w:ascii="Times New Roman" w:eastAsia="Times New Roman" w:hAnsi="Times New Roman" w:cs="Times New Roman"/>
          <w:sz w:val="24"/>
          <w:szCs w:val="24"/>
        </w:rPr>
        <w:t xml:space="preserve"> guided by central venous pressure (CVP)/ pulmonary artery occlusion pressures (PAOP). In these patients with Acute Lung Injury (ALI), the restrictive strategy (vs liberal) </w:t>
      </w:r>
      <w:r w:rsidRPr="00076637">
        <w:rPr>
          <w:rFonts w:ascii="Times New Roman" w:eastAsia="Times New Roman" w:hAnsi="Times New Roman" w:cs="Times New Roman"/>
          <w:sz w:val="24"/>
          <w:szCs w:val="24"/>
        </w:rPr>
        <w:t xml:space="preserve">improved respiratory function </w:t>
      </w:r>
      <w:r w:rsidR="00D57C7E" w:rsidRPr="00076637">
        <w:rPr>
          <w:rFonts w:ascii="Times New Roman" w:eastAsia="Times New Roman" w:hAnsi="Times New Roman" w:cs="Times New Roman"/>
          <w:sz w:val="24"/>
          <w:szCs w:val="24"/>
        </w:rPr>
        <w:t>(</w:t>
      </w:r>
      <w:r w:rsidRPr="00076637">
        <w:rPr>
          <w:rFonts w:ascii="Times New Roman" w:eastAsia="Times New Roman" w:hAnsi="Times New Roman" w:cs="Times New Roman"/>
          <w:sz w:val="24"/>
          <w:szCs w:val="24"/>
        </w:rPr>
        <w:t xml:space="preserve">resulting in </w:t>
      </w:r>
      <w:r w:rsidR="00D57C7E" w:rsidRPr="00076637">
        <w:rPr>
          <w:rFonts w:ascii="Times New Roman" w:eastAsia="Times New Roman" w:hAnsi="Times New Roman" w:cs="Times New Roman"/>
          <w:sz w:val="24"/>
          <w:szCs w:val="24"/>
        </w:rPr>
        <w:t>higher ventilator-free days) without worsening non-pulmonary organ function. Furthermore, the restrictive approach d</w:t>
      </w:r>
      <w:r w:rsidRPr="00076637">
        <w:rPr>
          <w:rFonts w:ascii="Times New Roman" w:eastAsia="Times New Roman" w:hAnsi="Times New Roman" w:cs="Times New Roman"/>
          <w:sz w:val="24"/>
          <w:szCs w:val="24"/>
        </w:rPr>
        <w:t xml:space="preserve">id </w:t>
      </w:r>
      <w:r w:rsidR="00D57C7E" w:rsidRPr="00076637">
        <w:rPr>
          <w:rFonts w:ascii="Times New Roman" w:eastAsia="Times New Roman" w:hAnsi="Times New Roman" w:cs="Times New Roman"/>
          <w:sz w:val="24"/>
          <w:szCs w:val="24"/>
        </w:rPr>
        <w:t xml:space="preserve">not change mortality </w:t>
      </w:r>
      <w:r w:rsidRPr="00076637">
        <w:rPr>
          <w:rFonts w:ascii="Times New Roman" w:eastAsia="Times New Roman" w:hAnsi="Times New Roman" w:cs="Times New Roman"/>
          <w:sz w:val="24"/>
          <w:szCs w:val="24"/>
        </w:rPr>
        <w:t>or</w:t>
      </w:r>
      <w:r w:rsidR="00D57C7E" w:rsidRPr="00076637">
        <w:rPr>
          <w:rFonts w:ascii="Times New Roman" w:eastAsia="Times New Roman" w:hAnsi="Times New Roman" w:cs="Times New Roman"/>
          <w:sz w:val="24"/>
          <w:szCs w:val="24"/>
        </w:rPr>
        <w:t xml:space="preserve"> ICU stay</w:t>
      </w:r>
      <w:r w:rsidR="00637A3E" w:rsidRPr="00076637">
        <w:rPr>
          <w:rFonts w:ascii="Times New Roman" w:eastAsia="Times New Roman" w:hAnsi="Times New Roman" w:cs="Times New Roman"/>
          <w:sz w:val="24"/>
          <w:szCs w:val="24"/>
        </w:rPr>
        <w:t xml:space="preserve"> </w:t>
      </w:r>
      <w:r w:rsidR="005150C2"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{"citationID":"DDPkey9g","properties":{"formattedCitation":"[19]","plainCitation":"[19]","noteIndex":0},"citationItems":[{"id":"7qGQlw7Y/V7swc1Ur","uris":["http://zotero.org/users/874466/items/W88V3LSF"],"itemData":{"id":36180,"type":"article-journal","abstract":"BACKGROUND: Optimal fluid management in patients with acute lung injury is unknown. Diuresis or fluid restriction may improve lung function but could jeopardize extrapulmonary-organ perfusion.\nMETHODS: In a randomized study, we compared a conservative and a liberal strategy of fluid management using explicit protocols applied for seven days in 1000 patients with acute lung injury. The primary end point was death at 60 days. Secondary end points included the number of ventilator-free days and organ-failure-free days and measures of lung physiology.\nRESULTS: The rate of death at 60 days was 25.5 percent in the conservative-strategy group and 28.4 percent in the liberal-strategy group (P=0.30; 95 percent confidence interval for the difference, -2.6 to 8.4 percent). The mean (+/-SE) cumulative fluid balance during the first seven days was -136+/-491 ml in the conservative-strategy group and 6992+/-502 ml in the liberal-strategy group (P&lt;0.001). As compared with the liberal strategy, the conservative strategy improved the oxygenation index ([mean airway pressure x the ratio of the fraction of inspired oxygen to the partial pressure of arterial oxygen]x100) and the lung injury score and increased the number of ventilator-free days (14.6+/-0.5 vs. 12.1+/-0.5, P&lt;0.001) and days not spent in the intensive care unit (13.4+/-0.4 vs. 11.2+/-0.4, P&lt;0.001) during the first 28 days but did not increase the incidence or prevalence of shock during the study or the use of dialysis during the first 60 days (10 percent vs. 14 percent, P=0.06).\nCONCLUSIONS: Although there was no significant difference in the primary outcome of 60-day mortality, the conservative strategy of fluid management improved lung function and shortened the duration of mechanical ventilation and intensive care without increasing nonpulmonary-organ failures. These results support the use of a conservative strategy of fluid management in patients with acute lung injury. (ClinicalTrials.gov number, NCT00281268 [ClinicalTrials.gov].).","container-title":"The New England Journal of Medicine","DOI":"10.1056/NEJMoa062200","ISSN":"1533-4406","issue":"24","journalAbbreviation":"N Engl J Med","language":"eng","note":"PMID: 16714767","page":"2564-2575","source":"PubMed","title":"Comparison of two fluid-management strategies in acute lung injury","volume":"354","author":[{"literal":"National Heart, Lung, and Blood Institute Acute Respiratory Distress Syndrome (ARDS) Clinical Trials Network"},{"family":"Wiedemann","given":"Herbert P."},{"family":"Wheeler","given":"Arthur P."},{"family":"Bernard","given":"Gordon R."},{"family":"Thompson","given":"B. Taylor"},{"family":"Hayden","given":"Douglas"},{"family":"deBoisblanc","given":"Ben"},{"family":"Connors","given":"Alfred F."},{"family":"Hite","given":"R. Duncan"},{"family":"Harabin","given":"Andrea L."}],"issued":{"date-parts":[["2006",6,15]]}}}],"schema":"https://github.com/citation-style-language/schema/raw/master/csl-citation.json"} </w:instrText>
      </w:r>
      <w:r w:rsidR="005150C2"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[19]</w:t>
      </w:r>
      <w:r w:rsidR="005150C2"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In early postoperative period despite the higher risk of AKI for patients receiving less intravenous fluids (including bolus and resuscitation fluids), this was associated with higher ventilator-free days, less morbidity and </w:t>
      </w:r>
      <w:r w:rsidRPr="00076637">
        <w:rPr>
          <w:rFonts w:ascii="Times New Roman" w:eastAsia="Times New Roman" w:hAnsi="Times New Roman" w:cs="Times New Roman"/>
          <w:sz w:val="24"/>
          <w:szCs w:val="24"/>
        </w:rPr>
        <w:t xml:space="preserve">a </w:t>
      </w:r>
      <w:r w:rsidR="00D57C7E" w:rsidRPr="00076637">
        <w:rPr>
          <w:rFonts w:ascii="Times New Roman" w:eastAsia="Times New Roman" w:hAnsi="Times New Roman" w:cs="Times New Roman"/>
          <w:sz w:val="24"/>
          <w:szCs w:val="24"/>
        </w:rPr>
        <w:t>shorter length of stay in the ICU and hospital</w:t>
      </w:r>
      <w:r w:rsidR="007E5901" w:rsidRPr="00076637">
        <w:rPr>
          <w:rFonts w:ascii="Times New Roman" w:eastAsia="Times New Roman" w:hAnsi="Times New Roman" w:cs="Times New Roman"/>
          <w:sz w:val="24"/>
          <w:szCs w:val="24"/>
        </w:rPr>
        <w:t xml:space="preserve"> </w:t>
      </w:r>
      <w:r w:rsidR="007E5901"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{"citationID":"djouQj0Y","properties":{"formattedCitation":"[17, 20, 21]","plainCitation":"[17, 20, 21]","noteIndex":0},"citationItems":[{"id":"7qGQlw7Y/YdI1sp0W","uris":["http://zotero.org/users/874466/items/W9MM9B4Q"],"itemData":{"id":36175,"type":"article-journal","abstract":"BACKGROUND: Guidelines to promote the early recovery of patients undergoing major surgery recommend a restrictive intravenous-fluid strategy for abdominal surgery. However, the supporting evidence is limited, and there is concern about impaired organ perfusion.\nMETHODS: In a pragmatic, international trial, we randomly assigned 3000 patients who had an increased risk of complications while undergoing major abdominal surgery to receive a restrictive or liberal intravenous-fluid regimen during and up to 24 hours after surgery. The primary outcome was disability-free survival at 1 year. Key secondary outcomes were acute kidney injury at 30 days, renal-replacement therapy at 90 days, and a composite of septic complications, surgical-site infection, or death.\nRESULTS: During and up to 24 hours after surgery, 1490 patients in the restrictive fluid group had a median intravenous-fluid intake of 3.7 liters (interquartile range, 2.9 to 4.9), as compared with 6.1 liters (interquartile range, 5.0 to 7.4) in 1493 patients in the liberal fluid group (P&lt;0.001). The rate of disability-free survival at 1 year was 81.9% in the restrictive fluid group and 82.3% in the liberal fluid group (hazard ratio for death or disability, 1.05; 95% confidence interval, 0.88 to 1.24; P=0.61). The rate of acute kidney injury was 8.6% in the restrictive fluid group and 5.0% in the liberal fluid group (P&lt;0.001). The rate of septic complications or death was 21.8% in the restrictive fluid group and 19.8% in the liberal fluid group (P=0.19); rates of surgical-site infection (16.5% vs. 13.6%, P=0.02) and renal-replacement therapy (0.9% vs. 0.3%, P=0.048) were higher in the restrictive fluid group, but the between-group difference was not significant after adjustment for multiple testing.\nCONCLUSIONS: Among patients at increased risk for complications during major abdominal surgery, a restrictive fluid regimen was not associated with a higher rate of disability-free survival than a liberal fluid regimen and was associated with a higher rate of acute kidney injury. (Funded by the Australian National Health and Medical Research Council and others; RELIEF ClinicalTrials.gov number, NCT01424150 .).","container-title":"The New England Journal of Medicine","DOI":"10.1056/NEJMoa1801601","ISSN":"1533-4406","issue":"24","journalAbbreviation":"N Engl J Med","language":"eng","note":"PMID: 29742967","page":"2263-2274","source":"PubMed","title":"Restrictive versus Liberal Fluid Therapy for Major Abdominal Surgery","volume":"378","author":[{"family":"Myles","given":"Paul S."},{"family":"Bellomo","given":"Rinaldo"},{"family":"Corcoran","given":"Tomas"},{"family":"Forbes","given":"Andrew"},{"family":"Peyton","given":"Philip"},{"family":"Story","given":"David"},{"family":"Christophi","given":"Chris"},{"family":"Leslie","given":"Kate"},{"family":"McGuinness","given":"Shay"},{"family":"Parke","given":"Rachael"},{"family":"Serpell","given":"Jonathan"},{"family":"Chan","given":"Matthew T. V."},{"family":"Painter","given":"Thomas"},{"family":"McCluskey","given":"Stuart"},{"family":"Minto","given":"Gary"},{"family":"Wallace","given":"Sophie"},{"literal":"Australian and New Zealand College of Anaesthetists Clinical Trials Network and the Australian and New Zealand Intensive Care Society Clinical Trials Group"}],"issued":{"date-parts":[["2018",6,14]]}},"label":"page"},{"id":"7qGQlw7Y/uTQ3fbd2","uris":["http://zotero.org/users/874466/items/YRE2MDJD"],"itemData":{"id":36184,"type":"article-journal","abstract":"Objective Elective minilaparotomy abdominal aortic aneurysm (AAA) repair is associated with a significant number of complications involving respiratory, cardiovascular, gastrointestinal, and central nervous systems, with mortality ranging up to 5%. In our study, we tested the hypothesis that intra- and postoperative intravenous restrictive fluid regimen reduces postoperative morbidity and mortality, and improves the outcome of minilaparotomy AAA repair. Methods From March 2009 to July 2013, 60 patients operated due to AAA were included in a prospective randomized controlled trial (RCT). About the administration of fluid during the operation and in the early postoperative period, all the patients were randomized into two groups: the group of standard fluid administration (S-group, 30 patients) and the group of reduced fluid administration (R-group, 30 patients). The verification of the treatment success was measured by the length of intensive care unit (ICU) stay, duration of hospitalization after the procedure, as well as the number and type of postoperative complications and mortality. This prospective RCT was registered in a publicly accessible database ClinicalTrials.gov with unique Identifier ID: NTC01939652. Results Total fluid administration and administration of blood products were significantly lower in R-group as compared with S-group (2,445.5 mL vs. 3308.7 mL, p = 0.004). Though the number of nonlethal complications was significantly lower in R-group (2 vs. 9 patients, p = 0.042), the difference in lethal complications remained nonsignificant (0 vs. 1 patient, p = ns). The average ICU stay (1.2 vs. 1.97 days, p = 0.003) and duration of postoperative hospital stay (4.33 vs. 6.20 days, p = 0.035 for R-group and S-group, respectively) were found to be significantly shorter in R-group. Conclusion Intra- and postoperative restrictive intravenous fluid regimen in patients undergoing minilaparotomy AAA repair significantly reduces postoperative morbidity, and shortens ICU and overall hospital stay. Even though incidence of lethal complication was lower in R-group, the difference did not reach statistical significance. Therefore, we may assume that this study was probably underpowered to estimate the differences in mortality between R- and S-groups. Further multicentric, sufficiently powered RCTs are needed to confirm these findings and to clarify effect of restrictive fluid management on mortality.","container-title":"The Thoracic and Cardiovascular Surgeon","DOI":"10.1055/s-0035-1548736","ISSN":"1439-1902","issue":"4","journalAbbreviation":"Thorac Cardiovasc Surg","language":"eng","note":"PMID: 25826678","page":"296-303","source":"PubMed","title":"Restrictive versus Standard Fluid Regimen in Elective Minilaparotomy Abdominal Aortic Repair-Prospective Randomized Controlled Trial","volume":"64","author":[{"family":"Piljic","given":"Dragan"},{"family":"Petricevic","given":"Mate"},{"family":"Piljic","given":"Dilista"},{"family":"Ksela","given":"Jus"},{"family":"Robic","given":"Boris"},{"family":"Klokocovnik","given":"Tomislav"}],"issued":{"date-parts":[["2016",6]]}},"label":"page"},{"id":"7qGQlw7Y/NPM0WrBU","uris":["http://zotero.org/users/874466/items/5E8WUVX7"],"itemData":{"id":36182,"type":"article-journal","abstract":"BACKGROUND: The ARDS Clinical Trials Network Fluid and Catheter Treatment Trial (FACTT) addressed fluid management and central monitoring of patients with acute respiratory distress syndrome/acute lung injury (ARDS/ALI). Because surgical patients may have been fundamentally different from the overall FACTT cohort, we set out to separately analyze the surgery patients in the trial.\nSTUDY DESIGN: We performed a posthoc, surgical subgroup analysis of 1,000 patients enrolled in the FACTT. Patients were randomized using a 2x2 factorial design comparing a conservative (CON) versus a liberal (LIB) strategy of fluid management and the use of a pulmonary artery catheter (PAC) or a central venous catheter (CVC). The primary end point was death at 60 days. Secondary end points included the number of ventilator-free days, ICU-free days, and dialysis-free days until hospital discharge up to day 90. We defined surgical patients as those admitted to a surgical ICU, burn ICU, or cardiac surgical ICU; trauma patients; or those with an APACHE III surgical admission type.\nRESULTS: There were 244 surgical patients. Risk of death within 60 days of randomization did not vary with catheter or fluid management, and a corresponding lack of effect was evident with regard to dialysis-free days. Ventilator-free days were increased in the fluid-conservative group (LIB, 13+/-1 days; CON, 15+/-1 days; p=0.04) at 28 days. CVC patients had more ventilator-free days at 28 and 90 days (28 days: CVC, 16+/-1 days; PAC, 13+/-1 days; p=0.03; 90 days: CVC, 64+/-3 days; PAC, 57+/-4 days; p=0.03). CVC patients had more ICU-free days at 90 days (90 days: CVC, 63+/-3 days; PAC, 55+/-3 days; p=0.04).\nCONCLUSIONS: The risk of death did not vary with fluid management or catheter. A conservative fluid-administration strategy and central venous catheter monitoring resulted in more ventilator-free and ICU-free days in surgical patients with acute lung injury, and conservative fluid administration did not result in more renal failure.","container-title":"Journal of the American College of Surgeons","DOI":"10.1016/j.jamcollsurg.2009.01.026","ISSN":"1879-1190","issue":"5","journalAbbreviation":"J Am Coll Surg","language":"eng","note":"PMID: 19476825","page":"725-735; discussion 735-737","source":"PubMed","title":"Less is more: improved outcomes in surgical patients with conservative fluid administration and central venous catheter monitoring","title-short":"Less is more","volume":"208","author":[{"family":"Stewart","given":"Ronald M."},{"family":"Park","given":"Pauline K."},{"family":"Hunt","given":"John P."},{"family":"McIntyre","given":"Robert C."},{"family":"McCarthy","given":"Janet"},{"family":"Zarzabal","given":"Lee Ann"},{"family":"Michalek","given":"Joel E."},{"literal":"National Institutes of Health/National Heart, Lung, and Blood Institute Acute Respiratory Distress Syndrome Clinical Trials Network"}],"issued":{"date-parts":[["2009",5]]}},"label":"page"}],"schema":"https://github.com/citation-style-language/schema/raw/master/csl-citation.json"} </w:instrText>
      </w:r>
      <w:r w:rsidR="007E5901"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[17, 20, 21]</w:t>
      </w:r>
      <w:r w:rsidR="007E5901"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w:t>
      </w:r>
    </w:p>
    <w:p w14:paraId="277F8F5F" w14:textId="1A708F71" w:rsidR="00117637" w:rsidRPr="00076637" w:rsidRDefault="00D57C7E" w:rsidP="00456DF3">
      <w:pPr>
        <w:spacing w:line="360" w:lineRule="auto"/>
        <w:jc w:val="both"/>
        <w:rPr>
          <w:rFonts w:ascii="Times New Roman" w:eastAsia="Times New Roman" w:hAnsi="Times New Roman" w:cs="Times New Roman"/>
          <w:b/>
          <w:sz w:val="24"/>
          <w:szCs w:val="24"/>
        </w:rPr>
      </w:pPr>
      <w:r w:rsidRPr="00076637">
        <w:rPr>
          <w:rFonts w:ascii="Times New Roman" w:eastAsia="Times New Roman" w:hAnsi="Times New Roman" w:cs="Times New Roman"/>
          <w:sz w:val="24"/>
          <w:szCs w:val="24"/>
        </w:rPr>
        <w:t>Recent adult recommendations for fluid therapy</w:t>
      </w:r>
      <w:r w:rsidR="007E5901" w:rsidRPr="00076637">
        <w:rPr>
          <w:rFonts w:ascii="Times New Roman" w:eastAsia="Times New Roman" w:hAnsi="Times New Roman" w:cs="Times New Roman"/>
          <w:sz w:val="24"/>
          <w:szCs w:val="24"/>
        </w:rPr>
        <w:t xml:space="preserve"> </w:t>
      </w:r>
      <w:r w:rsidR="007E5901"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{"citationID":"V34VS4hG","properties":{"formattedCitation":"[22]","plainCitation":"[22]","noteIndex":0},"citationItems":[{"id":"7qGQlw7Y/MpShlpUB","uris":["http://zotero.org/users/874466/items/L76PHF3Z"],"itemData":{"id":36186,"type":"article-journal","container-title":"European Journal of Anaesthesiology","DOI":"10.1097/EJA.0000000000000447","ISSN":"0265-0215","issue":"7","journalAbbreviation":"Eur J Anaesthesiol","note":"PMID: 27043493\nPMCID: PMC4890839","page":"488-521","source":"PubMed Central","title":"Intravascular volume therapy in adults","volume":"33","author":[{"family":"Marx","given":"Gernot"},{"family":"Schindler","given":"Achim W."},{"family":"Mosch","given":"Christoph"},{"family":"Albers","given":"Joerg"},{"family":"Bauer","given":"Michael"},{"family":"Gnass","given":"Irmela"},{"family":"Hobohm","given":"Carsten"},{"family":"Janssens","given":"Uwe"},{"family":"Kluge","given":"Stefan"},{"family":"Kranke","given":"Peter"},{"family":"Maurer","given":"Tobias"},{"family":"Merz","given":"Waltraut"},{"family":"Neugebauer","given":"Edmund"},{"family":"Quintel","given":"Michael"},{"family":"Senninger","given":"Norbert"},{"family":"Trampisch","given":"Hans-Joachim"},{"family":"Waydhas","given":"Christian"},{"family":"Wildenauer","given":"Rene"},{"family":"Zacharowski","given":"Kai"},{"family":"Eikermann","given":"Michaela"}],"issued":{"date-parts":[["2016",7]]}}}],"schema":"https://github.com/citation-style-language/schema/raw/master/csl-citation.json"} </w:instrText>
      </w:r>
      <w:r w:rsidR="007E5901"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[22]</w:t>
      </w:r>
      <w:r w:rsidR="007E5901"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fail</w:t>
      </w:r>
      <w:r w:rsidR="000A4738"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to provide any recommendation for </w:t>
      </w:r>
      <w:r w:rsidR="000A4738" w:rsidRPr="00076637">
        <w:rPr>
          <w:rFonts w:ascii="Times New Roman" w:eastAsia="Times New Roman" w:hAnsi="Times New Roman" w:cs="Times New Roman"/>
          <w:sz w:val="24"/>
          <w:szCs w:val="24"/>
        </w:rPr>
        <w:t xml:space="preserve">the </w:t>
      </w:r>
      <w:r w:rsidRPr="00076637">
        <w:rPr>
          <w:rFonts w:ascii="Times New Roman" w:eastAsia="Times New Roman" w:hAnsi="Times New Roman" w:cs="Times New Roman"/>
          <w:sz w:val="24"/>
          <w:szCs w:val="24"/>
        </w:rPr>
        <w:t>volume of IV-MFT. There is, however, increasing evidence of the adverse effects of fluid overload and cumulative fluid balance in both acute and critically ill patients as evidenced by two systematic reviews with meta-analyses</w:t>
      </w:r>
      <w:r w:rsidR="003B083C" w:rsidRPr="00076637">
        <w:rPr>
          <w:rFonts w:ascii="Times New Roman" w:eastAsia="Times New Roman" w:hAnsi="Times New Roman" w:cs="Times New Roman"/>
          <w:sz w:val="24"/>
          <w:szCs w:val="24"/>
        </w:rPr>
        <w:t xml:space="preserve"> </w:t>
      </w:r>
      <w:r w:rsidR="003B083C"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{"citationID":"jyapc3Ia","properties":{"formattedCitation":"[8, 23]","plainCitation":"[8, 23]","noteIndex":0},"citationItems":[{"id":"7qGQlw7Y/hP4i6nGe","uris":["http://zotero.org/users/874466/items/JFS42TFW"],"itemData":{"id":36152,"type":"article-journal","abstract":"OBJECTIVE: Fluid administration in combination with the increase in vasopermeability induced by critical illness often results in significant fluid overload in critically ill patients. Recent research indicates that mortality is increased in patients who have received large volumes of fluids. We have systematically reviewed and synthesized the evidence on fluid overload and mortality in critically ill patients and have performed a meta-analysis of available data from observational studies.\nDATA SOURCES: A systematic search was performed on PubMed, EmBase, and the Cochrane Library databases.\nSTUDY SELECTION AND DATA EXTRACTION: All studies were eligible that investigated the impact of fluid overload (defined by weight gain &gt; 5%) or positive cumulative fluid balance on mortality in adult critical care patients. We excluded animal studies and trials in pediatric populations (age &lt; 16 years old), pregnant women, noncritically ill patients, very specific subpopulations of critically ill patients, and on early goal-directed therapy. Randomized controlled trials were only evaluated in the section on systematic review. Assessment followed the Cochrane/meta-analysis of observational trials in epidemiology guidelines for systematic reviews.\nDATA SYNTHESIS: A total of 31 observational and three randomized controlled trials including 31,076 ICU patients met the inclusion criteria. Only observational studies were included in the meta-analysis. Fluid overload and cumulative fluid balance were both associated with pooled mortality: after 3 days of ICU stay, adjusted relative risk for fluid overload was 8.83 (95% CI, 4.03-19.33), and for cumulative fluid balance 2.15 (95% CI, 1.51-3.07), at any time point, adjusted relative risk for fluid overload was 2.79 (95% CI, 1.55-5.00) and 1.39 (95% CI, 1.15-1.69) for cumulative fluid balance. Fluid overload was associated with mortality in patients with both acute kidney injury (adjusted relative risk, 2.38; 95% CI, 1.75-2.98) and surgery (adjusted relative risk, 6.17; 95% CI, 4.81-7.97). Cumulative fluid balance was linked to mortality in patients with sepsis (adjusted relative risk, 1.66; 95% CI, 1.39-1.98), acute kidney injury (adjusted relative risk, 2.63; 95% CI, 1.30-5.30), and respiratory failure (adjusted relative risk, 1.19; 95% CI, 1.03-1.43). The risk of mortality increased by a factor of 1.19 (95% CI, 1.11-1.28) per liter increase in positive fluid balance.\nCONCLUSIONS: This systematic review and meta-analysis of observational studies reporting adjusted risk estimates suggests that fluid overload and positive cumulative fluid balance are associated with increased mortality in a general population and defined subgroups of critically ill patients.","container-title":"Critical Care Medicine","DOI":"10.1097/CCM.0000000000004617","ISSN":"1530-0293","issue":"12","journalAbbreviation":"Crit Care Med","language":"eng","note":"PMID: 33009098","page":"1862-1870","source":"PubMed","title":"Fluid Overload and Mortality in Adult Critical Care Patients-A Systematic Review and Meta-Analysis of Observational Studies","volume":"48","author":[{"family":"Messmer","given":"Anna S."},{"family":"Zingg","given":"Carina"},{"family":"Müller","given":"Martin"},{"family":"Gerber","given":"Joel Loic"},{"family":"Schefold","given":"Joerg Christian"},{"family":"Pfortmueller","given":"Carmen Andrea"}],"issued":{"date-parts":[["2020",12]]}},"label":"page"},{"id":"7qGQlw7Y/7CaRgOfS","uris":["http://zotero.org/users/874466/items/FJBV7MEP"],"itemData":{"id":36189,"type":"article-journal","abstract":"BACKGROUND AND AIMS: Fluid retention is a risk factor for mortality in several medical conditions. However, the accurate and fast assessment of hydration status remains a challenge in the clinical practice. Bioelectrical impedance analysis (BIA) could be an alternative to assess volume status. This systematic review aimed to evaluate the use of BIA to identify hydration status in patients with different medical conditions and to verify the association of hyperhydration, assessed by BIA, with mortality.\nMETHODS: This systematic review and meta-analyses included 29 studies conducted from 2002 to 2017 among different medical conditions in adults. Eligible studies were randomized and non-randomized clinical trials, prospective and retrospective observational studies. For quality assessment of studies, Effective Public Health Practice Project (EPHPP) was used.\nRESULTS: Twelve studies provided data eligible for meta-analyses. A direct association between hyperhydration and mortality was observed (Odds Ratio [OR] 4.38; Confidence interval 95% [95% CI] 2.76-6.94), even when stratified for medical condition (OR 4.37; 95% CI 1.15-6.92) and BIA device (OR 4.37; 95% CI 2.75-6.92).\nCONCLUSION: Hyperhydration, evaluated by BIA, was positive associated with mortality. Therefore, the prognostic impact of hyperhydration may be properly assessed by a bedside tool such as BIA.","container-title":"Clinical nutrition ESPEN","DOI":"10.1016/j.clnesp.2018.08.022","ISSN":"2405-4577","journalAbbreviation":"Clin Nutr ESPEN","language":"eng","note":"PMID: 30390867","page":"12-20","source":"PubMed","title":"Association of hyperhydration evaluated by bioelectrical impedance analysis and mortality in patients with different medical conditions: Systematic review and meta-analyses","title-short":"Association of hyperhydration evaluated by bioelectrical impedance analysis and mortality in patients with different medical conditions","volume":"28","author":[{"family":"Silva","given":"Angela Teodósio","non-dropping-particle":"da"},{"family":"Hauschild","given":"Daniela Barbieri"},{"family":"Almeida Oliveira","given":"Luna Dias","non-dropping-particle":"de"},{"family":"Fragas Hinnig","given":"Patricia","non-dropping-particle":"de"},{"family":"Franco Moreno","given":"Yara Maria"},{"family":"Wazlawik","given":"Elisabeth"}],"issued":{"date-parts":[["2018",12]]}},"label":"page"}],"schema":"https://github.com/citation-style-language/schema/raw/master/csl-citation.json"} </w:instrText>
      </w:r>
      <w:r w:rsidR="003B083C"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[8, 23]</w:t>
      </w:r>
      <w:r w:rsidR="003B083C"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This was especially so in the critically ill, but also in patients with </w:t>
      </w:r>
      <w:r w:rsidR="000A4738" w:rsidRPr="00076637">
        <w:rPr>
          <w:rFonts w:ascii="Times New Roman" w:eastAsia="Times New Roman" w:hAnsi="Times New Roman" w:cs="Times New Roman"/>
          <w:sz w:val="24"/>
          <w:szCs w:val="24"/>
        </w:rPr>
        <w:t>cardiac</w:t>
      </w:r>
      <w:r w:rsidRPr="00076637">
        <w:rPr>
          <w:rFonts w:ascii="Times New Roman" w:eastAsia="Times New Roman" w:hAnsi="Times New Roman" w:cs="Times New Roman"/>
          <w:sz w:val="24"/>
          <w:szCs w:val="24"/>
        </w:rPr>
        <w:t xml:space="preserve"> or renal disease.</w:t>
      </w:r>
    </w:p>
    <w:p w14:paraId="277F8F6B" w14:textId="62322C31" w:rsidR="00117637" w:rsidRPr="00076637" w:rsidRDefault="00D57C7E" w:rsidP="00456DF3">
      <w:pPr>
        <w:pStyle w:val="Titre1"/>
        <w:rPr>
          <w:color w:val="A5A5A5"/>
        </w:rPr>
      </w:pPr>
      <w:r w:rsidRPr="00076637">
        <w:rPr>
          <w:rFonts w:eastAsia="Arial"/>
        </w:rPr>
        <w:lastRenderedPageBreak/>
        <w:t xml:space="preserve">Published recommendations in other </w:t>
      </w:r>
      <w:proofErr w:type="spellStart"/>
      <w:r w:rsidR="00E652AF" w:rsidRPr="00076637">
        <w:rPr>
          <w:rFonts w:eastAsia="Arial"/>
        </w:rPr>
        <w:t>pediatric</w:t>
      </w:r>
      <w:proofErr w:type="spellEnd"/>
      <w:r w:rsidRPr="00076637">
        <w:rPr>
          <w:rFonts w:eastAsia="Arial"/>
        </w:rPr>
        <w:t xml:space="preserve"> settings </w:t>
      </w:r>
    </w:p>
    <w:p w14:paraId="277F8F6C" w14:textId="612783AC" w:rsidR="00117637" w:rsidRPr="00076637" w:rsidRDefault="00D57C7E" w:rsidP="00456DF3">
      <w:pPr>
        <w:spacing w:before="120" w:after="120" w:line="24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 xml:space="preserve">Some </w:t>
      </w:r>
      <w:r w:rsidR="00574796" w:rsidRPr="00076637">
        <w:rPr>
          <w:rFonts w:ascii="Times New Roman" w:eastAsia="Times New Roman" w:hAnsi="Times New Roman" w:cs="Times New Roman"/>
          <w:sz w:val="24"/>
          <w:szCs w:val="24"/>
        </w:rPr>
        <w:t>published guidance</w:t>
      </w:r>
      <w:r w:rsidRPr="00076637">
        <w:rPr>
          <w:rFonts w:ascii="Times New Roman" w:eastAsia="Times New Roman" w:hAnsi="Times New Roman" w:cs="Times New Roman"/>
          <w:sz w:val="24"/>
          <w:szCs w:val="24"/>
        </w:rPr>
        <w:t xml:space="preserve"> exists in specific subgroups of children. </w:t>
      </w:r>
    </w:p>
    <w:p w14:paraId="4FD3A5E1" w14:textId="77777777" w:rsidR="00EA6BAC" w:rsidRPr="00076637" w:rsidRDefault="00EA6BAC" w:rsidP="00456DF3">
      <w:pPr>
        <w:spacing w:before="120" w:after="120" w:line="240" w:lineRule="auto"/>
        <w:jc w:val="both"/>
        <w:rPr>
          <w:rFonts w:ascii="Times New Roman" w:eastAsia="Times New Roman" w:hAnsi="Times New Roman" w:cs="Times New Roman"/>
          <w:sz w:val="24"/>
          <w:szCs w:val="24"/>
        </w:rPr>
      </w:pPr>
    </w:p>
    <w:p w14:paraId="277F8F6F" w14:textId="5B16AB5E"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b/>
          <w:bCs/>
          <w:sz w:val="24"/>
          <w:szCs w:val="24"/>
        </w:rPr>
        <w:t>Diabetic Ketoacidosis</w:t>
      </w:r>
      <w:r w:rsidR="00EA6BAC" w:rsidRPr="00076637">
        <w:rPr>
          <w:rFonts w:ascii="Times New Roman" w:eastAsia="Times New Roman" w:hAnsi="Times New Roman" w:cs="Times New Roman"/>
          <w:b/>
          <w:bCs/>
          <w:sz w:val="24"/>
          <w:szCs w:val="24"/>
        </w:rPr>
        <w:t xml:space="preserve">: </w:t>
      </w:r>
      <w:r w:rsidRPr="00076637">
        <w:rPr>
          <w:rFonts w:ascii="Times New Roman" w:eastAsia="Times New Roman" w:hAnsi="Times New Roman" w:cs="Times New Roman"/>
          <w:sz w:val="24"/>
          <w:szCs w:val="24"/>
        </w:rPr>
        <w:t xml:space="preserve">A recent </w:t>
      </w:r>
      <w:proofErr w:type="spellStart"/>
      <w:r w:rsidRPr="00076637">
        <w:rPr>
          <w:rFonts w:ascii="Times New Roman" w:eastAsia="Times New Roman" w:hAnsi="Times New Roman" w:cs="Times New Roman"/>
          <w:sz w:val="24"/>
          <w:szCs w:val="24"/>
        </w:rPr>
        <w:t>randomi</w:t>
      </w:r>
      <w:r w:rsidR="00193711" w:rsidRPr="00076637">
        <w:rPr>
          <w:rFonts w:ascii="Times New Roman" w:eastAsia="Times New Roman" w:hAnsi="Times New Roman" w:cs="Times New Roman"/>
          <w:sz w:val="24"/>
          <w:szCs w:val="24"/>
        </w:rPr>
        <w:t>s</w:t>
      </w:r>
      <w:r w:rsidRPr="00076637">
        <w:rPr>
          <w:rFonts w:ascii="Times New Roman" w:eastAsia="Times New Roman" w:hAnsi="Times New Roman" w:cs="Times New Roman"/>
          <w:sz w:val="24"/>
          <w:szCs w:val="24"/>
        </w:rPr>
        <w:t>ed</w:t>
      </w:r>
      <w:proofErr w:type="spellEnd"/>
      <w:r w:rsidRPr="00076637">
        <w:rPr>
          <w:rFonts w:ascii="Times New Roman" w:eastAsia="Times New Roman" w:hAnsi="Times New Roman" w:cs="Times New Roman"/>
          <w:sz w:val="24"/>
          <w:szCs w:val="24"/>
        </w:rPr>
        <w:t xml:space="preserve"> controlled trial </w:t>
      </w:r>
      <w:r w:rsidR="00193711" w:rsidRPr="00076637">
        <w:rPr>
          <w:rFonts w:ascii="Times New Roman" w:eastAsia="Times New Roman" w:hAnsi="Times New Roman" w:cs="Times New Roman"/>
          <w:sz w:val="24"/>
          <w:szCs w:val="24"/>
        </w:rPr>
        <w:t>of</w:t>
      </w:r>
      <w:r w:rsidRPr="00076637">
        <w:rPr>
          <w:rFonts w:ascii="Times New Roman" w:eastAsia="Times New Roman" w:hAnsi="Times New Roman" w:cs="Times New Roman"/>
          <w:sz w:val="24"/>
          <w:szCs w:val="24"/>
        </w:rPr>
        <w:t xml:space="preserve"> rehydration in diabetic ketoacidosis (DKA) showed that faster fluid administration rates led to a more rapid </w:t>
      </w:r>
      <w:proofErr w:type="spellStart"/>
      <w:r w:rsidRPr="00076637">
        <w:rPr>
          <w:rFonts w:ascii="Times New Roman" w:eastAsia="Times New Roman" w:hAnsi="Times New Roman" w:cs="Times New Roman"/>
          <w:sz w:val="24"/>
          <w:szCs w:val="24"/>
        </w:rPr>
        <w:t>normalisation</w:t>
      </w:r>
      <w:proofErr w:type="spellEnd"/>
      <w:r w:rsidRPr="00076637">
        <w:rPr>
          <w:rFonts w:ascii="Times New Roman" w:eastAsia="Times New Roman" w:hAnsi="Times New Roman" w:cs="Times New Roman"/>
          <w:sz w:val="24"/>
          <w:szCs w:val="24"/>
        </w:rPr>
        <w:t xml:space="preserve"> of the anion gap and PCO2 than slower fluid infusion rates</w:t>
      </w:r>
      <w:r w:rsidR="00193711" w:rsidRPr="00076637">
        <w:rPr>
          <w:rFonts w:ascii="Times New Roman" w:eastAsia="Times New Roman" w:hAnsi="Times New Roman" w:cs="Times New Roman"/>
          <w:sz w:val="24"/>
          <w:szCs w:val="24"/>
        </w:rPr>
        <w:t xml:space="preserve"> </w:t>
      </w:r>
      <w:r w:rsidR="00464F17"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{"citationID":"pVJ2o0Th","properties":{"formattedCitation":"[24]","plainCitation":"[24]","noteIndex":0},"citationItems":[{"id":"7qGQlw7Y/zaZzIPC6","uris":["http://zotero.org/users/874466/items/T2K5V2GE"],"itemData":{"id":36194,"type":"article-journal","abstract":"OBJECTIVE: Fluid replacement to correct dehydration, acidosis, and electrolyte abnormalities is the cornerstone of treatment for diabetic ketoacidosis (DKA), but little is known about optimal fluid infusion rates and electrolyte content. The objective of this study was to evaluate whether different fluid protocols affect the rate of normalization of biochemical derangements during DKA treatment.\nRESEARCH DESIGN AND METHODS: The current analysis involved moderate or severe DKA episodes (n = 714) in children age &lt;18 years enrolled in the Fluid Therapies Under Investigation in DKA (FLUID) Trial. Children were assigned to one of four treatment groups using a 2 × 2 factorial design (0.90% or 0.45% saline and fast or slow rate of administration).\nRESULTS: The rate of change of pH did not differ by treatment arm, but Pco2 increased more rapidly in the fast versus slow fluid infusion arms during the initial 4 h of treatment. The anion gap also decreased more rapidly in the fast versus slow infusion arms during the initial 4 and 8 h. Glucose-corrected sodium levels remained stable in patients assigned to 0.90% saline but decreased in those assigned to 0.45% saline at 4 and 8 h. Potassium levels decreased, while chloride levels increased more rapidly with 0.90% versus 0.45% saline. Hyperchloremic acidosis occurred more frequently in patients in the fast arms (46.1%) versus the slow arms (35.2%).\nCONCLUSIONS: In children treated for DKA, faster fluid administration rates led to a more rapid normalization of anion gap and Pco2 than slower fluid infusion rates but were associated with an increased frequency of hyperchloremic acidosis.","container-title":"Diabetes Care","DOI":"10.2337/dc20-3113","ISSN":"1935-5548","issue":"9","journalAbbreviation":"Diabetes Care","language":"eng","note":"PMID: 34187840\nPMCID: PMC8740930","page":"2061-2068","source":"PubMed","title":"Effects of Fluid Rehydration Strategy on Correction of Acidosis and Electrolyte Abnormalities in Children With Diabetic Ketoacidosis","volume":"44","author":[{"family":"Rewers","given":"Arleta"},{"family":"Kuppermann","given":"Nathan"},{"family":"Stoner","given":"Michael J."},{"family":"Garro","given":"Aris"},{"family":"Bennett","given":"Jonathan E."},{"family":"Quayle","given":"Kimberly S."},{"family":"Schunk","given":"Jeffrey E."},{"family":"Myers","given":"Sage R."},{"family":"McManemy","given":"Julie K."},{"family":"Nigrovic","given":"Lise E."},{"family":"Trainor","given":"Jennifer L."},{"family":"Tzimenatos","given":"Leah"},{"family":"Kwok","given":"Maria Y."},{"family":"Brown","given":"Kathleen M."},{"family":"Olsen","given":"Cody S."},{"family":"Casper","given":"T. Charles"},{"family":"Ghetti","given":"Simona"},{"family":"Glaser","given":"Nicole S."},{"literal":"Pediatric Emergency Care Applied Research Network (PECARN) FLUID Study Group"}],"issued":{"date-parts":[["2021",9]]}}}],"schema":"https://github.com/citation-style-language/schema/raw/master/csl-citation.json"} </w:instrText>
      </w:r>
      <w:r w:rsidR="00464F17"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[24]</w:t>
      </w:r>
      <w:r w:rsidR="00464F17"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However, this was associated with an increased frequency of hyperchloremic acidosis. Bakes et al. in another </w:t>
      </w:r>
      <w:proofErr w:type="spellStart"/>
      <w:r w:rsidRPr="00076637">
        <w:rPr>
          <w:rFonts w:ascii="Times New Roman" w:eastAsia="Times New Roman" w:hAnsi="Times New Roman" w:cs="Times New Roman"/>
          <w:sz w:val="24"/>
          <w:szCs w:val="24"/>
        </w:rPr>
        <w:t>randomi</w:t>
      </w:r>
      <w:r w:rsidR="00193711" w:rsidRPr="00076637">
        <w:rPr>
          <w:rFonts w:ascii="Times New Roman" w:eastAsia="Times New Roman" w:hAnsi="Times New Roman" w:cs="Times New Roman"/>
          <w:sz w:val="24"/>
          <w:szCs w:val="24"/>
        </w:rPr>
        <w:t>s</w:t>
      </w:r>
      <w:r w:rsidRPr="00076637">
        <w:rPr>
          <w:rFonts w:ascii="Times New Roman" w:eastAsia="Times New Roman" w:hAnsi="Times New Roman" w:cs="Times New Roman"/>
          <w:sz w:val="24"/>
          <w:szCs w:val="24"/>
        </w:rPr>
        <w:t>ed</w:t>
      </w:r>
      <w:proofErr w:type="spellEnd"/>
      <w:r w:rsidRPr="00076637">
        <w:rPr>
          <w:rFonts w:ascii="Times New Roman" w:eastAsia="Times New Roman" w:hAnsi="Times New Roman" w:cs="Times New Roman"/>
          <w:sz w:val="24"/>
          <w:szCs w:val="24"/>
        </w:rPr>
        <w:t xml:space="preserve"> controlled trial also found that in patients presenting to the emergency</w:t>
      </w:r>
      <w:r w:rsidR="00193711" w:rsidRPr="00076637">
        <w:rPr>
          <w:rFonts w:ascii="Times New Roman" w:eastAsia="Times New Roman" w:hAnsi="Times New Roman" w:cs="Times New Roman"/>
          <w:sz w:val="24"/>
          <w:szCs w:val="24"/>
        </w:rPr>
        <w:t xml:space="preserve"> department</w:t>
      </w:r>
      <w:r w:rsidRPr="00076637">
        <w:rPr>
          <w:rFonts w:ascii="Times New Roman" w:eastAsia="Times New Roman" w:hAnsi="Times New Roman" w:cs="Times New Roman"/>
          <w:sz w:val="24"/>
          <w:szCs w:val="24"/>
        </w:rPr>
        <w:t xml:space="preserve"> with DKA, higher volumes of initial and maintenance IV fluid infusions decreased the time to metabolic </w:t>
      </w:r>
      <w:proofErr w:type="spellStart"/>
      <w:r w:rsidRPr="00076637">
        <w:rPr>
          <w:rFonts w:ascii="Times New Roman" w:eastAsia="Times New Roman" w:hAnsi="Times New Roman" w:cs="Times New Roman"/>
          <w:sz w:val="24"/>
          <w:szCs w:val="24"/>
        </w:rPr>
        <w:t>normali</w:t>
      </w:r>
      <w:r w:rsidR="00193711" w:rsidRPr="00076637">
        <w:rPr>
          <w:rFonts w:ascii="Times New Roman" w:eastAsia="Times New Roman" w:hAnsi="Times New Roman" w:cs="Times New Roman"/>
          <w:sz w:val="24"/>
          <w:szCs w:val="24"/>
        </w:rPr>
        <w:t>s</w:t>
      </w:r>
      <w:r w:rsidRPr="00076637">
        <w:rPr>
          <w:rFonts w:ascii="Times New Roman" w:eastAsia="Times New Roman" w:hAnsi="Times New Roman" w:cs="Times New Roman"/>
          <w:sz w:val="24"/>
          <w:szCs w:val="24"/>
        </w:rPr>
        <w:t>ation</w:t>
      </w:r>
      <w:proofErr w:type="spellEnd"/>
      <w:r w:rsidRPr="00076637">
        <w:rPr>
          <w:rFonts w:ascii="Times New Roman" w:eastAsia="Times New Roman" w:hAnsi="Times New Roman" w:cs="Times New Roman"/>
          <w:sz w:val="24"/>
          <w:szCs w:val="24"/>
        </w:rPr>
        <w:t xml:space="preserve"> </w:t>
      </w:r>
      <w:r w:rsidR="00D67ED0"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{"citationID":"p19E4ulW","properties":{"formattedCitation":"[25]","plainCitation":"[25]","noteIndex":0},"citationItems":[{"id":"7qGQlw7Y/FXD4c4ux","uris":["http://zotero.org/users/874466/items/HYH3CW4X"],"itemData":{"id":36073,"type":"article-journal","abstract":"Background The optimal rate of fluid administration in pediatric diabetic ketoacidosis (DKA) is unknown. Objective Our aim was to determine whether the volume of fluid administration in children with DKA influences the rate of metabolic normalization. Methods We performed a randomized controlled trial conducted in a tertiary pediatric emergency department from December 2007 until June 2010. The primary outcome was time to metabolic normalization; secondary outcomes were time to bicarbonate normalization, pH normalization, overall length of hospital treatment, and adverse outcomes. Children between 0 and 18 years of age were eligible if they had type 1 diabetes mellitus and DKA. Patients were randomized to receive intravenous (IV) fluid at low volume (10 mL/kg bolus + 1.25 × maintenance rate) or high volume (20 mL/kg bolus + 1.5 × maintenance rate) (n = 25 in each). Results After adjusting for initial differences in bicarbonate levels, time to metabolic normalization was significantly faster in the higher-volume infusion group compared to the low-volume infusion group (hazard ratio [HR] = 2.0; 95% confidence interval [CI] 1.0-3.9; p = 0.04). Higher-volume IV fluid infusion appeared to hasten, to a greater extent, normalization of pH (HR = 2.5; 95% CI 1.2-5.0; p = 0.01) than normalization of serum bicarbonate (HR = 1.2; 95% CI 0.6-2.3; p = 0.6). The length of hospital treatment HR (0.8; 95% CI 0.4-1.5; p = 0.5) and time to discharge HR (0.8; 95% CI 0.4-1.5; p = 0.5) did not differ between treatment groups. Conclusions Higher-volume fluid infusion in the treatment of pediatric DKA patients significantly shortened metabolic normalization time, but did not change overall length of hospital treatment. ClinicalTrials.gov ID NCT01701557. © 2016 Elsevier Inc.","archive_location":"rayyan-119343414","container-title":"Journal of Emergency Medicine","ISSN":"07364679","issue":"4","language":"English","page":"551-559","title":"Effect of Volume of Fluid Resuscitation on Metabolic Normalization in Children Presenting in Diabetic Ketoacidosis: A Randomized Controlled Trial","volume":"50","author":[{"family":"Bakes","given":"K."},{"family":"Haukoos","given":"J.S."},{"family":"Deakyne","given":"S.J."},{"family":"Hopkins","given":"E."},{"family":"Easter","given":"J."},{"family":"McFann","given":"K."},{"family":"Brent","given":"A."},{"family":"Rewers","given":"A."}],"issued":{"date-parts":[["2016"]]}}}],"schema":"https://github.com/citation-style-language/schema/raw/master/csl-citation.json"} </w:instrText>
      </w:r>
      <w:r w:rsidR="00D67ED0"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[25]</w:t>
      </w:r>
      <w:r w:rsidR="00D67ED0"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The rate of administration of intravenous fluids did not significantly influence </w:t>
      </w:r>
      <w:r w:rsidR="00193711" w:rsidRPr="00076637">
        <w:rPr>
          <w:rFonts w:ascii="Times New Roman" w:eastAsia="Times New Roman" w:hAnsi="Times New Roman" w:cs="Times New Roman"/>
          <w:sz w:val="24"/>
          <w:szCs w:val="24"/>
        </w:rPr>
        <w:t xml:space="preserve">the </w:t>
      </w:r>
      <w:r w:rsidRPr="00076637">
        <w:rPr>
          <w:rFonts w:ascii="Times New Roman" w:eastAsia="Times New Roman" w:hAnsi="Times New Roman" w:cs="Times New Roman"/>
          <w:sz w:val="24"/>
          <w:szCs w:val="24"/>
        </w:rPr>
        <w:t xml:space="preserve">neurologic outcomes in </w:t>
      </w:r>
      <w:r w:rsidR="00011FC5" w:rsidRPr="00076637">
        <w:rPr>
          <w:rFonts w:ascii="Times New Roman" w:eastAsia="Times New Roman" w:hAnsi="Times New Roman" w:cs="Times New Roman"/>
          <w:sz w:val="24"/>
          <w:szCs w:val="24"/>
        </w:rPr>
        <w:t xml:space="preserve">the </w:t>
      </w:r>
      <w:r w:rsidRPr="00076637">
        <w:rPr>
          <w:rFonts w:ascii="Times New Roman" w:eastAsia="Times New Roman" w:hAnsi="Times New Roman" w:cs="Times New Roman"/>
          <w:sz w:val="24"/>
          <w:szCs w:val="24"/>
        </w:rPr>
        <w:t xml:space="preserve">children with diabetic ketoacidosis </w:t>
      </w:r>
      <w:r w:rsidR="006E4702"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{"citationID":"dvpD6nbH","properties":{"formattedCitation":"[26]","plainCitation":"[26]","noteIndex":0},"citationItems":[{"id":"7qGQlw7Y/MWUTKO7O","uris":["http://zotero.org/users/874466/items/7WXVJTSR"],"itemData":{"id":36111,"type":"article-journal","abstract":"BACKGROUND Diabetic ketoacidosis in children may cause brain injuries ranging from mild to severe. Whether intravenous fluids contribute to these injuries has been debated for decades. METHODS We conducted a 13-center, randomized, controlled trial that examined the effects of the rate of administration and the sodium chloride content of intravenous fluids on neurologic outcomes in children with diabetic ketoacidosis. Children were randomly assigned to one of four treatment groups in a 2-by-2 factorial design (0.9% or 0.45% sodium chloride content and rapid or slow rate of administration). The primary outcome was a decline in mental status (two consecutive Glasgow Coma Scale scores of &lt;14, on a scale ranging from 3 to 15, with lower scores indicating worse mental status) during treatment for diabetic ketoacidosis. Secondary outcomes included clinically apparent brain injury during treatment for diabetic ketoacidosis, short-term memory during treatment for diabetic ketoacidosis, and memory and IQ 2 to 6 months after recovery from diabetic ketoacidosis. RESULTS A total of 1389 episodes of diabetic ketoacidosis were reported in 1255 children. The Glasgow Coma Scale score declined to less than 14 in 48 episodes (3.5%), and clinically apparent brain injury occurred in 12 episodes (0.9%). No significant differences among the treatment groups were observed with respect to the percentage of episodes in which the Glasgow Coma Scale score declined to below 14, the magnitude of decline in the Glasgow Coma Scale score, or the duration of time in which the Glasgow Coma Scale score was less than 14; with respect to the results of the tests of short-term memory; or with respect to the incidence of clinically apparent brain injury during treatment for diabetic ketoacidosis. Memory and IQ scores obtained after the children's recovery from diabetic ketoacidosis also did not differ significantly among the groups. Serious adverse events other than altered mental status were rare and occurred with similar frequency in all treatment groups. CONCLUSIONS Neither the rate of administration nor the sodium chloride content of intravenous fluids significantly influenced neurologic outcomes in children with diabetic ketoacidosis.","archive_location":"rayyan-119342247","container-title":"New England Journal of Medicine","ISSN":"0028-4793","issue":"24","page":"2275-2287","title":"Clinical Trial of Fluid Infusion Rates for Pediatric Diabetic Ketoacidosis","volume":"378","author":[{"family":"Kuppermann","given":"Nathan"},{"family":"Ghetti","given":"Simona"},{"family":"Schunk","given":"Jeff E."},{"family":"Stoner","given":"Michael J."},{"family":"Rewers","given":"Arleta"},{"family":"McManemy","given":"Julie K."},{"family":"Myers","given":"Sage R."},{"family":"Nigrovic","given":"Lise E."},{"family":"Garro","given":"Aris"},{"family":"Brown","given":"Kathleen M."},{"family":"Quayle","given":"Kimberly S."},{"family":"Trainor","given":"Jennifer L."},{"family":"Tzimenatos","given":"Leah"},{"family":"Bennett","given":"Jonathan E."},{"family":"DePiero","given":"Andrew D."},{"family":"Kwok","given":"Maria Y."},{"family":"Perry","given":"Clinton S."},{"family":"Olsen","given":"Cody S."},{"family":"Casper","given":"T. Charles"},{"family":"Dean","given":"J. Michael"},{"family":"Glaser","given":"Nicole S."}],"issued":{"date-parts":[["2018"]]}}}],"schema":"https://github.com/citation-style-language/schema/raw/master/csl-citation.json"} </w:instrText>
      </w:r>
      <w:r w:rsidR="006E4702"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[26]</w:t>
      </w:r>
      <w:r w:rsidR="006E4702"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However, these papers are confounded by combining rehydration fluids and maintenance fluid therapy, so no conclusion can be made about maintenance fluid volumes in diabetic ketoacidosis. </w:t>
      </w:r>
    </w:p>
    <w:p w14:paraId="277F8F71" w14:textId="5E3DE413"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b/>
          <w:bCs/>
          <w:sz w:val="24"/>
          <w:szCs w:val="24"/>
        </w:rPr>
        <w:t>Pancreatitis</w:t>
      </w:r>
      <w:r w:rsidR="00EA6BAC" w:rsidRPr="00076637">
        <w:rPr>
          <w:rFonts w:ascii="Times New Roman" w:eastAsia="Times New Roman" w:hAnsi="Times New Roman" w:cs="Times New Roman"/>
          <w:b/>
          <w:bCs/>
          <w:sz w:val="24"/>
          <w:szCs w:val="24"/>
        </w:rPr>
        <w:t xml:space="preserve">: </w:t>
      </w:r>
      <w:r w:rsidRPr="00076637">
        <w:rPr>
          <w:rFonts w:ascii="Times New Roman" w:eastAsia="Times New Roman" w:hAnsi="Times New Roman" w:cs="Times New Roman"/>
          <w:sz w:val="24"/>
          <w:szCs w:val="24"/>
        </w:rPr>
        <w:t xml:space="preserve">One retrospective observational study showed that </w:t>
      </w:r>
      <w:r w:rsidR="00505F56" w:rsidRPr="00076637">
        <w:rPr>
          <w:rFonts w:ascii="Times New Roman" w:eastAsia="Times New Roman" w:hAnsi="Times New Roman" w:cs="Times New Roman"/>
          <w:sz w:val="24"/>
          <w:szCs w:val="24"/>
        </w:rPr>
        <w:t xml:space="preserve">in </w:t>
      </w:r>
      <w:r w:rsidRPr="00076637">
        <w:rPr>
          <w:rFonts w:ascii="Times New Roman" w:eastAsia="Times New Roman" w:hAnsi="Times New Roman" w:cs="Times New Roman"/>
          <w:sz w:val="24"/>
          <w:szCs w:val="24"/>
        </w:rPr>
        <w:t xml:space="preserve">children with acute pancreatitis who received greater </w:t>
      </w:r>
      <w:r w:rsidR="00505F56" w:rsidRPr="00076637">
        <w:rPr>
          <w:rFonts w:ascii="Times New Roman" w:eastAsia="Times New Roman" w:hAnsi="Times New Roman" w:cs="Times New Roman"/>
          <w:sz w:val="24"/>
          <w:szCs w:val="24"/>
        </w:rPr>
        <w:t xml:space="preserve">volume of </w:t>
      </w:r>
      <w:r w:rsidRPr="00076637">
        <w:rPr>
          <w:rFonts w:ascii="Times New Roman" w:eastAsia="Times New Roman" w:hAnsi="Times New Roman" w:cs="Times New Roman"/>
          <w:sz w:val="24"/>
          <w:szCs w:val="24"/>
        </w:rPr>
        <w:t>maintenance IV</w:t>
      </w:r>
      <w:r w:rsidR="00D164E6" w:rsidRPr="00076637">
        <w:rPr>
          <w:rFonts w:ascii="Times New Roman" w:eastAsia="Times New Roman" w:hAnsi="Times New Roman" w:cs="Times New Roman"/>
          <w:sz w:val="24"/>
          <w:szCs w:val="24"/>
        </w:rPr>
        <w:t>-M</w:t>
      </w:r>
      <w:r w:rsidR="00011FC5" w:rsidRPr="00076637">
        <w:rPr>
          <w:rFonts w:ascii="Times New Roman" w:eastAsia="Times New Roman" w:hAnsi="Times New Roman" w:cs="Times New Roman"/>
          <w:sz w:val="24"/>
          <w:szCs w:val="24"/>
        </w:rPr>
        <w:t>FT</w:t>
      </w:r>
      <w:r w:rsidRPr="00076637">
        <w:rPr>
          <w:rFonts w:ascii="Times New Roman" w:eastAsia="Times New Roman" w:hAnsi="Times New Roman" w:cs="Times New Roman"/>
          <w:sz w:val="24"/>
          <w:szCs w:val="24"/>
        </w:rPr>
        <w:t xml:space="preserve"> within 24 hours (and were fed within the first 48 hours) </w:t>
      </w:r>
      <w:r w:rsidR="00505F56" w:rsidRPr="00076637">
        <w:rPr>
          <w:rFonts w:ascii="Times New Roman" w:eastAsia="Times New Roman" w:hAnsi="Times New Roman" w:cs="Times New Roman"/>
          <w:sz w:val="24"/>
          <w:szCs w:val="24"/>
        </w:rPr>
        <w:t>this was associated with</w:t>
      </w:r>
      <w:r w:rsidRPr="00076637">
        <w:rPr>
          <w:rFonts w:ascii="Times New Roman" w:eastAsia="Times New Roman" w:hAnsi="Times New Roman" w:cs="Times New Roman"/>
          <w:sz w:val="24"/>
          <w:szCs w:val="24"/>
        </w:rPr>
        <w:t xml:space="preserve"> a shorter length of stay, less intensive care unit admissions, and less severe acute pancreatitis rates compared with patients who remained nil by mouth during the first 48 hours and received lower rates of IV</w:t>
      </w:r>
      <w:r w:rsidR="00505F56" w:rsidRPr="00076637">
        <w:rPr>
          <w:rFonts w:ascii="Times New Roman" w:eastAsia="Times New Roman" w:hAnsi="Times New Roman" w:cs="Times New Roman"/>
          <w:sz w:val="24"/>
          <w:szCs w:val="24"/>
        </w:rPr>
        <w:t>M-FT</w:t>
      </w:r>
      <w:r w:rsidRPr="00076637">
        <w:rPr>
          <w:rFonts w:ascii="Times New Roman" w:eastAsia="Times New Roman" w:hAnsi="Times New Roman" w:cs="Times New Roman"/>
          <w:sz w:val="24"/>
          <w:szCs w:val="24"/>
        </w:rPr>
        <w:t xml:space="preserve"> </w:t>
      </w:r>
      <w:r w:rsidR="00586F45"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{"citationID":"r6jyCsXc","properties":{"formattedCitation":"[27]","plainCitation":"[27]","noteIndex":0},"citationItems":[{"id":"7qGQlw7Y/x7AFWf07","uris":["http://zotero.org/users/874466/items/XJ5E5SHK"],"itemData":{"id":36201,"type":"article-journal","abstract":"OBJECTIVES: To determine whether recommendations for treatment of acute pancreatitis (AP) in adults impact the outcomes of pediatric AP.\nSTUDY DESIGN: Adult guidelines regarding early management of AP were implemented through an admission order set at Cincinnati Children's Hospital Medical Center at the beginning of the year 2014. Recommendations included administering high rates of intravenous fluid (IVF) within 24 hours of admission and enteral nutrition within 48 hours of admission. A retrospective chart review of AP admissions before and after the implementation of the recommendations was undertaken. Outcomes studied were: hospital length of stay, intensive care unit transfer rates, development of severe AP, pulmonary complications, and readmission rates post discharge from the hospital.\nRESULTS: The study included 201 patients. Children who received feeds within the first 48 hours and received greater than maintenance IVF within 24 hours had a shorter length of stay, less intensive care unit admissions and severe AP rates compared with the patients who remained nil per os during the first 48 hours and received lower rates of IVF.\nCONCLUSION: Our data support that early enteral nutrition and early aggressive IVF improve outcomes of pediatric AP.","container-title":"The Journal of Pediatrics","DOI":"10.1016/j.jpeds.2015.05.030","ISSN":"1097-6833","issue":"2","journalAbbreviation":"J Pediatr","language":"eng","note":"PMID: 26210842","page":"397-402.e1","source":"PubMed","title":"Early Enteral Nutrition and Aggressive Fluid Resuscitation are Associated with Improved Clinical Outcomes in Acute Pancreatitis","volume":"167","author":[{"family":"Szabo","given":"Flora K."},{"family":"Fei","given":"Lin"},{"family":"Cruz","given":"Ligia Alfaro"},{"family":"Abu-El-Haija","given":"Maisam"}],"issued":{"date-parts":[["2015",8]]}}}],"schema":"https://github.com/citation-style-language/schema/raw/master/csl-citation.json"} </w:instrText>
      </w:r>
      <w:r w:rsidR="00586F45"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[27]</w:t>
      </w:r>
      <w:r w:rsidR="00586F45"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This paper combined enteral feeds and maintenance fluids. Therefore, </w:t>
      </w:r>
      <w:r w:rsidR="00505F56" w:rsidRPr="00076637">
        <w:rPr>
          <w:rFonts w:ascii="Times New Roman" w:eastAsia="Times New Roman" w:hAnsi="Times New Roman" w:cs="Times New Roman"/>
          <w:sz w:val="24"/>
          <w:szCs w:val="24"/>
        </w:rPr>
        <w:t xml:space="preserve">again, </w:t>
      </w:r>
      <w:r w:rsidRPr="00076637">
        <w:rPr>
          <w:rFonts w:ascii="Times New Roman" w:eastAsia="Times New Roman" w:hAnsi="Times New Roman" w:cs="Times New Roman"/>
          <w:sz w:val="24"/>
          <w:szCs w:val="24"/>
        </w:rPr>
        <w:t>it is not possible to draw conclusions about the effect of IV maintenance fluids in this context.</w:t>
      </w:r>
    </w:p>
    <w:p w14:paraId="277F8F73" w14:textId="720A3C02"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b/>
          <w:bCs/>
          <w:sz w:val="24"/>
          <w:szCs w:val="24"/>
        </w:rPr>
        <w:t>Postoperative cardiac surgery</w:t>
      </w:r>
      <w:r w:rsidR="00EA6BAC" w:rsidRPr="00076637">
        <w:rPr>
          <w:rFonts w:ascii="Times New Roman" w:eastAsia="Times New Roman" w:hAnsi="Times New Roman" w:cs="Times New Roman"/>
          <w:b/>
          <w:bCs/>
          <w:sz w:val="24"/>
          <w:szCs w:val="24"/>
        </w:rPr>
        <w:t xml:space="preserve">: </w:t>
      </w:r>
      <w:r w:rsidRPr="00076637">
        <w:rPr>
          <w:rFonts w:ascii="Times New Roman" w:eastAsia="Times New Roman" w:hAnsi="Times New Roman" w:cs="Times New Roman"/>
          <w:sz w:val="24"/>
          <w:szCs w:val="24"/>
        </w:rPr>
        <w:t xml:space="preserve">Two retrospective cohort studies have shown that cumulative fluid overload at day 2 after cardiac surgery </w:t>
      </w:r>
      <w:r w:rsidR="004F5FCB" w:rsidRPr="00076637">
        <w:rPr>
          <w:rFonts w:ascii="Times New Roman" w:eastAsia="Times New Roman" w:hAnsi="Times New Roman" w:cs="Times New Roman"/>
          <w:sz w:val="24"/>
          <w:szCs w:val="24"/>
        </w:rPr>
        <w:t>was</w:t>
      </w:r>
      <w:r w:rsidRPr="00076637">
        <w:rPr>
          <w:rFonts w:ascii="Times New Roman" w:eastAsia="Times New Roman" w:hAnsi="Times New Roman" w:cs="Times New Roman"/>
          <w:sz w:val="24"/>
          <w:szCs w:val="24"/>
        </w:rPr>
        <w:t xml:space="preserve"> associated with a prolonged PICU stay and an increased duration of mechanical ventilation</w:t>
      </w:r>
      <w:r w:rsidR="00F31176" w:rsidRPr="00076637">
        <w:rPr>
          <w:rFonts w:ascii="Times New Roman" w:eastAsia="Times New Roman" w:hAnsi="Times New Roman" w:cs="Times New Roman"/>
          <w:sz w:val="24"/>
          <w:szCs w:val="24"/>
        </w:rPr>
        <w:t xml:space="preserve"> </w:t>
      </w:r>
      <w:r w:rsidR="00F31176"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{"citationID":"l8L8o05W","properties":{"formattedCitation":"[28, 29]","plainCitation":"[28, 29]","noteIndex":0},"citationItems":[{"id":"7qGQlw7Y/MP9Y6FAM","uris":["http://zotero.org/users/874466/items/J67DQGGW"],"itemData":{"id":36205,"type":"article-journal","abstract":"OBJECTIVES: A positive fluid balance after cardiac surgery may be associated with poor outcomes; however, previous studies looking at this association have been limited by the number of deaths in the study population. Our primary aim was to determine the relationship between postoperative cumulative fluid balance and mortality in cardiac surgical patients. Secondary aims were to study the association between fluid balance and duration of mechanical ventilation, intensive care and hospital length of stay.\nDESIGN: Case-control study.\nSETTING: A 30-bed multidisciplinary PICU.\nPATIENTS: All patients admitted to the PICU following cardiac surgery from 2010 to 2014.\nINTERVENTIONS: Deaths during PICU admission following cardiac surgery (cases) were matched 1:3 with children who survived to PICU discharge (controls) using the following criteria: age at surgery (within a 20% age range), Risk Adjusted Congenital Heart Surgery (RACHS-1) category, and year of admission.\nMEASUREMENTS AND MAIN RESULTS: Of 1,996 eligible children, 46 died (2.3%) of whom 45 (98%) were successfully matched. Cumulative fluid balance on days 2 and 7 was not associated with PICU mortality. On multivariable analysis, factors associated with mortality were cardiopulmonary bypass time (per 10-min increase, odds ratio [95% CI], 1.06 [1.00-1.12]; p = 0.03), extracorporeal membrane oxygenation requirement within 3 days (46.6 [9.47-230.11]; p &lt; 0.001), peak serum chloride (mmol/L) in the first 48 hours (1.12 [1.01-1.23]), and time to start peritoneal dialysis after surgery (in comparison to no peritoneal dialysis, odds ratio [95% CI] in those started on early peritoneal dialysis was 1.07 [0.33-3.41]; p = 0.90 and in late peritoneal dialysis 3.65 [1.21-10.99]; p = 0.02). Children with cumulative fluid balance greater than or equal to 5% by day 2 spent longer on mechanical ventilation (median [interquartile range], 211 hr [97-539] vs 93 hr [34-225]; p &lt;0.001), in PICU (11 d [8-26] vs 6 [3-13]; p &lt; 0.001) and in hospital (22 d [13-39] vs 14 d [8-30]; p = 0.001).\nCONCLUSIONS: Early fluid overload is not associated with mortality. However, it is associated with increased duration of mechanical ventilation and PICU length of stay. Early peritoneal dialysis commencement (compared with late peritoneal dialysis) after surgery was associated with decreased mortality.","container-title":"Pediatric Critical Care Medicine: A Journal of the Society of Critical Care Medicine and the World Federation of Pediatric Intensive and Critical Care Societies","DOI":"10.1097/PCC.0000000000001170","ISSN":"1529-7535","issue":"7","journalAbbreviation":"Pediatr Crit Care Med","language":"eng","note":"PMID: 28492405","page":"614-622","source":"PubMed","title":"A Case-Control Analysis of Postoperative Fluid Balance and Mortality After Pediatric Cardiac Surgery","volume":"18","author":[{"family":"Delpachitra","given":"Meth R."},{"family":"Namachivayam","given":"Siva P."},{"family":"Millar","given":"Johnny"},{"family":"Delzoppo","given":"Carmel"},{"family":"Butt","given":"Warwick W."}],"issued":{"date-parts":[["2017",7]]}},"label":"page"},{"id":"7qGQlw7Y/VDuw3L3m","uris":["http://zotero.org/users/874466/items/8GVDRX8R"],"itemData":{"id":36203,"type":"article-journal","abstract":"OBJECTIVES: Fluid overload is associated with poor PICU outcomes in different populations. Little is known about fluid overload in children undergoing cardiac surgery. We described fluid overload after cardiac surgery, identified risk factors of worse fluid overload and also determined if fluid overload predicts longer length of PICU stay, prolonged mechanical ventilation (length of ventilation) and worse lung function as estimated by the oxygenation index.\nDESIGN: Retrospective cohort study.\nSETTING: Montreal Children's Hospital PICU, Montreal, Canada.\nPATIENTS: Patients 18 years or younger undergoing cardiac surgery (2005-2007).\nINTERVENTIONS: None.\nMEASUREMENTS AND MAIN RESULTS: Cumulative fluid overload % was calculated as [(total fluid in - out in L)/admission weight (kg) × 100] and expressed as PICU peak cumulative fluid overload % throughout admission and PICU day 2 cumulative fluid overload %. Primary outcomes were length of stay and length of ventilation. The secondary outcome was oxygenation index. Fluid overload risk factors were evaluated using stepwise linear regression. Fluid overload-outcome relations were evaluated using stepwise Cox regression (length of stay, length of ventilation) and generalized estimating equations (daily PICU cumulative fluid overload % and oxygenation index repeated measures). There were 193 eligible surgeries. Peak cumulative fluid overload % was 7.4% ± 11.2%. Fluid overload peaked on PICU day 2. Lack of past cardiac surgery (p = 0.04), cyanotic heart disease (p = 0.03), and early postoperative fluids (p = 0.0001) was independently associated with higher day 2 fluid overload %. Day 2 fluid overload % predicted longer length of stay (adjusted hazard ratio, 0.95; 95% CI, 0.92-0.99; p = 0.009) and length of ventilation (adjusted hazard ratio, 0.97; 95% CI, 0.94-0.99; p = 0.03). In patients without cyanotic heart disease, worse daily fluid overload % predicted worse daily oxygenation index.\nCONCLUSION: Fluid overload occurs early after cardiac surgery and is associated with prolonged PICU length of stay and ventilation. Future fluid overload avoidance trials may confirm or refute a true fluid overload-outcome causative association.","container-title":"Critical Care Medicine","DOI":"10.1097/CCM.0000000000000517","ISSN":"1530-0293","issue":"12","journalAbbreviation":"Crit Care Med","language":"eng","note":"PMID: 25072753","page":"2591-2599","source":"PubMed","title":"Extent, risk factors, and outcome of fluid overload after pediatric heart surgery*","volume":"42","author":[{"family":"Seguin","given":"Jade"},{"family":"Albright","given":"Benjamin"},{"family":"Vertullo","given":"Laura"},{"family":"Lai","given":"Pamela"},{"family":"Dancea","given":"Adrian"},{"family":"Bernier","given":"Pierre-Luc"},{"family":"Tchervenkov","given":"Christo I."},{"family":"Calaritis","given":"Christos"},{"family":"Drullinsky","given":"David"},{"family":"Gottesman","given":"Ronald"},{"family":"Zappitelli","given":"Michael"}],"issued":{"date-parts":[["2014",12]]}},"label":"page"}],"schema":"https://github.com/citation-style-language/schema/raw/master/csl-citation.json"} </w:instrText>
      </w:r>
      <w:r w:rsidR="00F31176"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[28, 29]</w:t>
      </w:r>
      <w:r w:rsidR="00F31176"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with no difference in mortality. Seguin et al. showed that early postoperative </w:t>
      </w:r>
      <w:r w:rsidR="004F5FCB" w:rsidRPr="00076637">
        <w:rPr>
          <w:rFonts w:ascii="Times New Roman" w:eastAsia="Times New Roman" w:hAnsi="Times New Roman" w:cs="Times New Roman"/>
          <w:sz w:val="24"/>
          <w:szCs w:val="24"/>
        </w:rPr>
        <w:t>IV fluids</w:t>
      </w:r>
      <w:r w:rsidRPr="00076637">
        <w:rPr>
          <w:rFonts w:ascii="Times New Roman" w:eastAsia="Times New Roman" w:hAnsi="Times New Roman" w:cs="Times New Roman"/>
          <w:sz w:val="24"/>
          <w:szCs w:val="24"/>
        </w:rPr>
        <w:t xml:space="preserve"> were independently associated with a higher day 2 fluid overload ratio </w:t>
      </w:r>
      <w:r w:rsidR="00296130"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{"citationID":"pgyHEV8g","properties":{"formattedCitation":"[29]","plainCitation":"[29]","noteIndex":0},"citationItems":[{"id":"7qGQlw7Y/VDuw3L3m","uris":["http://zotero.org/users/874466/items/8GVDRX8R"],"itemData":{"id":36203,"type":"article-journal","abstract":"OBJECTIVES: Fluid overload is associated with poor PICU outcomes in different populations. Little is known about fluid overload in children undergoing cardiac surgery. We described fluid overload after cardiac surgery, identified risk factors of worse fluid overload and also determined if fluid overload predicts longer length of PICU stay, prolonged mechanical ventilation (length of ventilation) and worse lung function as estimated by the oxygenation index.\nDESIGN: Retrospective cohort study.\nSETTING: Montreal Children's Hospital PICU, Montreal, Canada.\nPATIENTS: Patients 18 years or younger undergoing cardiac surgery (2005-2007).\nINTERVENTIONS: None.\nMEASUREMENTS AND MAIN RESULTS: Cumulative fluid overload % was calculated as [(total fluid in - out in L)/admission weight (kg) × 100] and expressed as PICU peak cumulative fluid overload % throughout admission and PICU day 2 cumulative fluid overload %. Primary outcomes were length of stay and length of ventilation. The secondary outcome was oxygenation index. Fluid overload risk factors were evaluated using stepwise linear regression. Fluid overload-outcome relations were evaluated using stepwise Cox regression (length of stay, length of ventilation) and generalized estimating equations (daily PICU cumulative fluid overload % and oxygenation index repeated measures). There were 193 eligible surgeries. Peak cumulative fluid overload % was 7.4% ± 11.2%. Fluid overload peaked on PICU day 2. Lack of past cardiac surgery (p = 0.04), cyanotic heart disease (p = 0.03), and early postoperative fluids (p = 0.0001) was independently associated with higher day 2 fluid overload %. Day 2 fluid overload % predicted longer length of stay (adjusted hazard ratio, 0.95; 95% CI, 0.92-0.99; p = 0.009) and length of ventilation (adjusted hazard ratio, 0.97; 95% CI, 0.94-0.99; p = 0.03). In patients without cyanotic heart disease, worse daily fluid overload % predicted worse daily oxygenation index.\nCONCLUSION: Fluid overload occurs early after cardiac surgery and is associated with prolonged PICU length of stay and ventilation. Future fluid overload avoidance trials may confirm or refute a true fluid overload-outcome causative association.","container-title":"Critical Care Medicine","DOI":"10.1097/CCM.0000000000000517","ISSN":"1530-0293","issue":"12","journalAbbreviation":"Crit Care Med","language":"eng","note":"PMID: 25072753","page":"2591-2599","source":"PubMed","title":"Extent, risk factors, and outcome of fluid overload after pediatric heart surgery*","volume":"42","author":[{"family":"Seguin","given":"Jade"},{"family":"Albright","given":"Benjamin"},{"family":"Vertullo","given":"Laura"},{"family":"Lai","given":"Pamela"},{"family":"Dancea","given":"Adrian"},{"family":"Bernier","given":"Pierre-Luc"},{"family":"Tchervenkov","given":"Christo I."},{"family":"Calaritis","given":"Christos"},{"family":"Drullinsky","given":"David"},{"family":"Gottesman","given":"Ronald"},{"family":"Zappitelli","given":"Michael"}],"issued":{"date-parts":[["2014",12]]}}}],"schema":"https://github.com/citation-style-language/schema/raw/master/csl-citation.json"} </w:instrText>
      </w:r>
      <w:r w:rsidR="00296130"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[29]</w:t>
      </w:r>
      <w:r w:rsidR="00296130"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Evidence suggests that restricting maintenance fluids could be useful in the early postoperative period following cardiac surgery, but </w:t>
      </w:r>
      <w:proofErr w:type="spellStart"/>
      <w:r w:rsidRPr="00076637">
        <w:rPr>
          <w:rFonts w:ascii="Times New Roman" w:eastAsia="Times New Roman" w:hAnsi="Times New Roman" w:cs="Times New Roman"/>
          <w:sz w:val="24"/>
          <w:szCs w:val="24"/>
        </w:rPr>
        <w:t>randomi</w:t>
      </w:r>
      <w:r w:rsidR="004F5FCB" w:rsidRPr="00076637">
        <w:rPr>
          <w:rFonts w:ascii="Times New Roman" w:eastAsia="Times New Roman" w:hAnsi="Times New Roman" w:cs="Times New Roman"/>
          <w:sz w:val="24"/>
          <w:szCs w:val="24"/>
        </w:rPr>
        <w:t>s</w:t>
      </w:r>
      <w:r w:rsidRPr="00076637">
        <w:rPr>
          <w:rFonts w:ascii="Times New Roman" w:eastAsia="Times New Roman" w:hAnsi="Times New Roman" w:cs="Times New Roman"/>
          <w:sz w:val="24"/>
          <w:szCs w:val="24"/>
        </w:rPr>
        <w:t>ed</w:t>
      </w:r>
      <w:proofErr w:type="spellEnd"/>
      <w:r w:rsidRPr="00076637">
        <w:rPr>
          <w:rFonts w:ascii="Times New Roman" w:eastAsia="Times New Roman" w:hAnsi="Times New Roman" w:cs="Times New Roman"/>
          <w:sz w:val="24"/>
          <w:szCs w:val="24"/>
        </w:rPr>
        <w:t xml:space="preserve"> studies comparing the amount of fluid restriction are needed. </w:t>
      </w:r>
    </w:p>
    <w:p w14:paraId="277F8F75" w14:textId="32BC73B4"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b/>
          <w:bCs/>
          <w:sz w:val="24"/>
          <w:szCs w:val="24"/>
        </w:rPr>
        <w:t>Sepsis</w:t>
      </w:r>
      <w:r w:rsidR="00EA6BAC" w:rsidRPr="00076637">
        <w:rPr>
          <w:rFonts w:ascii="Times New Roman" w:eastAsia="Times New Roman" w:hAnsi="Times New Roman" w:cs="Times New Roman"/>
          <w:b/>
          <w:bCs/>
          <w:sz w:val="24"/>
          <w:szCs w:val="24"/>
        </w:rPr>
        <w:t xml:space="preserve">: </w:t>
      </w:r>
      <w:r w:rsidRPr="00076637">
        <w:rPr>
          <w:rFonts w:ascii="Times New Roman" w:eastAsia="Times New Roman" w:hAnsi="Times New Roman" w:cs="Times New Roman"/>
          <w:sz w:val="24"/>
          <w:szCs w:val="24"/>
        </w:rPr>
        <w:t xml:space="preserve">A </w:t>
      </w:r>
      <w:r w:rsidR="00BE6A59" w:rsidRPr="00076637">
        <w:rPr>
          <w:rFonts w:ascii="Times New Roman" w:eastAsia="Times New Roman" w:hAnsi="Times New Roman" w:cs="Times New Roman"/>
          <w:sz w:val="24"/>
          <w:szCs w:val="24"/>
        </w:rPr>
        <w:t xml:space="preserve">recent </w:t>
      </w:r>
      <w:r w:rsidRPr="00076637">
        <w:rPr>
          <w:rFonts w:ascii="Times New Roman" w:eastAsia="Times New Roman" w:hAnsi="Times New Roman" w:cs="Times New Roman"/>
          <w:sz w:val="24"/>
          <w:szCs w:val="24"/>
        </w:rPr>
        <w:t xml:space="preserve">Cochrane systematic review with meta-analysis found that liberal </w:t>
      </w:r>
      <w:r w:rsidR="004F5FCB" w:rsidRPr="00076637">
        <w:rPr>
          <w:rFonts w:ascii="Times New Roman" w:eastAsia="Times New Roman" w:hAnsi="Times New Roman" w:cs="Times New Roman"/>
          <w:sz w:val="24"/>
          <w:szCs w:val="24"/>
        </w:rPr>
        <w:t xml:space="preserve">IV </w:t>
      </w:r>
      <w:r w:rsidRPr="00076637">
        <w:rPr>
          <w:rFonts w:ascii="Times New Roman" w:eastAsia="Times New Roman" w:hAnsi="Times New Roman" w:cs="Times New Roman"/>
          <w:sz w:val="24"/>
          <w:szCs w:val="24"/>
        </w:rPr>
        <w:t xml:space="preserve">fluid intake, </w:t>
      </w:r>
      <w:r w:rsidR="004F5FCB" w:rsidRPr="00076637">
        <w:rPr>
          <w:rFonts w:ascii="Times New Roman" w:eastAsia="Times New Roman" w:hAnsi="Times New Roman" w:cs="Times New Roman"/>
          <w:sz w:val="24"/>
          <w:szCs w:val="24"/>
        </w:rPr>
        <w:t>(</w:t>
      </w:r>
      <w:r w:rsidRPr="00076637">
        <w:rPr>
          <w:rFonts w:ascii="Times New Roman" w:eastAsia="Times New Roman" w:hAnsi="Times New Roman" w:cs="Times New Roman"/>
          <w:sz w:val="24"/>
          <w:szCs w:val="24"/>
        </w:rPr>
        <w:t xml:space="preserve">including </w:t>
      </w:r>
      <w:r w:rsidR="004F5FCB" w:rsidRPr="00076637">
        <w:rPr>
          <w:rFonts w:ascii="Times New Roman" w:eastAsia="Times New Roman" w:hAnsi="Times New Roman" w:cs="Times New Roman"/>
          <w:sz w:val="24"/>
          <w:szCs w:val="24"/>
        </w:rPr>
        <w:t xml:space="preserve">both </w:t>
      </w:r>
      <w:r w:rsidRPr="00076637">
        <w:rPr>
          <w:rFonts w:ascii="Times New Roman" w:eastAsia="Times New Roman" w:hAnsi="Times New Roman" w:cs="Times New Roman"/>
          <w:sz w:val="24"/>
          <w:szCs w:val="24"/>
        </w:rPr>
        <w:t>maintenance and resuscitation fluids</w:t>
      </w:r>
      <w:r w:rsidR="004F5FCB" w:rsidRPr="00076637">
        <w:rPr>
          <w:rFonts w:ascii="Times New Roman" w:eastAsia="Times New Roman" w:hAnsi="Times New Roman" w:cs="Times New Roman"/>
          <w:sz w:val="24"/>
          <w:szCs w:val="24"/>
        </w:rPr>
        <w:t>)</w:t>
      </w:r>
      <w:r w:rsidRPr="00076637">
        <w:rPr>
          <w:rFonts w:ascii="Times New Roman" w:eastAsia="Times New Roman" w:hAnsi="Times New Roman" w:cs="Times New Roman"/>
          <w:sz w:val="24"/>
          <w:szCs w:val="24"/>
        </w:rPr>
        <w:t xml:space="preserve">, in children with septic shock </w:t>
      </w:r>
      <w:r w:rsidR="004F5FCB" w:rsidRPr="00076637">
        <w:rPr>
          <w:rFonts w:ascii="Times New Roman" w:eastAsia="Times New Roman" w:hAnsi="Times New Roman" w:cs="Times New Roman"/>
          <w:sz w:val="24"/>
          <w:szCs w:val="24"/>
        </w:rPr>
        <w:t xml:space="preserve">may increase </w:t>
      </w:r>
      <w:r w:rsidRPr="00076637">
        <w:rPr>
          <w:rFonts w:ascii="Times New Roman" w:eastAsia="Times New Roman" w:hAnsi="Times New Roman" w:cs="Times New Roman"/>
          <w:sz w:val="24"/>
          <w:szCs w:val="24"/>
        </w:rPr>
        <w:t>t</w:t>
      </w:r>
      <w:r w:rsidR="004F5FCB" w:rsidRPr="00076637">
        <w:rPr>
          <w:rFonts w:ascii="Times New Roman" w:eastAsia="Times New Roman" w:hAnsi="Times New Roman" w:cs="Times New Roman"/>
          <w:sz w:val="24"/>
          <w:szCs w:val="24"/>
        </w:rPr>
        <w:t>he</w:t>
      </w:r>
      <w:r w:rsidRPr="00076637">
        <w:rPr>
          <w:rFonts w:ascii="Times New Roman" w:eastAsia="Times New Roman" w:hAnsi="Times New Roman" w:cs="Times New Roman"/>
          <w:sz w:val="24"/>
          <w:szCs w:val="24"/>
        </w:rPr>
        <w:t xml:space="preserve"> risk of death</w:t>
      </w:r>
      <w:r w:rsidR="004F5FCB" w:rsidRPr="00076637">
        <w:rPr>
          <w:rFonts w:ascii="Times New Roman" w:eastAsia="Times New Roman" w:hAnsi="Times New Roman" w:cs="Times New Roman"/>
          <w:sz w:val="24"/>
          <w:szCs w:val="24"/>
        </w:rPr>
        <w:t>, compared to</w:t>
      </w:r>
      <w:r w:rsidRPr="00076637">
        <w:rPr>
          <w:rFonts w:ascii="Times New Roman" w:eastAsia="Times New Roman" w:hAnsi="Times New Roman" w:cs="Times New Roman"/>
          <w:sz w:val="24"/>
          <w:szCs w:val="24"/>
        </w:rPr>
        <w:t xml:space="preserve"> </w:t>
      </w:r>
      <w:r w:rsidR="004F5FCB" w:rsidRPr="00076637">
        <w:rPr>
          <w:rFonts w:ascii="Times New Roman" w:eastAsia="Times New Roman" w:hAnsi="Times New Roman" w:cs="Times New Roman"/>
          <w:sz w:val="24"/>
          <w:szCs w:val="24"/>
        </w:rPr>
        <w:t xml:space="preserve">a more </w:t>
      </w:r>
      <w:r w:rsidRPr="00076637">
        <w:rPr>
          <w:rFonts w:ascii="Times New Roman" w:eastAsia="Times New Roman" w:hAnsi="Times New Roman" w:cs="Times New Roman"/>
          <w:sz w:val="24"/>
          <w:szCs w:val="24"/>
        </w:rPr>
        <w:t xml:space="preserve">conservative </w:t>
      </w:r>
      <w:r w:rsidR="004F5FCB" w:rsidRPr="00076637">
        <w:rPr>
          <w:rFonts w:ascii="Times New Roman" w:eastAsia="Times New Roman" w:hAnsi="Times New Roman" w:cs="Times New Roman"/>
          <w:sz w:val="24"/>
          <w:szCs w:val="24"/>
        </w:rPr>
        <w:t xml:space="preserve">IV </w:t>
      </w:r>
      <w:r w:rsidRPr="00076637">
        <w:rPr>
          <w:rFonts w:ascii="Times New Roman" w:eastAsia="Times New Roman" w:hAnsi="Times New Roman" w:cs="Times New Roman"/>
          <w:sz w:val="24"/>
          <w:szCs w:val="24"/>
        </w:rPr>
        <w:t xml:space="preserve">fluid intake but the evidence </w:t>
      </w:r>
      <w:r w:rsidR="004F5FCB" w:rsidRPr="00076637">
        <w:rPr>
          <w:rFonts w:ascii="Times New Roman" w:eastAsia="Times New Roman" w:hAnsi="Times New Roman" w:cs="Times New Roman"/>
          <w:sz w:val="24"/>
          <w:szCs w:val="24"/>
        </w:rPr>
        <w:t>was</w:t>
      </w:r>
      <w:r w:rsidRPr="00076637">
        <w:rPr>
          <w:rFonts w:ascii="Times New Roman" w:eastAsia="Times New Roman" w:hAnsi="Times New Roman" w:cs="Times New Roman"/>
          <w:sz w:val="24"/>
          <w:szCs w:val="24"/>
        </w:rPr>
        <w:t xml:space="preserve"> of low quality </w:t>
      </w:r>
      <w:r w:rsidR="008654E0"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{"citationID":"CMoKkPax","properties":{"formattedCitation":"[30]","plainCitation":"[30]","noteIndex":0},"citationItems":[{"id":"7qGQlw7Y/aHzvWk35","uris":["http://zotero.org/users/874466/items/VM5X27IU"],"itemData":{"id":36207,"type":"article-journal","abstract":"Different fluid therapy strategies for sepsis and septic shock\n        , \n          Review question\n        , We aimed to investigate whether liberal fluid therapy can lead to more beneficial or harmful effects compared to conservative fluid therapy for adults and children with severe sepsis or septic shock. We mainly evaluated the different effects of these two interventions on risk of death and occurrence of adverse events., \n          Background\n        , Sepsis and septic shock are complications of infection. Patients in the intensive care unit (ICU) are more likely than others to be affected by this condition. Once affected, patients experience organ dysfunction, which in some cases may lead to death. Fluid therapy is often used as an important intervention for initial treatment of sepsis in adults and children., \n          Results\n        , We searched the electronic databases on 16 January 2018. We identified no adult trials that met our inclusion criteria. We included three trials involving 3402 children. We identified three 'ongoing' trials that have not yet been published. Pooled results from two trials (involving 3288 children) show that liberal fluid therapy may increase risk of in‐hospital death by 38%, and risk of death at four‐week follow‐up by 39%. This means that for every 34 children receiving fluid therapy, one more in‐hospital death will occur in the liberal fluid therapy group than in the conservative fluid therapy group. Similarly, at four‐week follow‐up, one more death will occur in the liberal fluid therapy group than in the conservative fluid therapy group for every 29 children receiving fluid therapy. One small study reported inconclusive results on risk of in‐hospital death. We are uncertain whether there is a difference in adverse events (i.e. hepatomegaly, need for ventilation, allergic reaction, and neurological sequelae) between patients receiving liberal versus conservative fluid therapy., One trial (involving 101 children) reported that conservative fluid therapy can shorten ICU stay and the duration of ventilation. However, we have very little confidence in this finding owing to the small sample size. We found no studies investigating adults with sepsis or septic shock., \n          Conclusion\n        , Low‐ to high‐quality evidence shows that liberal fluid therapy may increase the death rate for children with sepsis or septic shock. Except for this finding, we are uncertain about the effects of liberal versus conservative fluid therapy on the risk of adverse events. We are also uncertain about the effects of these two interventions for adults with sepsis or septic shock due to lack of data. Future trials focusing on adult sepsis or septic shock in other settings, with a wider range of pathogens, are expected. Once published and assessed, the three 'ongoing' studies identified may alter the conclusions of this review.","container-title":"The Cochrane Database of Systematic Reviews","DOI":"10.1002/14651858.CD010593.pub2","ISSN":"1469-493X","issue":"12","journalAbbreviation":"Cochrane Database Syst Rev","note":"PMID: 30536956\nPMCID: PMC6517253","page":"CD010593","source":"PubMed Central","title":"Liberal versus conservative fluid therapy in adults and children with sepsis or septic shock","volume":"2018","author":[{"family":"Li","given":"Danyang"},{"family":"Li","given":"Xueyang"},{"family":"Cui","given":"Wei"},{"family":"Shen","given":"Huahao"},{"family":"Zhu","given":"Hong"},{"family":"Xia","given":"Yi"}],"issued":{"date-parts":[["2018",12,10]]}}}],"schema":"https://github.com/citation-style-language/schema/raw/master/csl-citation.json"} </w:instrText>
      </w:r>
      <w:r w:rsidR="008654E0"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[30]</w:t>
      </w:r>
      <w:r w:rsidR="008654E0"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In adults and children with ARDS, sepsis or SIRS, a conservative </w:t>
      </w:r>
      <w:r w:rsidR="004F5FCB" w:rsidRPr="00076637">
        <w:rPr>
          <w:rFonts w:ascii="Times New Roman" w:eastAsia="Times New Roman" w:hAnsi="Times New Roman" w:cs="Times New Roman"/>
          <w:sz w:val="24"/>
          <w:szCs w:val="24"/>
        </w:rPr>
        <w:t xml:space="preserve">IV </w:t>
      </w:r>
      <w:r w:rsidRPr="00076637">
        <w:rPr>
          <w:rFonts w:ascii="Times New Roman" w:eastAsia="Times New Roman" w:hAnsi="Times New Roman" w:cs="Times New Roman"/>
          <w:sz w:val="24"/>
          <w:szCs w:val="24"/>
        </w:rPr>
        <w:lastRenderedPageBreak/>
        <w:t>fluid strategy result</w:t>
      </w:r>
      <w:r w:rsidR="004F5FCB" w:rsidRPr="00076637">
        <w:rPr>
          <w:rFonts w:ascii="Times New Roman" w:eastAsia="Times New Roman" w:hAnsi="Times New Roman" w:cs="Times New Roman"/>
          <w:sz w:val="24"/>
          <w:szCs w:val="24"/>
        </w:rPr>
        <w:t>ed</w:t>
      </w:r>
      <w:r w:rsidRPr="00076637">
        <w:rPr>
          <w:rFonts w:ascii="Times New Roman" w:eastAsia="Times New Roman" w:hAnsi="Times New Roman" w:cs="Times New Roman"/>
          <w:sz w:val="24"/>
          <w:szCs w:val="24"/>
        </w:rPr>
        <w:t xml:space="preserve"> in an increased number of ventilator-free days and a decreased length of ICU stay compared with a liberal </w:t>
      </w:r>
      <w:r w:rsidR="004F5FCB" w:rsidRPr="00076637">
        <w:rPr>
          <w:rFonts w:ascii="Times New Roman" w:eastAsia="Times New Roman" w:hAnsi="Times New Roman" w:cs="Times New Roman"/>
          <w:sz w:val="24"/>
          <w:szCs w:val="24"/>
        </w:rPr>
        <w:t xml:space="preserve">IV fluid </w:t>
      </w:r>
      <w:r w:rsidRPr="00076637">
        <w:rPr>
          <w:rFonts w:ascii="Times New Roman" w:eastAsia="Times New Roman" w:hAnsi="Times New Roman" w:cs="Times New Roman"/>
          <w:sz w:val="24"/>
          <w:szCs w:val="24"/>
        </w:rPr>
        <w:t xml:space="preserve">strategy or standard care </w:t>
      </w:r>
      <w:r w:rsidR="00C96A2A"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{"citationID":"SSBc9rIs","properties":{"formattedCitation":"[9]","plainCitation":"[9]","noteIndex":0},"citationItems":[{"id":"7qGQlw7Y/1leXPwbg","uris":["http://zotero.org/users/874466/items/9USNVQDF"],"itemData":{"id":36159,"type":"article-journal","abstract":"BACKGROUND: It is unknown whether a conservative approach to fluid administration or deresuscitation (active removal of fluid using diuretics or renal replacement therapy) is beneficial following haemodynamic stabilisation of critically ill patients.\nPURPOSE: To evaluate the efficacy and safety of conservative or deresuscitative fluid strategies in adults and children with acute respiratory distress syndrome (ARDS), sepsis or systemic inflammatory response syndrome (SIRS) in the post-resuscitation phase of critical illness.\nMETHODS: We searched Medline, EMBASE and the Cochrane central register of controlled trials from 1980 to June 2016, and manually reviewed relevant conference proceedings from 2009 to the present. Two reviewers independently assessed search results for inclusion and undertook data extraction and quality appraisal. We included randomised trials comparing fluid regimens with differing fluid balances between groups, and observational studies investigating the relationship between fluid balance and clinical outcomes.\nRESULTS: Forty-nine studies met the inclusion criteria. Marked clinical heterogeneity was evident. In a meta-analysis of 11 randomised trials (2051 patients) using a random-effects model, we found no significant difference in mortality with conservative or deresuscitative strategies compared with a liberal strategy or usual care [pooled risk ratio (RR) 0.92, 95 % confidence interval (CI) 0.82-1.02, I 2 = 0 %]. A conservative or deresuscitative strategy resulted in increased ventilator-free days (mean difference 1.82 days, 95 % CI 0.53-3.10, I 2 = 9 %) and reduced length of ICU stay (mean difference -1.88 days, 95 % CI -0.12 to -3.64, I 2 = 75 %) compared with a liberal strategy or standard care.\nCONCLUSIONS: In adults and children with ARDS, sepsis or SIRS, a conservative or deresuscitative fluid strategy results in an increased number of ventilator-free days and a decreased length of ICU stay compared with a liberal strategy or standard care. The effect on mortality remains uncertain. Large randomised trials are needed to determine optimal fluid strategies in critical illness.","container-title":"Intensive Care Medicine","DOI":"10.1007/s00134-016-4573-3","ISSN":"1432-1238","issue":"2","journalAbbreviation":"Intensive Care Med","language":"eng","note":"PMID: 27734109","page":"155-170","source":"PubMed","title":"Conservative fluid management or deresuscitation for patients with sepsis or acute respiratory distress syndrome following the resuscitation phase of critical illness: a systematic review and meta-analysis","title-short":"Conservative fluid management or deresuscitation for patients with sepsis or acute respiratory distress syndrome following the resuscitation phase of critical illness","volume":"43","author":[{"family":"Silversides","given":"Jonathan A."},{"family":"Major","given":"Emmet"},{"family":"Ferguson","given":"Andrew J."},{"family":"Mann","given":"Emma E."},{"family":"McAuley","given":"Daniel F."},{"family":"Marshall","given":"John C."},{"family":"Blackwood","given":"Bronagh"},{"family":"Fan","given":"Eddy"}],"issued":{"date-parts":[["2017",2]]}}}],"schema":"https://github.com/citation-style-language/schema/raw/master/csl-citation.json"} </w:instrText>
      </w:r>
      <w:r w:rsidR="00C96A2A"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[9]</w:t>
      </w:r>
      <w:r w:rsidR="00C96A2A"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Th</w:t>
      </w:r>
      <w:r w:rsidR="00CF2E91" w:rsidRPr="00076637">
        <w:rPr>
          <w:rFonts w:ascii="Times New Roman" w:eastAsia="Times New Roman" w:hAnsi="Times New Roman" w:cs="Times New Roman"/>
          <w:sz w:val="24"/>
          <w:szCs w:val="24"/>
        </w:rPr>
        <w:t>is</w:t>
      </w:r>
      <w:r w:rsidRPr="00076637">
        <w:rPr>
          <w:rFonts w:ascii="Times New Roman" w:eastAsia="Times New Roman" w:hAnsi="Times New Roman" w:cs="Times New Roman"/>
          <w:sz w:val="24"/>
          <w:szCs w:val="24"/>
        </w:rPr>
        <w:t xml:space="preserve"> data support</w:t>
      </w:r>
      <w:r w:rsidR="00CF2E91" w:rsidRPr="00076637">
        <w:rPr>
          <w:rFonts w:ascii="Times New Roman" w:eastAsia="Times New Roman" w:hAnsi="Times New Roman" w:cs="Times New Roman"/>
          <w:sz w:val="24"/>
          <w:szCs w:val="24"/>
        </w:rPr>
        <w:t>s</w:t>
      </w:r>
      <w:r w:rsidRPr="00076637">
        <w:rPr>
          <w:rFonts w:ascii="Times New Roman" w:eastAsia="Times New Roman" w:hAnsi="Times New Roman" w:cs="Times New Roman"/>
          <w:sz w:val="24"/>
          <w:szCs w:val="24"/>
        </w:rPr>
        <w:t xml:space="preserve"> a </w:t>
      </w:r>
      <w:r w:rsidR="00CF2E91" w:rsidRPr="00076637">
        <w:rPr>
          <w:rFonts w:ascii="Times New Roman" w:eastAsia="Times New Roman" w:hAnsi="Times New Roman" w:cs="Times New Roman"/>
          <w:sz w:val="24"/>
          <w:szCs w:val="24"/>
        </w:rPr>
        <w:t xml:space="preserve">more </w:t>
      </w:r>
      <w:r w:rsidRPr="00076637">
        <w:rPr>
          <w:rFonts w:ascii="Times New Roman" w:eastAsia="Times New Roman" w:hAnsi="Times New Roman" w:cs="Times New Roman"/>
          <w:sz w:val="24"/>
          <w:szCs w:val="24"/>
        </w:rPr>
        <w:t>restrict</w:t>
      </w:r>
      <w:r w:rsidR="00CF2E91" w:rsidRPr="00076637">
        <w:rPr>
          <w:rFonts w:ascii="Times New Roman" w:eastAsia="Times New Roman" w:hAnsi="Times New Roman" w:cs="Times New Roman"/>
          <w:sz w:val="24"/>
          <w:szCs w:val="24"/>
        </w:rPr>
        <w:t>ive IV</w:t>
      </w:r>
      <w:r w:rsidR="00CB44C2" w:rsidRPr="00076637">
        <w:rPr>
          <w:rFonts w:ascii="Times New Roman" w:eastAsia="Times New Roman" w:hAnsi="Times New Roman" w:cs="Times New Roman"/>
          <w:sz w:val="24"/>
          <w:szCs w:val="24"/>
        </w:rPr>
        <w:t>-M</w:t>
      </w:r>
      <w:r w:rsidR="00CF2E91" w:rsidRPr="00076637">
        <w:rPr>
          <w:rFonts w:ascii="Times New Roman" w:eastAsia="Times New Roman" w:hAnsi="Times New Roman" w:cs="Times New Roman"/>
          <w:sz w:val="24"/>
          <w:szCs w:val="24"/>
        </w:rPr>
        <w:t>FT</w:t>
      </w:r>
      <w:r w:rsidRPr="00076637">
        <w:rPr>
          <w:rFonts w:ascii="Times New Roman" w:eastAsia="Times New Roman" w:hAnsi="Times New Roman" w:cs="Times New Roman"/>
          <w:sz w:val="24"/>
          <w:szCs w:val="24"/>
        </w:rPr>
        <w:t xml:space="preserve"> in the acute phase in children with septic shock and ARDS.</w:t>
      </w:r>
    </w:p>
    <w:p w14:paraId="277F8F77" w14:textId="02929815"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b/>
          <w:bCs/>
          <w:sz w:val="24"/>
          <w:szCs w:val="24"/>
        </w:rPr>
        <w:t>Neonates</w:t>
      </w:r>
      <w:r w:rsidR="00EA6BAC" w:rsidRPr="00076637">
        <w:rPr>
          <w:rFonts w:ascii="Times New Roman" w:eastAsia="Times New Roman" w:hAnsi="Times New Roman" w:cs="Times New Roman"/>
          <w:b/>
          <w:bCs/>
          <w:sz w:val="24"/>
          <w:szCs w:val="24"/>
        </w:rPr>
        <w:t xml:space="preserve">: </w:t>
      </w:r>
      <w:r w:rsidRPr="00076637">
        <w:rPr>
          <w:rFonts w:ascii="Times New Roman" w:eastAsia="Times New Roman" w:hAnsi="Times New Roman" w:cs="Times New Roman"/>
          <w:sz w:val="24"/>
          <w:szCs w:val="24"/>
        </w:rPr>
        <w:t xml:space="preserve">In </w:t>
      </w:r>
      <w:r w:rsidR="00CF2E91" w:rsidRPr="00076637">
        <w:rPr>
          <w:rFonts w:ascii="Times New Roman" w:eastAsia="Times New Roman" w:hAnsi="Times New Roman" w:cs="Times New Roman"/>
          <w:sz w:val="24"/>
          <w:szCs w:val="24"/>
        </w:rPr>
        <w:t xml:space="preserve">term </w:t>
      </w:r>
      <w:r w:rsidRPr="00076637">
        <w:rPr>
          <w:rFonts w:ascii="Times New Roman" w:eastAsia="Times New Roman" w:hAnsi="Times New Roman" w:cs="Times New Roman"/>
          <w:sz w:val="24"/>
          <w:szCs w:val="24"/>
        </w:rPr>
        <w:t xml:space="preserve">neonates, a systematic review found no evidence from </w:t>
      </w:r>
      <w:proofErr w:type="spellStart"/>
      <w:r w:rsidRPr="00076637">
        <w:rPr>
          <w:rFonts w:ascii="Times New Roman" w:eastAsia="Times New Roman" w:hAnsi="Times New Roman" w:cs="Times New Roman"/>
          <w:sz w:val="24"/>
          <w:szCs w:val="24"/>
        </w:rPr>
        <w:t>randomised</w:t>
      </w:r>
      <w:proofErr w:type="spellEnd"/>
      <w:r w:rsidRPr="00076637">
        <w:rPr>
          <w:rFonts w:ascii="Times New Roman" w:eastAsia="Times New Roman" w:hAnsi="Times New Roman" w:cs="Times New Roman"/>
          <w:sz w:val="24"/>
          <w:szCs w:val="24"/>
        </w:rPr>
        <w:t xml:space="preserve"> controlled trials to </w:t>
      </w:r>
      <w:r w:rsidR="00CF2E91" w:rsidRPr="00076637">
        <w:rPr>
          <w:rFonts w:ascii="Times New Roman" w:eastAsia="Times New Roman" w:hAnsi="Times New Roman" w:cs="Times New Roman"/>
          <w:sz w:val="24"/>
          <w:szCs w:val="24"/>
        </w:rPr>
        <w:t xml:space="preserve">confer any benefit </w:t>
      </w:r>
      <w:r w:rsidR="009E3460" w:rsidRPr="00076637">
        <w:rPr>
          <w:rFonts w:ascii="Times New Roman" w:eastAsia="Times New Roman" w:hAnsi="Times New Roman" w:cs="Times New Roman"/>
          <w:sz w:val="24"/>
          <w:szCs w:val="24"/>
        </w:rPr>
        <w:t>for a restrictive IV</w:t>
      </w:r>
      <w:r w:rsidR="00E157F3" w:rsidRPr="00076637">
        <w:rPr>
          <w:rFonts w:ascii="Times New Roman" w:eastAsia="Times New Roman" w:hAnsi="Times New Roman" w:cs="Times New Roman"/>
          <w:sz w:val="24"/>
          <w:szCs w:val="24"/>
        </w:rPr>
        <w:t>-M</w:t>
      </w:r>
      <w:r w:rsidR="009E3460" w:rsidRPr="00076637">
        <w:rPr>
          <w:rFonts w:ascii="Times New Roman" w:eastAsia="Times New Roman" w:hAnsi="Times New Roman" w:cs="Times New Roman"/>
          <w:sz w:val="24"/>
          <w:szCs w:val="24"/>
        </w:rPr>
        <w:t xml:space="preserve">FT </w:t>
      </w:r>
      <w:r w:rsidRPr="00076637">
        <w:rPr>
          <w:rFonts w:ascii="Times New Roman" w:eastAsia="Times New Roman" w:hAnsi="Times New Roman" w:cs="Times New Roman"/>
          <w:sz w:val="24"/>
          <w:szCs w:val="24"/>
        </w:rPr>
        <w:t xml:space="preserve">following perinatal asphyxia on mortality </w:t>
      </w:r>
      <w:r w:rsidR="009E3460" w:rsidRPr="00076637">
        <w:rPr>
          <w:rFonts w:ascii="Times New Roman" w:eastAsia="Times New Roman" w:hAnsi="Times New Roman" w:cs="Times New Roman"/>
          <w:sz w:val="24"/>
          <w:szCs w:val="24"/>
        </w:rPr>
        <w:t>or</w:t>
      </w:r>
      <w:r w:rsidRPr="00076637">
        <w:rPr>
          <w:rFonts w:ascii="Times New Roman" w:eastAsia="Times New Roman" w:hAnsi="Times New Roman" w:cs="Times New Roman"/>
          <w:sz w:val="24"/>
          <w:szCs w:val="24"/>
        </w:rPr>
        <w:t xml:space="preserve"> morbidity </w:t>
      </w:r>
      <w:r w:rsidR="00450A7B"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{"citationID":"5u7HjBn2","properties":{"formattedCitation":"[31]","plainCitation":"[31]","noteIndex":0},"citationItems":[{"id":"7qGQlw7Y/O7H1FUP6","uris":["http://zotero.org/users/874466/items/FGEK8DC4"],"itemData":{"id":36210,"type":"article-journal","abstract":"Plain language summary will be included with future review update.","container-title":"The Cochrane Database of Systematic Reviews","DOI":"10.1002/14651858.CD004337.pub2","ISSN":"1469-493X","issue":"3","journalAbbreviation":"Cochrane Database Syst Rev","note":"PMID: 16034927\nPMCID: PMC6599869","page":"CD004337","source":"PubMed Central","title":"Fluid restriction for term infants with hypoxic‐ischaemic encephalopathy following perinatal asphyxia","volume":"2005","author":[{"family":"Kecskes","given":"Zsuzsoka"},{"family":"Healy","given":"Genevieve"},{"family":"Jensen","given":"Annika"}],"issued":{"date-parts":[["2005",7,20]]}}}],"schema":"https://github.com/citation-style-language/schema/raw/master/csl-citation.json"} </w:instrText>
      </w:r>
      <w:r w:rsidR="00450A7B"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[31]</w:t>
      </w:r>
      <w:r w:rsidR="00450A7B"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w:t>
      </w:r>
    </w:p>
    <w:p w14:paraId="6D0A128A" w14:textId="7E69B474" w:rsidR="00D25AF0" w:rsidRPr="00076637" w:rsidRDefault="00D57C7E" w:rsidP="00456DF3">
      <w:pPr>
        <w:pStyle w:val="Titre1"/>
        <w:rPr>
          <w:color w:val="A5A5A5"/>
        </w:rPr>
      </w:pPr>
      <w:r w:rsidRPr="00076637">
        <w:rPr>
          <w:rFonts w:eastAsia="Arial"/>
        </w:rPr>
        <w:t xml:space="preserve">Results of the literature search, paper </w:t>
      </w:r>
      <w:r w:rsidR="00C139BD" w:rsidRPr="00076637">
        <w:rPr>
          <w:rFonts w:eastAsia="Arial"/>
        </w:rPr>
        <w:t xml:space="preserve">critical appraisal </w:t>
      </w:r>
      <w:r w:rsidRPr="00076637">
        <w:rPr>
          <w:rFonts w:eastAsia="Arial"/>
        </w:rPr>
        <w:t xml:space="preserve">and meta-analysis </w:t>
      </w:r>
    </w:p>
    <w:p w14:paraId="277F8F84" w14:textId="03C89B45"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The literature search identified 8 relevant studies (1 cohort study and 7 randomized controlled trials (RCT)).</w:t>
      </w:r>
      <w:r w:rsidR="00C738C1"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The studies that compared standard </w:t>
      </w:r>
      <w:r w:rsidR="00904F9F" w:rsidRPr="00076637">
        <w:rPr>
          <w:rFonts w:ascii="Times New Roman" w:eastAsia="Times New Roman" w:hAnsi="Times New Roman" w:cs="Times New Roman"/>
          <w:sz w:val="24"/>
          <w:szCs w:val="24"/>
        </w:rPr>
        <w:t xml:space="preserve">volume </w:t>
      </w:r>
      <w:r w:rsidR="00C738C1" w:rsidRPr="00076637">
        <w:rPr>
          <w:rFonts w:ascii="Times New Roman" w:eastAsia="Times New Roman" w:hAnsi="Times New Roman" w:cs="Times New Roman"/>
          <w:sz w:val="24"/>
          <w:szCs w:val="24"/>
        </w:rPr>
        <w:t>IV</w:t>
      </w:r>
      <w:r w:rsidR="005F0BEB" w:rsidRPr="00076637">
        <w:rPr>
          <w:rFonts w:ascii="Times New Roman" w:eastAsia="Times New Roman" w:hAnsi="Times New Roman" w:cs="Times New Roman"/>
          <w:sz w:val="24"/>
          <w:szCs w:val="24"/>
        </w:rPr>
        <w:t>-M</w:t>
      </w:r>
      <w:r w:rsidR="00C738C1" w:rsidRPr="00076637">
        <w:rPr>
          <w:rFonts w:ascii="Times New Roman" w:eastAsia="Times New Roman" w:hAnsi="Times New Roman" w:cs="Times New Roman"/>
          <w:sz w:val="24"/>
          <w:szCs w:val="24"/>
        </w:rPr>
        <w:t xml:space="preserve">FT </w:t>
      </w:r>
      <w:r w:rsidRPr="00076637">
        <w:rPr>
          <w:rFonts w:ascii="Times New Roman" w:eastAsia="Times New Roman" w:hAnsi="Times New Roman" w:cs="Times New Roman"/>
          <w:sz w:val="24"/>
          <w:szCs w:val="24"/>
        </w:rPr>
        <w:t xml:space="preserve">to overhydration in children were considered out of the scope of this PICO.  Five studies were performed in a PICU setting </w:t>
      </w:r>
      <w:r w:rsidR="00DE0983"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wcH9VAFz","properties":{"formattedCitation":"[32\\uc0\\u8211{}36]","plainCitation":"[32–36]","noteIndex":0},"citationItems":[{"id":"7qGQlw7Y/5WIXI5Q0","uris":["http://zotero.org/users/874466/items/ENYIQMJ6"],"itemData":{"id":9441,"type":"article-journal","abstract":"Objective To compare the difference in plasma sodium at 16–18 h following major surgery in children who were prescribed either Hartmann’s and 5% dextrose or 0.45% saline and 5% dextrose. Design A prospective, randomised, open label study. Setting The paediatric intensive care unit (650 admissions per annum) in a tertiary children’s hospital in Brisbane, Australia. Patients The study group comprised 82 children undergoing spinal instrumentation, craniotomy for brain tumour resection, or cranial vault remodelling. Interventions Patients received either Hartmann’s and 5% dextrose at full maintenance rate or 0.45% saline and 5% dextrose at two-thirds maintenance rate. Main outcomes measures Primary outcome measure: plasma sodium at 16–18 h postoperatively; secondary outcome measure: number of ﬂuid boluses administered.\nResults Mean postoperative plasma sodium levels of children receiving 0.45% saline and 5% dextrose were 1.4 mmol/l (95% CI 0.4 to 2.5) lower than those receiving Hartmann’s and 5% dextrose (p=0.008). In the 0.45% saline group, seven patients (18%) became hyponatraemic (Na &lt;135 mmol/l) at 16–18 h postoperatively; in the Hartmann’s group no patient became hyponatraemic (p=0.01). No child in either ﬂuid group became hypernatraemic.\nConclusions The postoperative fall in plasma sodium was smaller in children who received Hartmann’s and 5% dextrose compared to those who received 0.45% saline and 5% dextrose. It is suggested that Hartmann’s and 5% dextrose should be administered at full maintenance rate postoperatively to children who have undergone major surgery in preference to hypotonic ﬂuids.","container-title":"Archives of Disease in Childhood","DOI":"10.1136/archdischild-2011-300221","ISSN":"0003-9888, 1468-2044","issue":"6","language":"en","page":"491-496","source":"Crossref","title":"A randomised controlled trial of Hartmann's solution versus half normal saline in postoperative paediatric spinal instrumentation and craniotomy patients","volume":"97","author":[{"family":"Coulthard","given":"Mark G"},{"family":"Long","given":"Debbie A"},{"family":"Ullman","given":"Amanda J"},{"family":"Ware","given":"Robert S"}],"issued":{"date-parts":[["2012",6]]}},"label":"page"},{"id":"7qGQlw7Y/1XU3nqfo","uris":["http://zotero.org/users/874466/items/DB8S5257"],"itemData":{"id":36087,"type":"article-journal","abstract":"Background: Fluid overload (FO) is associated with unfavorable outcomes in critically ill children. Clinicians are encouraged to avoid FO; however, strategies to avoid FO are not well-described in pediatrics. Our aim was to implement a bundle strategy to prevent FO in children with sepsis and pARDS and to compare the outcomes with a historical cohort. Methods: A quality improvement initiative, known as preemptive fluid strategy (PFS) was implemented to prevent early FO, in a 12-bed general PICU. Infants on mechanical ventilation (MV) fulfilling pARDS and sepsis criteria were prospectively recruited. For comparison, data from a historical cohort from 2015, with the same inclusion and exclusion criteria, was retrospectively reviewed. The PFS bundle consisted of 1. maintenance of intravenous fluids (MIVF) at 50% of requirements; 2. drug volume reduction; 3. dynamic monitoring of preload markers to determine the need for fluid bolus administration; 4. early use of diuretics; and 5. early initiation of enteral feeds. The historical cohort treatment, the standard fluid strategy (SFS), were based on physician preferences. Peak fluid overload (PFO) was the primary outcome. PFO was defined as the highest FO during the first 72 h. FO was calculated as (cumulative fluid input - cumulative output)/kg*100. Fluid input/output were registered every 12 h for 72 h. Results: Thirty-seven patients were included in the PFS group (54% male, 6 mo (IQR 2,11)) and 39 with SFS (64%male, 3 mo (IQR1,7)). PFO was lower in PFS (6.31% [IQR4.4-10]) compared to SFS (12% [IQR8.4-15.8]). FO was lower in PFS compared to CFS as early as 12 h after admission [2.4(1.4,3.7) v/s 4.3(1.5,5.5), p &lt; 0.01] and maintained during the study. These differences were due to less fluid input (MIVF and fluid boluses). There were no differences in the renal function test. PRBC requirements were lower during the first 24 h in the PFS (5%) compared to SFS (28%, p &lt; 0.05). MV duration was 81 h (58,98) in PFS and 118 h (85154) in SFS(p &lt; 0.05). PICU LOS in PFS was 5 (4, 7) and in SFS was 8 (6, 10) days. Conclusion: Implementation of a bundle to prevent FO in children on MV with pARDS and sepsis resulted in less PFO. We observed a decrease in MV duration and PICU LOS. Future studies are needed to address if PFS might have a positive impact on health outcomes. © 2018 The Author(s).","archive_location":"rayyan-119343151","container-title":"BMC Pediatrics","ISSN":"14712431","issue":"1","language":"English","title":"Implementation of preemptive fluid strategy as a bundle to prevent fluid overload in children with acute respiratory distress syndrome and sepsis","URL":"https://www.scopus.com/inward/record.uri?eid=2-s2.0-85049129876&amp;doi=10.1186%2fs12887-018-1188-6&amp;partnerID=40&amp;md5=72628273182d26804943da43a2cb5934","volume":"18","author":[{"family":"Díaz","given":"F."},{"family":"Nuñez","given":"M.J."},{"family":"Pino","given":"P."},{"family":"Erranz","given":"B."},{"family":"Cruces","given":"P."}],"issued":{"date-parts":[["2018"]]}},"label":"page"},{"id":"7qGQlw7Y/GzaQu7Qm","uris":["http://zotero.org/users/874466/items/JMMZBGAZ"],"itemData":{"id":36105,"type":"article-journal","abstract":"Background: Fluid overload is common in critically ill children and is associated with adverse outcome. Therefore, restricting fluid intake may be beneficial. This study aims to study the feasibility of a randomized controlled trial (RCT) comparing a conservative to a standard, more liberal, strategy of fluid management in mechanically ventilated pediatric patients with acute respiratory tract infection (ARTI). Methods: This is a feasibility study in a single, tertiary referral pediatric intensive care unit (PICU). Twenty‐three children receiving mechanical ventilation for ARTI, without ongoing hemodynamic support, admitted to the PICU of the Emma Children's Hospital/Amsterdam UMC between 2016 and 2018 were included. Patients were randomized to a conservative (&lt;70% of normal intake) or standard (&gt;85% of normal intake) fluid strategy, which was kept throughout the period of mechanical ventilation. Results: Primary endpoints were adherence to fluid strategy and safety parameters such as calorie and protein intake. Secondary outcomes were cumulative fluid intake (CFI) and cumulative fluid balance (CFB) on day 3. In the conservative group, in 75% of the mechanical ventilation days patients achieved their target fluid intake. Median [25thâˆ’75th percentiles] calorie intake over all mechanical ventilation days was 67.9 [51.5â€“74.0] kcal/kg/day in the conservative vs. 67.2 [58.0â€“75.2] kcal/kg/day in the standard group (p = 0.878). Protein intake was 1.6 [1.3â€“1.8] gr protein/kg in the conservative and 1.5 [1.2â€“1.7] gr protein/kg in the standard group (p = 0.598). No adverse effects on hemodynamics or electrolyte imbalances were noted. Mean (Â±SD) CFI on day 3 was 262.3 (Â±58.9) ml/kg in the conservative group vs. 360.5 (Â±52.6) ml/kg in the standard fluid group (p &lt; 0.001), which did not result in a lower CFB. Conclusions: A conservative fluid strategy in mechanically ventilated children with ARTI seems feasible, without limiting metabolic needs. However, in our study a conservative fluid strategy surprisingly did not reduce the degree of fluid overload. This study aids the design and sample size calculation of a future larger multicenter RCT, in which we need to redefine the target fluid strategy, possibly by even further fluid restriction and early initiation of active diuresis. Clinical Trial Registration: ClinicalTrials.gov, identifier: NCT02989051.","archive_location":"rayyan-119344138","container-title":"Frontiers in pediatrics","journalAbbreviation":"Frontiers in pediatrics","title":"Less Is More?â€”A Feasibility Study of Fluid Strategy in Critically Ill Children With Acute Respiratory Tract Infection","URL":"https://www.cochranelibrary.com/central/doi/10.1002/central/CN-02073819/full","volume":"7","author":[{"family":"Ingelse","given":"SA"},{"family":"Geukers","given":"VG"},{"family":"Dijsselhof","given":"ME"},{"family":"Lemson","given":"J"},{"family":"Bem","given":"RA"},{"family":"Woensel","given":"JB","non-dropping-particle":"van"}],"issued":{"date-parts":[["2019"]]}},"label":"page"},{"id":"7qGQlw7Y/pDLE1A2N","uris":["http://zotero.org/users/874466/items/SXZK5S3H"],"itemData":{"id":36121,"type":"article-journal","abstract":"Background: We aimed to compare the effect of two different intravenous fluid regimes on the incidence of hyponatremia in children. Methods: Children 1 month to 18 years of age, admitted to pediatric intensive care unit (PICU) of a tertiary care medical college hospital were randomized to receive either isotonic fluid (0.9% saline in 5% dextrose) at the standard maintenance rate or hypotonic fluid (0.18% saline in 5% dextrose) at two‐thirds of the standard maintenance rate. Results: A total of 240 children were randomized (120 isotonic, 120 hypotonic). In all, 16.7% children in hypotonic group developed hyponatremia compared with 7.5% in isotonic group (p=0.029). Duration of PICU stay was significantly more in Hypotonic group. Conclusion: We conclude that use of 0.9% saline in 5% dextrose as maintenance fluid helps in reducing the incidence of hospital‐acquired hyponatremia and duration of intensive care unit stay among children admitted to PICU.","archive_location":"rayyan-119344977","container-title":"Journal of tropical pediatrics","issue":"6","journalAbbreviation":"Journal of tropical pediatrics","page":"454-460","title":"Full volume isotonic (0.9%) vs. Two-thirds volume hypotonic (0.18%) intravenous maintenance fluids in preventing hyponatremia in children admitted to pediatric intensive care unit-A randomized controlled study","volume":"63","author":[{"family":"Raksha","given":"SK"},{"family":"Dakshayani","given":"B"},{"family":"Premalatha","given":"R"}],"issued":{"date-parts":[["2017"]]}},"label":"page"},{"id":"7qGQlw7Y/EvbwSWZK","uris":["http://zotero.org/users/874466/items/2S4R5K8N"],"itemData":{"id":35681,"type":"article-journal","abstract":"AIM: Traditional paediatric intravenous maintenance fluids are prescribed using hypotonic fluids and the weight‐based 4:2:1 formula for administration rate. However, this may cause hyponatraemia in sick and post‐operative children. We studied the effect of two types of intravenous maintenance fluid and two administration rates on plasma sodium concentration in intensive care patients. METHODS: A Factorial‐design, double‐blind, randomised controlled trial was used. We randomised 50 children with normal electrolytes without hypoglycaemia who needed intravenous maintenance fluids for &gt;12 h to 0.9% saline (normal saline) or 4% dextrose and 0.18% saline (dextrose saline), at either the traditional maintenance fluid rate or 2/3 of that rate. The main outcome measure was change in plasma sodium from admission to 12‐24 h later. RESULTS: Fifty patients (37 surgical) were enrolled. Plasma sodium fell in all groups: mean fall 2.3 (standard deviation 4.0) mmol/L. Fluid type (P = 0.0063) but not rate (P = 0.12) was significantly associated with fall in plasma sodium. Dextrose saline produced a greater fall in plasma sodium than normal saline: difference 3.0, 95% confidence interval 0.8‐5.1 mmol/L. Full maintenance rate produced a greater fall in plasma sodium than restricted rate, but the difference was small and non‐significant: 1.6 (‐0.7, 3.9) mmol/L. Fluid type, but not rate, remained significant after adjustment for surgical status. One patient, receiving normal saline at restricted rate, developed asymptomatic hypoglycaemia. CONCLUSION: Sick and post‐operative children given dextrose saline at traditional maintenance rates are at risk of hyponatraemia.","archive_location":"rayyan-119344140","container-title":"Journal of paediatrics and child health","issue":"1","journalAbbreviation":"Journal of paediatrics and child health","page":"9-14","title":"Randomised controlled trial of intravenous maintenance fluids","volume":"45","author":[{"family":"Yung","given":"M"},{"family":"Keeley","given":"S"}],"issued":{"date-parts":[["2009"]]}},"label":"page"}],"schema":"https://github.com/citation-style-language/schema/raw/master/csl-citation.json"} </w:instrText>
      </w:r>
      <w:r w:rsidR="00DE0983"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szCs w:val="24"/>
        </w:rPr>
        <w:t>[32–36]</w:t>
      </w:r>
      <w:r w:rsidR="00DE0983"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w:t>
      </w:r>
      <w:r w:rsidR="004459C0" w:rsidRPr="00076637">
        <w:rPr>
          <w:rFonts w:ascii="Times New Roman" w:eastAsia="Times New Roman" w:hAnsi="Times New Roman" w:cs="Times New Roman"/>
          <w:sz w:val="24"/>
          <w:szCs w:val="24"/>
        </w:rPr>
        <w:t xml:space="preserve"> </w:t>
      </w:r>
      <w:r w:rsidR="00904F9F" w:rsidRPr="00076637">
        <w:rPr>
          <w:rFonts w:ascii="Times New Roman" w:eastAsia="Times New Roman" w:hAnsi="Times New Roman" w:cs="Times New Roman"/>
          <w:sz w:val="24"/>
          <w:szCs w:val="24"/>
        </w:rPr>
        <w:t>Of these</w:t>
      </w:r>
      <w:r w:rsidRPr="00076637">
        <w:rPr>
          <w:rFonts w:ascii="Times New Roman" w:eastAsia="Times New Roman" w:hAnsi="Times New Roman" w:cs="Times New Roman"/>
          <w:sz w:val="24"/>
          <w:szCs w:val="24"/>
        </w:rPr>
        <w:t xml:space="preserve">, two focused on </w:t>
      </w:r>
      <w:r w:rsidR="00904F9F" w:rsidRPr="00076637">
        <w:rPr>
          <w:rFonts w:ascii="Times New Roman" w:eastAsia="Times New Roman" w:hAnsi="Times New Roman" w:cs="Times New Roman"/>
          <w:sz w:val="24"/>
          <w:szCs w:val="24"/>
        </w:rPr>
        <w:t xml:space="preserve">mechanically </w:t>
      </w:r>
      <w:r w:rsidRPr="00076637">
        <w:rPr>
          <w:rFonts w:ascii="Times New Roman" w:eastAsia="Times New Roman" w:hAnsi="Times New Roman" w:cs="Times New Roman"/>
          <w:sz w:val="24"/>
          <w:szCs w:val="24"/>
        </w:rPr>
        <w:t xml:space="preserve">ventilated septic patients </w:t>
      </w:r>
      <w:r w:rsidR="00A0004B"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{"citationID":"2MlZ6jh8","properties":{"formattedCitation":"[33, 34]","plainCitation":"[33, 34]","noteIndex":0},"citationItems":[{"id":"7qGQlw7Y/1XU3nqfo","uris":["http://zotero.org/users/874466/items/DB8S5257"],"itemData":{"id":36087,"type":"article-journal","abstract":"Background: Fluid overload (FO) is associated with unfavorable outcomes in critically ill children. Clinicians are encouraged to avoid FO; however, strategies to avoid FO are not well-described in pediatrics. Our aim was to implement a bundle strategy to prevent FO in children with sepsis and pARDS and to compare the outcomes with a historical cohort. Methods: A quality improvement initiative, known as preemptive fluid strategy (PFS) was implemented to prevent early FO, in a 12-bed general PICU. Infants on mechanical ventilation (MV) fulfilling pARDS and sepsis criteria were prospectively recruited. For comparison, data from a historical cohort from 2015, with the same inclusion and exclusion criteria, was retrospectively reviewed. The PFS bundle consisted of 1. maintenance of intravenous fluids (MIVF) at 50% of requirements; 2. drug volume reduction; 3. dynamic monitoring of preload markers to determine the need for fluid bolus administration; 4. early use of diuretics; and 5. early initiation of enteral feeds. The historical cohort treatment, the standard fluid strategy (SFS), were based on physician preferences. Peak fluid overload (PFO) was the primary outcome. PFO was defined as the highest FO during the first 72 h. FO was calculated as (cumulative fluid input - cumulative output)/kg*100. Fluid input/output were registered every 12 h for 72 h. Results: Thirty-seven patients were included in the PFS group (54% male, 6 mo (IQR 2,11)) and 39 with SFS (64%male, 3 mo (IQR1,7)). PFO was lower in PFS (6.31% [IQR4.4-10]) compared to SFS (12% [IQR8.4-15.8]). FO was lower in PFS compared to CFS as early as 12 h after admission [2.4(1.4,3.7) v/s 4.3(1.5,5.5), p &lt; 0.01] and maintained during the study. These differences were due to less fluid input (MIVF and fluid boluses). There were no differences in the renal function test. PRBC requirements were lower during the first 24 h in the PFS (5%) compared to SFS (28%, p &lt; 0.05). MV duration was 81 h (58,98) in PFS and 118 h (85154) in SFS(p &lt; 0.05). PICU LOS in PFS was 5 (4, 7) and in SFS was 8 (6, 10) days. Conclusion: Implementation of a bundle to prevent FO in children on MV with pARDS and sepsis resulted in less PFO. We observed a decrease in MV duration and PICU LOS. Future studies are needed to address if PFS might have a positive impact on health outcomes. © 2018 The Author(s).","archive_location":"rayyan-119343151","container-title":"BMC Pediatrics","ISSN":"14712431","issue":"1","language":"English","title":"Implementation of preemptive fluid strategy as a bundle to prevent fluid overload in children with acute respiratory distress syndrome and sepsis","URL":"https://www.scopus.com/inward/record.uri?eid=2-s2.0-85049129876&amp;doi=10.1186%2fs12887-018-1188-6&amp;partnerID=40&amp;md5=72628273182d26804943da43a2cb5934","volume":"18","author":[{"family":"Díaz","given":"F."},{"family":"Nuñez","given":"M.J."},{"family":"Pino","given":"P."},{"family":"Erranz","given":"B."},{"family":"Cruces","given":"P."}],"issued":{"date-parts":[["2018"]]}},"label":"page"},{"id":"7qGQlw7Y/GzaQu7Qm","uris":["http://zotero.org/users/874466/items/JMMZBGAZ"],"itemData":{"id":36105,"type":"article-journal","abstract":"Background: Fluid overload is common in critically ill children and is associated with adverse outcome. Therefore, restricting fluid intake may be beneficial. This study aims to study the feasibility of a randomized controlled trial (RCT) comparing a conservative to a standard, more liberal, strategy of fluid management in mechanically ventilated pediatric patients with acute respiratory tract infection (ARTI). Methods: This is a feasibility study in a single, tertiary referral pediatric intensive care unit (PICU). Twenty‐three children receiving mechanical ventilation for ARTI, without ongoing hemodynamic support, admitted to the PICU of the Emma Children's Hospital/Amsterdam UMC between 2016 and 2018 were included. Patients were randomized to a conservative (&lt;70% of normal intake) or standard (&gt;85% of normal intake) fluid strategy, which was kept throughout the period of mechanical ventilation. Results: Primary endpoints were adherence to fluid strategy and safety parameters such as calorie and protein intake. Secondary outcomes were cumulative fluid intake (CFI) and cumulative fluid balance (CFB) on day 3. In the conservative group, in 75% of the mechanical ventilation days patients achieved their target fluid intake. Median [25thâˆ’75th percentiles] calorie intake over all mechanical ventilation days was 67.9 [51.5â€“74.0] kcal/kg/day in the conservative vs. 67.2 [58.0â€“75.2] kcal/kg/day in the standard group (p = 0.878). Protein intake was 1.6 [1.3â€“1.8] gr protein/kg in the conservative and 1.5 [1.2â€“1.7] gr protein/kg in the standard group (p = 0.598). No adverse effects on hemodynamics or electrolyte imbalances were noted. Mean (Â±SD) CFI on day 3 was 262.3 (Â±58.9) ml/kg in the conservative group vs. 360.5 (Â±52.6) ml/kg in the standard fluid group (p &lt; 0.001), which did not result in a lower CFB. Conclusions: A conservative fluid strategy in mechanically ventilated children with ARTI seems feasible, without limiting metabolic needs. However, in our study a conservative fluid strategy surprisingly did not reduce the degree of fluid overload. This study aids the design and sample size calculation of a future larger multicenter RCT, in which we need to redefine the target fluid strategy, possibly by even further fluid restriction and early initiation of active diuresis. Clinical Trial Registration: ClinicalTrials.gov, identifier: NCT02989051.","archive_location":"rayyan-119344138","container-title":"Frontiers in pediatrics","journalAbbreviation":"Frontiers in pediatrics","title":"Less Is More?â€”A Feasibility Study of Fluid Strategy in Critically Ill Children With Acute Respiratory Tract Infection","URL":"https://www.cochranelibrary.com/central/doi/10.1002/central/CN-02073819/full","volume":"7","author":[{"family":"Ingelse","given":"SA"},{"family":"Geukers","given":"VG"},{"family":"Dijsselhof","given":"ME"},{"family":"Lemson","given":"J"},{"family":"Bem","given":"RA"},{"family":"Woensel","given":"JB","non-dropping-particle":"van"}],"issued":{"date-parts":[["2019"]]}},"label":"page"}],"schema":"https://github.com/citation-style-language/schema/raw/master/csl-citation.json"} </w:instrText>
      </w:r>
      <w:r w:rsidR="00A0004B"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[33, 34]</w:t>
      </w:r>
      <w:r w:rsidR="00A0004B"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Three studies were performed in a </w:t>
      </w:r>
      <w:r w:rsidR="00EB35CD" w:rsidRPr="00076637">
        <w:rPr>
          <w:rFonts w:ascii="Times New Roman" w:eastAsia="Times New Roman" w:hAnsi="Times New Roman" w:cs="Times New Roman"/>
          <w:sz w:val="24"/>
          <w:szCs w:val="24"/>
        </w:rPr>
        <w:t>p</w:t>
      </w:r>
      <w:r w:rsidR="001834AF" w:rsidRPr="00076637">
        <w:rPr>
          <w:rFonts w:ascii="Times New Roman" w:eastAsia="Times New Roman" w:hAnsi="Times New Roman" w:cs="Times New Roman"/>
          <w:sz w:val="24"/>
          <w:szCs w:val="24"/>
        </w:rPr>
        <w:t>ediatric</w:t>
      </w:r>
      <w:r w:rsidRPr="00076637">
        <w:rPr>
          <w:rFonts w:ascii="Times New Roman" w:eastAsia="Times New Roman" w:hAnsi="Times New Roman" w:cs="Times New Roman"/>
          <w:sz w:val="24"/>
          <w:szCs w:val="24"/>
        </w:rPr>
        <w:t xml:space="preserve"> in-hospital care setting</w:t>
      </w:r>
      <w:r w:rsidR="001834AF" w:rsidRPr="00076637">
        <w:rPr>
          <w:rFonts w:ascii="Times New Roman" w:eastAsia="Times New Roman" w:hAnsi="Times New Roman" w:cs="Times New Roman"/>
          <w:sz w:val="24"/>
          <w:szCs w:val="24"/>
        </w:rPr>
        <w:t xml:space="preserve"> </w:t>
      </w:r>
      <w:r w:rsidR="0061387B"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xniiZKok","properties":{"formattedCitation":"[37\\uc0\\u8211{}39]","plainCitation":"[37–39]","noteIndex":0},"citationItems":[{"id":"7qGQlw7Y/T32zwR6W","uris":["http://zotero.org/users/874466/items/67WBPE44"],"itemData":{"id":36109,"type":"article-journal","abstract":"The aim of this study was to compare the effect of three different intravenous (i.v.) fluid regimes on the incidence of hyponatraemia in hospitalized children ranging in age from 3 months to 12 years. Children who required the administration of i.v. maintenance fluid for at least 24 h following hospitalization were eligible for inclusion. The children were randomized to three i.v. fluid groups: Group A, 0.9% saline in 5% dextrose at the standard maintenance rate; Group B, 0.18% saline in 5% dextrose at the standard maintenance rate; Group C, 0.18% saline in 5% dextrose at two-thirds of the standard maintenance rate. The primary outcome measure was incidence of hyponatraemia (plasma sodium &lt; 130 mEq/L). Of the 167 patients enrolled, 58, 56 and 53 patients were randomized to Group A, B and C, respectively. We observed that 14.3% (8/56) of the children administered 0.18% saline in 5% dextrose at the standard maintenance rate (Group B) developed hyponatraemia compared with 1.72% of the children in Group A and 3.8% of those in Group C. Based on these results, we conclude that the administration of 0.9% saline in 5% dextrose as i.v. maintenance fluid helps in reducing the incidence of hospital-acquired hyponatraemia among children. © 2010 IPNA.","archive_location":"rayyan-119344088","container-title":"Pediatric Nephrology","ISSN":"0931041X","issue":"11","language":"English","page":"2303-2309","title":"Intravenous fluid regimen and hyponatraemia among children: A randomized controlled trial","volume":"25","author":[{"family":"Kannan","given":"L."},{"family":"Lodha","given":"R."},{"family":"Vivekanandhan","given":"S."},{"family":"Bagga","given":"A."},{"family":"Kabra","given":"S.K."},{"family":"Kabra","given":"M."}],"issued":{"date-parts":[["2010"]]}},"label":"page"},{"id":"7qGQlw7Y/ehLhNvV0","uris":["http://zotero.org/users/874466/items/5HEP5JNV"],"itemData":{"id":36115,"type":"article-journal","abstract":"OBJECTIVES: To determine the importance of sodium content versus administration rate  of intravenous fluids in the development of hyponatremia in postoperative children.  STUDY DESIGN: In this prospective, randomized, nonblinded study, 124 children  admitted for surgery received 0.9% (NS) or 0.45% (N/2) saline solution at 100% or  50% maintenance rates. Plasma electrolytes, osmolality, and ADH at induction of  anesthesia were compared with values 8 hours (T(8)), and 24 hours (T(24); n = 67)  after surgery. Blood glucose and ketones were measured every 4 hours. Electrolytes  and osmolality were measured in urine samples. RESULTS: Plasma sodium concentrations  fell in both N/2 groups at T(8) (100%: -1.5 +/- 2.3 mmol/L 50%: -1.9 +/- 2.0 mmol/L;  P &lt; .01) with hyponatremia more common than in the NS groups at T(8) (30% vs 10%; P  = .02) but not T(24). Median plasma antidiuretic hormone concentrations increased 2-  to 4-fold during surgery (P &lt; or = .001) and only reattained levels at induction of  anesthesia by T(24) in the N/2 100% group. On multiple linear regression analysis,  fluid type, not rate determined risk of hyponatremia (P &lt; .04). Two children on 100%  developed SIADH (1NS). Fourteen (23%; 7NS) on 50% maintenance were assessed as  dehydrated. Dextrose content was increased in 18 for hypoglycemia or ketosis.  CONCLUSIONS: The risk of hyponatremia was decreased by isotonic saline solution but  not fluid restriction.","archive_location":"rayyan-119340837","container-title":"The Journal of pediatrics","ISSN":"1097-6833 0022-3476","issue":"2","journalAbbreviation":"J Pediatr","language":"eng","page":"313-319.e1-2","title":"Prevention of hyponatremia during maintenance intravenous fluid administration: a  prospective randomized study of fluid type versus fluid rate.","volume":"156","author":[{"family":"Neville","given":"Kristen A."},{"family":"Sandeman","given":"David J."},{"family":"Rubinstein","given":"Alan"},{"family":"Henry","given":"Guy M."},{"family":"McGlynn","given":"Michael"},{"family":"Walker","given":"Jan L."}],"issued":{"date-parts":[["2010"]]}},"label":"page"},{"id":"7qGQlw7Y/dL9sED7Y","uris":["http://zotero.org/users/874466/items/G9BWK4M2"],"itemData":{"id":36131,"type":"article-journal","abstract":"The objective of this prospective study was to examine the effect of fluid  restriction on body water and the outcome of children with acute meningitis. Fifty  consecutively hospitalized children with acute meningitis, divided into two groups  (A, without hyponatremia; and B, with hyponatremia), were randomly assigned to  receive either normal maintenance (M) or restricted (R subgroup) (65 to 70% of M  subgroup) fluids during the first 48 hours. Total body water, extracellular water  (ECW), serum and urinary sodium and plasma and urinary osmolality were measured at  admission and after 48 hours. In both groups children receiving restricted fluids  showed a significant decrease in the mean total body water and ECW whereas body  water remained unchanged in those on maintenance fluids. Children having an ECW  reduction of 10 ml/kg or more in 48 hours had a significantly lower intact survival  (10 of 28, 36%) than those with &lt; 10 ml/kg or no reduction of ECW (15 of 22, 64%) (P  &lt; 0.05). The mortality was also higher in the former (7 of 28, 25%) than in the  latter (2 of 22, 9%). On multiple stepwise regression analysis, ECW volume at  admission (partial r2 0.20), ECW loss in 48 hours (partial r2 0.13) and plasma  osmolality at admission (partial r2 0.22) were significantly related to outcome. We  conclude that fluid restriction does not improve the outcome of acute meningitis.  Indeed a decrease in ECW volume at 48 hours increases the likelihood of adverse  outcome.","archive_location":"rayyan-119341184","container-title":"The Pediatric infectious disease journal","ISSN":"0891-3668 0891-3668","issue":"6","journalAbbreviation":"Pediatr Infect Dis J","language":"eng","page":"495-503","title":"Fluid restriction does not improve the outcome of acute meningitis.","volume":"14","author":[{"family":"Singhi","given":"S. C."},{"family":"Singhi","given":"P. D."},{"family":"Srinivas","given":"B."},{"family":"Narakesri","given":"H. P."},{"family":"Ganguli","given":"N. K."},{"family":"Sialy","given":"R."},{"family":"Walia","given":"B. N."}],"issued":{"date-parts":[["1995"]]}},"label":"page"}],"schema":"https://github.com/citation-style-language/schema/raw/master/csl-citation.json"} </w:instrText>
      </w:r>
      <w:r w:rsidR="0061387B"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szCs w:val="24"/>
        </w:rPr>
        <w:t>[37–39]</w:t>
      </w:r>
      <w:r w:rsidR="0061387B"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Among them, one specifically in post-surgical patients </w:t>
      </w:r>
      <w:r w:rsidR="0061387B"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{"citationID":"ZM8nBJm1","properties":{"formattedCitation":"[38]","plainCitation":"[38]","noteIndex":0},"citationItems":[{"id":"7qGQlw7Y/ehLhNvV0","uris":["http://zotero.org/users/874466/items/5HEP5JNV"],"itemData":{"id":36115,"type":"article-journal","abstract":"OBJECTIVES: To determine the importance of sodium content versus administration rate  of intravenous fluids in the development of hyponatremia in postoperative children.  STUDY DESIGN: In this prospective, randomized, nonblinded study, 124 children  admitted for surgery received 0.9% (NS) or 0.45% (N/2) saline solution at 100% or  50% maintenance rates. Plasma electrolytes, osmolality, and ADH at induction of  anesthesia were compared with values 8 hours (T(8)), and 24 hours (T(24); n = 67)  after surgery. Blood glucose and ketones were measured every 4 hours. Electrolytes  and osmolality were measured in urine samples. RESULTS: Plasma sodium concentrations  fell in both N/2 groups at T(8) (100%: -1.5 +/- 2.3 mmol/L 50%: -1.9 +/- 2.0 mmol/L;  P &lt; .01) with hyponatremia more common than in the NS groups at T(8) (30% vs 10%; P  = .02) but not T(24). Median plasma antidiuretic hormone concentrations increased 2-  to 4-fold during surgery (P &lt; or = .001) and only reattained levels at induction of  anesthesia by T(24) in the N/2 100% group. On multiple linear regression analysis,  fluid type, not rate determined risk of hyponatremia (P &lt; .04). Two children on 100%  developed SIADH (1NS). Fourteen (23%; 7NS) on 50% maintenance were assessed as  dehydrated. Dextrose content was increased in 18 for hypoglycemia or ketosis.  CONCLUSIONS: The risk of hyponatremia was decreased by isotonic saline solution but  not fluid restriction.","archive_location":"rayyan-119340837","container-title":"The Journal of pediatrics","ISSN":"1097-6833 0022-3476","issue":"2","journalAbbreviation":"J Pediatr","language":"eng","page":"313-319.e1-2","title":"Prevention of hyponatremia during maintenance intravenous fluid administration: a  prospective randomized study of fluid type versus fluid rate.","volume":"156","author":[{"family":"Neville","given":"Kristen A."},{"family":"Sandeman","given":"David J."},{"family":"Rubinstein","given":"Alan"},{"family":"Henry","given":"Guy M."},{"family":"McGlynn","given":"Michael"},{"family":"Walker","given":"Jan L."}],"issued":{"date-parts":[["2010"]]}}}],"schema":"https://github.com/citation-style-language/schema/raw/master/csl-citation.json"} </w:instrText>
      </w:r>
      <w:r w:rsidR="0061387B"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[38]</w:t>
      </w:r>
      <w:r w:rsidR="0061387B"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and one in children with bacterial meningitis</w:t>
      </w:r>
      <w:r w:rsidR="00904F9F" w:rsidRPr="00076637">
        <w:rPr>
          <w:rFonts w:ascii="Times New Roman" w:eastAsia="Times New Roman" w:hAnsi="Times New Roman" w:cs="Times New Roman"/>
          <w:sz w:val="24"/>
          <w:szCs w:val="24"/>
        </w:rPr>
        <w:t xml:space="preserve"> </w:t>
      </w:r>
      <w:r w:rsidR="00F57D90"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{"citationID":"x9IHjByf","properties":{"formattedCitation":"[39]","plainCitation":"[39]","noteIndex":0},"citationItems":[{"id":"7qGQlw7Y/dL9sED7Y","uris":["http://zotero.org/users/874466/items/G9BWK4M2"],"itemData":{"id":36131,"type":"article-journal","abstract":"The objective of this prospective study was to examine the effect of fluid  restriction on body water and the outcome of children with acute meningitis. Fifty  consecutively hospitalized children with acute meningitis, divided into two groups  (A, without hyponatremia; and B, with hyponatremia), were randomly assigned to  receive either normal maintenance (M) or restricted (R subgroup) (65 to 70% of M  subgroup) fluids during the first 48 hours. Total body water, extracellular water  (ECW), serum and urinary sodium and plasma and urinary osmolality were measured at  admission and after 48 hours. In both groups children receiving restricted fluids  showed a significant decrease in the mean total body water and ECW whereas body  water remained unchanged in those on maintenance fluids. Children having an ECW  reduction of 10 ml/kg or more in 48 hours had a significantly lower intact survival  (10 of 28, 36%) than those with &lt; 10 ml/kg or no reduction of ECW (15 of 22, 64%) (P  &lt; 0.05). The mortality was also higher in the former (7 of 28, 25%) than in the  latter (2 of 22, 9%). On multiple stepwise regression analysis, ECW volume at  admission (partial r2 0.20), ECW loss in 48 hours (partial r2 0.13) and plasma  osmolality at admission (partial r2 0.22) were significantly related to outcome. We  conclude that fluid restriction does not improve the outcome of acute meningitis.  Indeed a decrease in ECW volume at 48 hours increases the likelihood of adverse  outcome.","archive_location":"rayyan-119341184","container-title":"The Pediatric infectious disease journal","ISSN":"0891-3668 0891-3668","issue":"6","journalAbbreviation":"Pediatr Infect Dis J","language":"eng","page":"495-503","title":"Fluid restriction does not improve the outcome of acute meningitis.","volume":"14","author":[{"family":"Singhi","given":"S. C."},{"family":"Singhi","given":"P. D."},{"family":"Srinivas","given":"B."},{"family":"Narakesri","given":"H. P."},{"family":"Ganguli","given":"N. K."},{"family":"Sialy","given":"R."},{"family":"Walia","given":"B. N."}],"issued":{"date-parts":[["1995"]]}}}],"schema":"https://github.com/citation-style-language/schema/raw/master/csl-citation.json"} </w:instrText>
      </w:r>
      <w:r w:rsidR="00F57D90"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[39]</w:t>
      </w:r>
      <w:r w:rsidR="00F57D90"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A total of 599 children were included in all these studies.</w:t>
      </w:r>
    </w:p>
    <w:p w14:paraId="277F8F85" w14:textId="12631F4A"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 xml:space="preserve">The restrictive </w:t>
      </w:r>
      <w:r w:rsidR="00DA4849" w:rsidRPr="00076637">
        <w:rPr>
          <w:rFonts w:ascii="Times New Roman" w:eastAsia="Times New Roman" w:hAnsi="Times New Roman" w:cs="Times New Roman"/>
          <w:sz w:val="24"/>
          <w:szCs w:val="24"/>
        </w:rPr>
        <w:t>IV</w:t>
      </w:r>
      <w:r w:rsidR="0088485F" w:rsidRPr="00076637">
        <w:rPr>
          <w:rFonts w:ascii="Times New Roman" w:eastAsia="Times New Roman" w:hAnsi="Times New Roman" w:cs="Times New Roman"/>
          <w:sz w:val="24"/>
          <w:szCs w:val="24"/>
        </w:rPr>
        <w:t>-M</w:t>
      </w:r>
      <w:r w:rsidR="00DA4849" w:rsidRPr="00076637">
        <w:rPr>
          <w:rFonts w:ascii="Times New Roman" w:eastAsia="Times New Roman" w:hAnsi="Times New Roman" w:cs="Times New Roman"/>
          <w:sz w:val="24"/>
          <w:szCs w:val="24"/>
        </w:rPr>
        <w:t xml:space="preserve">FT </w:t>
      </w:r>
      <w:r w:rsidRPr="00076637">
        <w:rPr>
          <w:rFonts w:ascii="Times New Roman" w:eastAsia="Times New Roman" w:hAnsi="Times New Roman" w:cs="Times New Roman"/>
          <w:sz w:val="24"/>
          <w:szCs w:val="24"/>
        </w:rPr>
        <w:t xml:space="preserve">strategies studied consisted of a daily </w:t>
      </w:r>
      <w:r w:rsidR="00DA4849" w:rsidRPr="00076637">
        <w:rPr>
          <w:rFonts w:ascii="Times New Roman" w:eastAsia="Times New Roman" w:hAnsi="Times New Roman" w:cs="Times New Roman"/>
          <w:sz w:val="24"/>
          <w:szCs w:val="24"/>
        </w:rPr>
        <w:t xml:space="preserve">IVF volume </w:t>
      </w:r>
      <w:r w:rsidRPr="00076637">
        <w:rPr>
          <w:rFonts w:ascii="Times New Roman" w:eastAsia="Times New Roman" w:hAnsi="Times New Roman" w:cs="Times New Roman"/>
          <w:sz w:val="24"/>
          <w:szCs w:val="24"/>
        </w:rPr>
        <w:t xml:space="preserve">of half to </w:t>
      </w:r>
      <w:r w:rsidR="009F7FB9" w:rsidRPr="00076637">
        <w:rPr>
          <w:rFonts w:ascii="Times New Roman" w:eastAsia="Times New Roman" w:hAnsi="Times New Roman" w:cs="Times New Roman"/>
          <w:sz w:val="24"/>
          <w:szCs w:val="24"/>
        </w:rPr>
        <w:t xml:space="preserve">two-thirds </w:t>
      </w:r>
      <w:r w:rsidRPr="00076637">
        <w:rPr>
          <w:rFonts w:ascii="Times New Roman" w:eastAsia="Times New Roman" w:hAnsi="Times New Roman" w:cs="Times New Roman"/>
          <w:sz w:val="24"/>
          <w:szCs w:val="24"/>
        </w:rPr>
        <w:t xml:space="preserve">of the volume calculated </w:t>
      </w:r>
      <w:r w:rsidR="009F7FB9" w:rsidRPr="00076637">
        <w:rPr>
          <w:rFonts w:ascii="Times New Roman" w:eastAsia="Times New Roman" w:hAnsi="Times New Roman" w:cs="Times New Roman"/>
          <w:sz w:val="24"/>
          <w:szCs w:val="24"/>
        </w:rPr>
        <w:t xml:space="preserve">by </w:t>
      </w:r>
      <w:r w:rsidRPr="00076637">
        <w:rPr>
          <w:rFonts w:ascii="Times New Roman" w:eastAsia="Times New Roman" w:hAnsi="Times New Roman" w:cs="Times New Roman"/>
          <w:sz w:val="24"/>
          <w:szCs w:val="24"/>
        </w:rPr>
        <w:t>the Holliday and Segar formula. The Holliday and Segar formula was the comparator in almost all cases</w:t>
      </w:r>
      <w:r w:rsidR="00B5605A" w:rsidRPr="00076637">
        <w:rPr>
          <w:rFonts w:ascii="Times New Roman" w:eastAsia="Times New Roman" w:hAnsi="Times New Roman" w:cs="Times New Roman"/>
          <w:sz w:val="24"/>
          <w:szCs w:val="24"/>
        </w:rPr>
        <w:t xml:space="preserve"> </w:t>
      </w:r>
      <w:r w:rsidR="00B5605A"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OyeXpEwA","properties":{"formattedCitation":"[7]","plainCitation":"[7]","noteIndex":0},"citationItems":[{"id":"7qGQlw7Y/xXpaMqJu","uris":["http://zotero.org/users/874466/items/96KENFIH"],"itemData":{"id":36065,"type":"article-journal","container-title":"Pediatrics","ISSN":"0031-4005","issue":"5","journalAbbreviation":"Pediatrics","language":"eng","note":"PMID: 13431307","page":"823-832","source":"PubMed","title":"The maintenance need for water in parenteral fluid therapy","volume":"19","author":[{"family":"Holliday","given":"M. A."},{"family":"Segar","given":"W. E."}],"issued":{"date-parts":[["1957",5]]}}}],"schema":"https://github.com/citation-style-language/schema/raw/master/csl-citation.json"} </w:instrText>
      </w:r>
      <w:r w:rsidR="00B5605A" w:rsidRPr="00076637">
        <w:rPr>
          <w:rFonts w:ascii="Times New Roman" w:eastAsia="Times New Roman" w:hAnsi="Times New Roman" w:cs="Times New Roman"/>
          <w:sz w:val="24"/>
          <w:szCs w:val="24"/>
        </w:rPr>
        <w:fldChar w:fldCharType="separate"/>
      </w:r>
      <w:r w:rsidR="00AE3F60" w:rsidRPr="00076637">
        <w:rPr>
          <w:rFonts w:ascii="Times New Roman" w:hAnsi="Times New Roman" w:cs="Times New Roman"/>
          <w:sz w:val="24"/>
          <w:szCs w:val="24"/>
        </w:rPr>
        <w:t>[7]</w:t>
      </w:r>
      <w:r w:rsidR="00B5605A"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The </w:t>
      </w:r>
      <w:r w:rsidR="009F7FB9" w:rsidRPr="00076637">
        <w:rPr>
          <w:rFonts w:ascii="Times New Roman" w:eastAsia="Times New Roman" w:hAnsi="Times New Roman" w:cs="Times New Roman"/>
          <w:sz w:val="24"/>
          <w:szCs w:val="24"/>
        </w:rPr>
        <w:t xml:space="preserve">IV </w:t>
      </w:r>
      <w:r w:rsidRPr="00076637">
        <w:rPr>
          <w:rFonts w:ascii="Times New Roman" w:eastAsia="Times New Roman" w:hAnsi="Times New Roman" w:cs="Times New Roman"/>
          <w:sz w:val="24"/>
          <w:szCs w:val="24"/>
        </w:rPr>
        <w:t xml:space="preserve">fluid solutions used were inconsistent between </w:t>
      </w:r>
      <w:r w:rsidR="009F7FB9" w:rsidRPr="00076637">
        <w:rPr>
          <w:rFonts w:ascii="Times New Roman" w:eastAsia="Times New Roman" w:hAnsi="Times New Roman" w:cs="Times New Roman"/>
          <w:sz w:val="24"/>
          <w:szCs w:val="24"/>
        </w:rPr>
        <w:t xml:space="preserve">the </w:t>
      </w:r>
      <w:r w:rsidRPr="00076637">
        <w:rPr>
          <w:rFonts w:ascii="Times New Roman" w:eastAsia="Times New Roman" w:hAnsi="Times New Roman" w:cs="Times New Roman"/>
          <w:sz w:val="24"/>
          <w:szCs w:val="24"/>
        </w:rPr>
        <w:t xml:space="preserve">studies. Due to these inconsistencies between groups </w:t>
      </w:r>
      <w:r w:rsidR="009F7FB9" w:rsidRPr="00076637">
        <w:rPr>
          <w:rFonts w:ascii="Times New Roman" w:eastAsia="Times New Roman" w:hAnsi="Times New Roman" w:cs="Times New Roman"/>
          <w:sz w:val="24"/>
          <w:szCs w:val="24"/>
        </w:rPr>
        <w:t>involving</w:t>
      </w:r>
      <w:r w:rsidRPr="00076637">
        <w:rPr>
          <w:rFonts w:ascii="Times New Roman" w:eastAsia="Times New Roman" w:hAnsi="Times New Roman" w:cs="Times New Roman"/>
          <w:sz w:val="24"/>
          <w:szCs w:val="24"/>
        </w:rPr>
        <w:t xml:space="preserve"> the fluids used, two studies were </w:t>
      </w:r>
      <w:r w:rsidR="00361CA0" w:rsidRPr="00076637">
        <w:rPr>
          <w:rFonts w:ascii="Times New Roman" w:eastAsia="Times New Roman" w:hAnsi="Times New Roman" w:cs="Times New Roman"/>
          <w:sz w:val="24"/>
          <w:szCs w:val="24"/>
        </w:rPr>
        <w:t>unable</w:t>
      </w:r>
      <w:r w:rsidR="009F7FB9" w:rsidRPr="00076637">
        <w:rPr>
          <w:rFonts w:ascii="Times New Roman" w:eastAsia="Times New Roman" w:hAnsi="Times New Roman" w:cs="Times New Roman"/>
          <w:sz w:val="24"/>
          <w:szCs w:val="24"/>
        </w:rPr>
        <w:t xml:space="preserve"> to be </w:t>
      </w:r>
      <w:r w:rsidRPr="00076637">
        <w:rPr>
          <w:rFonts w:ascii="Times New Roman" w:eastAsia="Times New Roman" w:hAnsi="Times New Roman" w:cs="Times New Roman"/>
          <w:sz w:val="24"/>
          <w:szCs w:val="24"/>
        </w:rPr>
        <w:t xml:space="preserve">considered for analysis </w:t>
      </w:r>
      <w:r w:rsidR="000B0609"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{"citationID":"XbO9sw61","properties":{"formattedCitation":"[32, 35]","plainCitation":"[32, 35]","noteIndex":0},"citationItems":[{"id":"7qGQlw7Y/5WIXI5Q0","uris":["http://zotero.org/users/874466/items/ENYIQMJ6"],"itemData":{"id":9441,"type":"article-journal","abstract":"Objective To compare the difference in plasma sodium at 16–18 h following major surgery in children who were prescribed either Hartmann’s and 5% dextrose or 0.45% saline and 5% dextrose. Design A prospective, randomised, open label study. Setting The paediatric intensive care unit (650 admissions per annum) in a tertiary children’s hospital in Brisbane, Australia. Patients The study group comprised 82 children undergoing spinal instrumentation, craniotomy for brain tumour resection, or cranial vault remodelling. Interventions Patients received either Hartmann’s and 5% dextrose at full maintenance rate or 0.45% saline and 5% dextrose at two-thirds maintenance rate. Main outcomes measures Primary outcome measure: plasma sodium at 16–18 h postoperatively; secondary outcome measure: number of ﬂuid boluses administered.\nResults Mean postoperative plasma sodium levels of children receiving 0.45% saline and 5% dextrose were 1.4 mmol/l (95% CI 0.4 to 2.5) lower than those receiving Hartmann’s and 5% dextrose (p=0.008). In the 0.45% saline group, seven patients (18%) became hyponatraemic (Na &lt;135 mmol/l) at 16–18 h postoperatively; in the Hartmann’s group no patient became hyponatraemic (p=0.01). No child in either ﬂuid group became hypernatraemic.\nConclusions The postoperative fall in plasma sodium was smaller in children who received Hartmann’s and 5% dextrose compared to those who received 0.45% saline and 5% dextrose. It is suggested that Hartmann’s and 5% dextrose should be administered at full maintenance rate postoperatively to children who have undergone major surgery in preference to hypotonic ﬂuids.","container-title":"Archives of Disease in Childhood","DOI":"10.1136/archdischild-2011-300221","ISSN":"0003-9888, 1468-2044","issue":"6","language":"en","page":"491-496","source":"Crossref","title":"A randomised controlled trial of Hartmann's solution versus half normal saline in postoperative paediatric spinal instrumentation and craniotomy patients","volume":"97","author":[{"family":"Coulthard","given":"Mark G"},{"family":"Long","given":"Debbie A"},{"family":"Ullman","given":"Amanda J"},{"family":"Ware","given":"Robert S"}],"issued":{"date-parts":[["2012",6]]}},"label":"page"},{"id":"7qGQlw7Y/pDLE1A2N","uris":["http://zotero.org/users/874466/items/SXZK5S3H"],"itemData":{"id":36121,"type":"article-journal","abstract":"Background: We aimed to compare the effect of two different intravenous fluid regimes on the incidence of hyponatremia in children. Methods: Children 1 month to 18 years of age, admitted to pediatric intensive care unit (PICU) of a tertiary care medical college hospital were randomized to receive either isotonic fluid (0.9% saline in 5% dextrose) at the standard maintenance rate or hypotonic fluid (0.18% saline in 5% dextrose) at two‐thirds of the standard maintenance rate. Results: A total of 240 children were randomized (120 isotonic, 120 hypotonic). In all, 16.7% children in hypotonic group developed hyponatremia compared with 7.5% in isotonic group (p=0.029). Duration of PICU stay was significantly more in Hypotonic group. Conclusion: We conclude that use of 0.9% saline in 5% dextrose as maintenance fluid helps in reducing the incidence of hospital‐acquired hyponatremia and duration of intensive care unit stay among children admitted to PICU.","archive_location":"rayyan-119344977","container-title":"Journal of tropical pediatrics","issue":"6","journalAbbreviation":"Journal of tropical pediatrics","page":"454-460","title":"Full volume isotonic (0.9%) vs. Two-thirds volume hypotonic (0.18%) intravenous maintenance fluids in preventing hyponatremia in children admitted to pediatric intensive care unit-A randomized controlled study","volume":"63","author":[{"family":"Raksha","given":"SK"},{"family":"Dakshayani","given":"B"},{"family":"Premalatha","given":"R"}],"issued":{"date-parts":[["2017"]]}},"label":"page"}],"schema":"https://github.com/citation-style-language/schema/raw/master/csl-citation.json"} </w:instrText>
      </w:r>
      <w:r w:rsidR="000B0609"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[32, 35]</w:t>
      </w:r>
      <w:r w:rsidR="000B0609"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Due to </w:t>
      </w:r>
      <w:r w:rsidR="00AB6986" w:rsidRPr="00076637">
        <w:rPr>
          <w:rFonts w:ascii="Times New Roman" w:eastAsia="Times New Roman" w:hAnsi="Times New Roman" w:cs="Times New Roman"/>
          <w:sz w:val="24"/>
          <w:szCs w:val="24"/>
        </w:rPr>
        <w:t xml:space="preserve">considerable </w:t>
      </w:r>
      <w:r w:rsidRPr="00076637">
        <w:rPr>
          <w:rFonts w:ascii="Times New Roman" w:eastAsia="Times New Roman" w:hAnsi="Times New Roman" w:cs="Times New Roman"/>
          <w:sz w:val="24"/>
          <w:szCs w:val="24"/>
        </w:rPr>
        <w:t xml:space="preserve">methodological issues, one study was considered with a critical risk of bias </w:t>
      </w:r>
      <w:r w:rsidR="00361CA0" w:rsidRPr="00076637">
        <w:rPr>
          <w:rFonts w:ascii="Times New Roman" w:eastAsia="Times New Roman" w:hAnsi="Times New Roman" w:cs="Times New Roman"/>
          <w:sz w:val="24"/>
          <w:szCs w:val="24"/>
        </w:rPr>
        <w:t>and</w:t>
      </w:r>
      <w:r w:rsidR="00AB6986"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not </w:t>
      </w:r>
      <w:r w:rsidR="00AB6986" w:rsidRPr="00076637">
        <w:rPr>
          <w:rFonts w:ascii="Times New Roman" w:eastAsia="Times New Roman" w:hAnsi="Times New Roman" w:cs="Times New Roman"/>
          <w:sz w:val="24"/>
          <w:szCs w:val="24"/>
        </w:rPr>
        <w:t>able to be included</w:t>
      </w:r>
      <w:r w:rsidRPr="00076637">
        <w:rPr>
          <w:rFonts w:ascii="Times New Roman" w:eastAsia="Times New Roman" w:hAnsi="Times New Roman" w:cs="Times New Roman"/>
          <w:sz w:val="24"/>
          <w:szCs w:val="24"/>
        </w:rPr>
        <w:t xml:space="preserve"> for analysis </w:t>
      </w:r>
      <w:r w:rsidR="00AD7475"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{"citationID":"mQwpgkI1","properties":{"formattedCitation":"[34]","plainCitation":"[34]","noteIndex":0},"citationItems":[{"id":"7qGQlw7Y/GzaQu7Qm","uris":["http://zotero.org/users/874466/items/JMMZBGAZ"],"itemData":{"id":36105,"type":"article-journal","abstract":"Background: Fluid overload is common in critically ill children and is associated with adverse outcome. Therefore, restricting fluid intake may be beneficial. This study aims to study the feasibility of a randomized controlled trial (RCT) comparing a conservative to a standard, more liberal, strategy of fluid management in mechanically ventilated pediatric patients with acute respiratory tract infection (ARTI). Methods: This is a feasibility study in a single, tertiary referral pediatric intensive care unit (PICU). Twenty‐three children receiving mechanical ventilation for ARTI, without ongoing hemodynamic support, admitted to the PICU of the Emma Children's Hospital/Amsterdam UMC between 2016 and 2018 were included. Patients were randomized to a conservative (&lt;70% of normal intake) or standard (&gt;85% of normal intake) fluid strategy, which was kept throughout the period of mechanical ventilation. Results: Primary endpoints were adherence to fluid strategy and safety parameters such as calorie and protein intake. Secondary outcomes were cumulative fluid intake (CFI) and cumulative fluid balance (CFB) on day 3. In the conservative group, in 75% of the mechanical ventilation days patients achieved their target fluid intake. Median [25thâˆ’75th percentiles] calorie intake over all mechanical ventilation days was 67.9 [51.5â€“74.0] kcal/kg/day in the conservative vs. 67.2 [58.0â€“75.2] kcal/kg/day in the standard group (p = 0.878). Protein intake was 1.6 [1.3â€“1.8] gr protein/kg in the conservative and 1.5 [1.2â€“1.7] gr protein/kg in the standard group (p = 0.598). No adverse effects on hemodynamics or electrolyte imbalances were noted. Mean (Â±SD) CFI on day 3 was 262.3 (Â±58.9) ml/kg in the conservative group vs. 360.5 (Â±52.6) ml/kg in the standard fluid group (p &lt; 0.001), which did not result in a lower CFB. Conclusions: A conservative fluid strategy in mechanically ventilated children with ARTI seems feasible, without limiting metabolic needs. However, in our study a conservative fluid strategy surprisingly did not reduce the degree of fluid overload. This study aids the design and sample size calculation of a future larger multicenter RCT, in which we need to redefine the target fluid strategy, possibly by even further fluid restriction and early initiation of active diuresis. Clinical Trial Registration: ClinicalTrials.gov, identifier: NCT02989051.","archive_location":"rayyan-119344138","container-title":"Frontiers in pediatrics","journalAbbreviation":"Frontiers in pediatrics","title":"Less Is More?â€”A Feasibility Study of Fluid Strategy in Critically Ill Children With Acute Respiratory Tract Infection","URL":"https://www.cochranelibrary.com/central/doi/10.1002/central/CN-02073819/full","volume":"7","author":[{"family":"Ingelse","given":"SA"},{"family":"Geukers","given":"VG"},{"family":"Dijsselhof","given":"ME"},{"family":"Lemson","given":"J"},{"family":"Bem","given":"RA"},{"family":"Woensel","given":"JB","non-dropping-particle":"van"}],"issued":{"date-parts":[["2019"]]}}}],"schema":"https://github.com/citation-style-language/schema/raw/master/csl-citation.json"} </w:instrText>
      </w:r>
      <w:r w:rsidR="00AD7475"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[34]</w:t>
      </w:r>
      <w:r w:rsidR="00AD7475"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The outcomes assessed were also inconsistent among the studies. Most studies assessed the impact on sodium</w:t>
      </w:r>
      <w:r w:rsidR="0047742D" w:rsidRPr="00076637">
        <w:rPr>
          <w:rFonts w:ascii="Times New Roman" w:eastAsia="Times New Roman" w:hAnsi="Times New Roman" w:cs="Times New Roman"/>
          <w:sz w:val="24"/>
          <w:szCs w:val="24"/>
        </w:rPr>
        <w:t xml:space="preserve"> levels but</w:t>
      </w:r>
      <w:r w:rsidRPr="00076637">
        <w:rPr>
          <w:rFonts w:ascii="Times New Roman" w:eastAsia="Times New Roman" w:hAnsi="Times New Roman" w:cs="Times New Roman"/>
          <w:sz w:val="24"/>
          <w:szCs w:val="24"/>
        </w:rPr>
        <w:t xml:space="preserve"> presented data </w:t>
      </w:r>
      <w:r w:rsidR="0047742D" w:rsidRPr="00076637">
        <w:rPr>
          <w:rFonts w:ascii="Times New Roman" w:eastAsia="Times New Roman" w:hAnsi="Times New Roman" w:cs="Times New Roman"/>
          <w:sz w:val="24"/>
          <w:szCs w:val="24"/>
        </w:rPr>
        <w:t xml:space="preserve">only in terms of </w:t>
      </w:r>
      <w:r w:rsidRPr="00076637">
        <w:rPr>
          <w:rFonts w:ascii="Times New Roman" w:eastAsia="Times New Roman" w:hAnsi="Times New Roman" w:cs="Times New Roman"/>
          <w:sz w:val="24"/>
          <w:szCs w:val="24"/>
        </w:rPr>
        <w:t>sodium plasma levels, change</w:t>
      </w:r>
      <w:r w:rsidR="0063789A" w:rsidRPr="00076637">
        <w:rPr>
          <w:rFonts w:ascii="Times New Roman" w:eastAsia="Times New Roman" w:hAnsi="Times New Roman" w:cs="Times New Roman"/>
          <w:sz w:val="24"/>
          <w:szCs w:val="24"/>
        </w:rPr>
        <w:t>s</w:t>
      </w:r>
      <w:r w:rsidRPr="00076637">
        <w:rPr>
          <w:rFonts w:ascii="Times New Roman" w:eastAsia="Times New Roman" w:hAnsi="Times New Roman" w:cs="Times New Roman"/>
          <w:sz w:val="24"/>
          <w:szCs w:val="24"/>
        </w:rPr>
        <w:t xml:space="preserve"> in sodium or the presence/absence of hypo or hypernatremia. This limited the meta-analysis we were able to perform. However, meta-analyses were</w:t>
      </w:r>
      <w:r w:rsidR="0047742D" w:rsidRPr="00076637">
        <w:rPr>
          <w:rFonts w:ascii="Times New Roman" w:eastAsia="Times New Roman" w:hAnsi="Times New Roman" w:cs="Times New Roman"/>
          <w:sz w:val="24"/>
          <w:szCs w:val="24"/>
        </w:rPr>
        <w:t xml:space="preserve"> performed where </w:t>
      </w:r>
      <w:r w:rsidR="00361CA0" w:rsidRPr="00076637">
        <w:rPr>
          <w:rFonts w:ascii="Times New Roman" w:eastAsia="Times New Roman" w:hAnsi="Times New Roman" w:cs="Times New Roman"/>
          <w:sz w:val="24"/>
          <w:szCs w:val="24"/>
        </w:rPr>
        <w:t>appropriate on</w:t>
      </w:r>
      <w:r w:rsidRPr="00076637">
        <w:rPr>
          <w:rFonts w:ascii="Times New Roman" w:eastAsia="Times New Roman" w:hAnsi="Times New Roman" w:cs="Times New Roman"/>
          <w:sz w:val="24"/>
          <w:szCs w:val="24"/>
        </w:rPr>
        <w:t xml:space="preserve"> some outcomes for a few studies. </w:t>
      </w:r>
    </w:p>
    <w:p w14:paraId="277F8F86" w14:textId="6EA117E1" w:rsidR="00117637" w:rsidRPr="00076637" w:rsidRDefault="0047742D"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In relation to</w:t>
      </w:r>
      <w:r w:rsidR="00D57C7E" w:rsidRPr="00076637">
        <w:rPr>
          <w:rFonts w:ascii="Times New Roman" w:eastAsia="Times New Roman" w:hAnsi="Times New Roman" w:cs="Times New Roman"/>
          <w:sz w:val="24"/>
          <w:szCs w:val="24"/>
        </w:rPr>
        <w:t xml:space="preserve"> the mean sodium plasma level, in a meta-analysis pooling four subgroups in two studies </w:t>
      </w:r>
      <w:r w:rsidR="00C972E9"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{"citationID":"nVXSYhOZ","properties":{"formattedCitation":"[38, 39]","plainCitation":"[38, 39]","noteIndex":0},"citationItems":[{"id":"7qGQlw7Y/ehLhNvV0","uris":["http://zotero.org/users/874466/items/5HEP5JNV"],"itemData":{"id":36115,"type":"article-journal","abstract":"OBJECTIVES: To determine the importance of sodium content versus administration rate  of intravenous fluids in the development of hyponatremia in postoperative children.  STUDY DESIGN: In this prospective, randomized, nonblinded study, 124 children  admitted for surgery received 0.9% (NS) or 0.45% (N/2) saline solution at 100% or  50% maintenance rates. Plasma electrolytes, osmolality, and ADH at induction of  anesthesia were compared with values 8 hours (T(8)), and 24 hours (T(24); n = 67)  after surgery. Blood glucose and ketones were measured every 4 hours. Electrolytes  and osmolality were measured in urine samples. RESULTS: Plasma sodium concentrations  fell in both N/2 groups at T(8) (100%: -1.5 +/- 2.3 mmol/L 50%: -1.9 +/- 2.0 mmol/L;  P &lt; .01) with hyponatremia more common than in the NS groups at T(8) (30% vs 10%; P  = .02) but not T(24). Median plasma antidiuretic hormone concentrations increased 2-  to 4-fold during surgery (P &lt; or = .001) and only reattained levels at induction of  anesthesia by T(24) in the N/2 100% group. On multiple linear regression analysis,  fluid type, not rate determined risk of hyponatremia (P &lt; .04). Two children on 100%  developed SIADH (1NS). Fourteen (23%; 7NS) on 50% maintenance were assessed as  dehydrated. Dextrose content was increased in 18 for hypoglycemia or ketosis.  CONCLUSIONS: The risk of hyponatremia was decreased by isotonic saline solution but  not fluid restriction.","archive_location":"rayyan-119340837","container-title":"The Journal of pediatrics","ISSN":"1097-6833 0022-3476","issue":"2","journalAbbreviation":"J Pediatr","language":"eng","page":"313-319.e1-2","title":"Prevention of hyponatremia during maintenance intravenous fluid administration: a  prospective randomized study of fluid type versus fluid rate.","volume":"156","author":[{"family":"Neville","given":"Kristen A."},{"family":"Sandeman","given":"David J."},{"family":"Rubinstein","given":"Alan"},{"family":"Henry","given":"Guy M."},{"family":"McGlynn","given":"Michael"},{"family":"Walker","given":"Jan L."}],"issued":{"date-parts":[["2010"]]}},"label":"page"},{"id":"7qGQlw7Y/dL9sED7Y","uris":["http://zotero.org/users/874466/items/G9BWK4M2"],"itemData":{"id":36131,"type":"article-journal","abstract":"The objective of this prospective study was to examine the effect of fluid  restriction on body water and the outcome of children with acute meningitis. Fifty  consecutively hospitalized children with acute meningitis, divided into two groups  (A, without hyponatremia; and B, with hyponatremia), were randomly assigned to  receive either normal maintenance (M) or restricted (R subgroup) (65 to 70% of M  subgroup) fluids during the first 48 hours. Total body water, extracellular water  (ECW), serum and urinary sodium and plasma and urinary osmolality were measured at  admission and after 48 hours. In both groups children receiving restricted fluids  showed a significant decrease in the mean total body water and ECW whereas body  water remained unchanged in those on maintenance fluids. Children having an ECW  reduction of 10 ml/kg or more in 48 hours had a significantly lower intact survival  (10 of 28, 36%) than those with &lt; 10 ml/kg or no reduction of ECW (15 of 22, 64%) (P  &lt; 0.05). The mortality was also higher in the former (7 of 28, 25%) than in the  latter (2 of 22, 9%). On multiple stepwise regression analysis, ECW volume at  admission (partial r2 0.20), ECW loss in 48 hours (partial r2 0.13) and plasma  osmolality at admission (partial r2 0.22) were significantly related to outcome. We  conclude that fluid restriction does not improve the outcome of acute meningitis.  Indeed a decrease in ECW volume at 48 hours increases the likelihood of adverse  outcome.","archive_location":"rayyan-119341184","container-title":"The Pediatric infectious disease journal","ISSN":"0891-3668 0891-3668","issue":"6","journalAbbreviation":"Pediatr Infect Dis J","language":"eng","page":"495-503","title":"Fluid restriction does not improve the outcome of acute meningitis.","volume":"14","author":[{"family":"Singhi","given":"S. C."},{"family":"Singhi","given":"P. D."},{"family":"Srinivas","given":"B."},{"family":"Narakesri","given":"H. P."},{"family":"Ganguli","given":"N. K."},{"family":"Sialy","given":"R."},{"family":"Walia","given":"B. N."}],"issued":{"date-parts":[["1995"]]}},"label":"page"}],"schema":"https://github.com/citation-style-language/schema/raw/master/csl-citation.json"} </w:instrText>
      </w:r>
      <w:r w:rsidR="00C972E9"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[38, 39]</w:t>
      </w:r>
      <w:r w:rsidR="00C972E9"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including post-operative patients and septic patients suffering from meningitis, a restrictive </w:t>
      </w:r>
      <w:r w:rsidR="00666850" w:rsidRPr="00076637">
        <w:rPr>
          <w:rFonts w:ascii="Times New Roman" w:eastAsia="Times New Roman" w:hAnsi="Times New Roman" w:cs="Times New Roman"/>
          <w:sz w:val="24"/>
          <w:szCs w:val="24"/>
        </w:rPr>
        <w:t>IV</w:t>
      </w:r>
      <w:r w:rsidR="008C4ED8" w:rsidRPr="00076637">
        <w:rPr>
          <w:rFonts w:ascii="Times New Roman" w:eastAsia="Times New Roman" w:hAnsi="Times New Roman" w:cs="Times New Roman"/>
          <w:sz w:val="24"/>
          <w:szCs w:val="24"/>
        </w:rPr>
        <w:t>-</w:t>
      </w:r>
      <w:r w:rsidR="00666850" w:rsidRPr="00076637">
        <w:rPr>
          <w:rFonts w:ascii="Times New Roman" w:eastAsia="Times New Roman" w:hAnsi="Times New Roman" w:cs="Times New Roman"/>
          <w:sz w:val="24"/>
          <w:szCs w:val="24"/>
        </w:rPr>
        <w:t>M</w:t>
      </w:r>
      <w:r w:rsidR="008C4ED8" w:rsidRPr="00076637">
        <w:rPr>
          <w:rFonts w:ascii="Times New Roman" w:eastAsia="Times New Roman" w:hAnsi="Times New Roman" w:cs="Times New Roman"/>
          <w:sz w:val="24"/>
          <w:szCs w:val="24"/>
        </w:rPr>
        <w:t>F</w:t>
      </w:r>
      <w:r w:rsidR="00666850" w:rsidRPr="00076637">
        <w:rPr>
          <w:rFonts w:ascii="Times New Roman" w:eastAsia="Times New Roman" w:hAnsi="Times New Roman" w:cs="Times New Roman"/>
          <w:sz w:val="24"/>
          <w:szCs w:val="24"/>
        </w:rPr>
        <w:t xml:space="preserve">T </w:t>
      </w:r>
      <w:r w:rsidR="00D57C7E" w:rsidRPr="00076637">
        <w:rPr>
          <w:rFonts w:ascii="Times New Roman" w:eastAsia="Times New Roman" w:hAnsi="Times New Roman" w:cs="Times New Roman"/>
          <w:sz w:val="24"/>
          <w:szCs w:val="24"/>
        </w:rPr>
        <w:t>strategy was significantly associated with a higher plasma sodium level (MD=2.50 95% CI [0.08, 4.91], p=0.04) after 12 hours or more of treatment. Furthermore, in a subgroup</w:t>
      </w:r>
      <w:r w:rsidR="00666850" w:rsidRPr="00076637">
        <w:rPr>
          <w:rFonts w:ascii="Times New Roman" w:eastAsia="Times New Roman" w:hAnsi="Times New Roman" w:cs="Times New Roman"/>
          <w:sz w:val="24"/>
          <w:szCs w:val="24"/>
        </w:rPr>
        <w:t xml:space="preserve"> of children</w:t>
      </w:r>
      <w:r w:rsidR="00D57C7E" w:rsidRPr="00076637">
        <w:rPr>
          <w:rFonts w:ascii="Times New Roman" w:eastAsia="Times New Roman" w:hAnsi="Times New Roman" w:cs="Times New Roman"/>
          <w:sz w:val="24"/>
          <w:szCs w:val="24"/>
        </w:rPr>
        <w:t xml:space="preserve"> </w:t>
      </w:r>
      <w:proofErr w:type="spellStart"/>
      <w:r w:rsidR="00D57C7E" w:rsidRPr="00076637">
        <w:rPr>
          <w:rFonts w:ascii="Times New Roman" w:eastAsia="Times New Roman" w:hAnsi="Times New Roman" w:cs="Times New Roman"/>
          <w:sz w:val="24"/>
          <w:szCs w:val="24"/>
        </w:rPr>
        <w:t>characterised</w:t>
      </w:r>
      <w:proofErr w:type="spellEnd"/>
      <w:r w:rsidR="00D57C7E" w:rsidRPr="00076637">
        <w:rPr>
          <w:rFonts w:ascii="Times New Roman" w:eastAsia="Times New Roman" w:hAnsi="Times New Roman" w:cs="Times New Roman"/>
          <w:sz w:val="24"/>
          <w:szCs w:val="24"/>
        </w:rPr>
        <w:t xml:space="preserve"> by the presence of hyponatremia at the beginning of the treatment </w:t>
      </w:r>
      <w:r w:rsidR="00F01B6C"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{"citationID":"26r6Tgcv","properties":{"formattedCitation":"[39]","plainCitation":"[39]","noteIndex":0},"citationItems":[{"id":"7qGQlw7Y/dL9sED7Y","uris":["http://zotero.org/users/874466/items/G9BWK4M2"],"itemData":{"id":36131,"type":"article-journal","abstract":"The objective of this prospective study was to examine the effect of fluid  restriction on body water and the outcome of children with acute meningitis. Fifty  consecutively hospitalized children with acute meningitis, divided into two groups  (A, without hyponatremia; and B, with hyponatremia), were randomly assigned to  receive either normal maintenance (M) or restricted (R subgroup) (65 to 70% of M  subgroup) fluids during the first 48 hours. Total body water, extracellular water  (ECW), serum and urinary sodium and plasma and urinary osmolality were measured at  admission and after 48 hours. In both groups children receiving restricted fluids  showed a significant decrease in the mean total body water and ECW whereas body  water remained unchanged in those on maintenance fluids. Children having an ECW  reduction of 10 ml/kg or more in 48 hours had a significantly lower intact survival  (10 of 28, 36%) than those with &lt; 10 ml/kg or no reduction of ECW (15 of 22, 64%) (P  &lt; 0.05). The mortality was also higher in the former (7 of 28, 25%) than in the  latter (2 of 22, 9%). On multiple stepwise regression analysis, ECW volume at  admission (partial r2 0.20), ECW loss in 48 hours (partial r2 0.13) and plasma  osmolality at admission (partial r2 0.22) were significantly related to outcome. We  conclude that fluid restriction does not improve the outcome of acute meningitis.  Indeed a decrease in ECW volume at 48 hours increases the likelihood of adverse  outcome.","archive_location":"rayyan-119341184","container-title":"The Pediatric infectious disease journal","ISSN":"0891-3668 0891-3668","issue":"6","journalAbbreviation":"Pediatr Infect Dis J","language":"eng","page":"495-503","title":"Fluid restriction does not improve the outcome of acute meningitis.","volume":"14","author":[{"family":"Singhi","given":"S. C."},{"family":"Singhi","given":"P. D."},{"family":"Srinivas","given":"B."},{"family":"Narakesri","given":"H. P."},{"family":"Ganguli","given":"N. K."},{"family":"Sialy","given":"R."},{"family":"Walia","given":"B. N."}],"issued":{"date-parts":[["1995"]]}}}],"schema":"https://github.com/citation-style-language/schema/raw/master/csl-citation.json"} </w:instrText>
      </w:r>
      <w:r w:rsidR="00F01B6C"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[39]</w:t>
      </w:r>
      <w:r w:rsidR="00F01B6C"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the restrictive strategy was significantly associated with a higher mean plasma </w:t>
      </w:r>
      <w:r w:rsidR="00D57C7E" w:rsidRPr="00076637">
        <w:rPr>
          <w:rFonts w:ascii="Times New Roman" w:eastAsia="Times New Roman" w:hAnsi="Times New Roman" w:cs="Times New Roman"/>
          <w:sz w:val="24"/>
          <w:szCs w:val="24"/>
        </w:rPr>
        <w:lastRenderedPageBreak/>
        <w:t xml:space="preserve">sodium level at 48 hours (mean difference 4.20 mmol/L [2.20 – 6.20mmol/L). In relation to the change in sodium after 12 hours or more of treatment, in a meta-analysis pooling six subgroups in three RCTs </w:t>
      </w:r>
      <w:r w:rsidR="00332DF0"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{"citationID":"VrgHTP0b","properties":{"formattedCitation":"[36, 38, 39]","plainCitation":"[36, 38, 39]","noteIndex":0},"citationItems":[{"id":"7qGQlw7Y/EvbwSWZK","uris":["http://zotero.org/users/874466/items/2S4R5K8N"],"itemData":{"id":35681,"type":"article-journal","abstract":"AIM: Traditional paediatric intravenous maintenance fluids are prescribed using hypotonic fluids and the weight‐based 4:2:1 formula for administration rate. However, this may cause hyponatraemia in sick and post‐operative children. We studied the effect of two types of intravenous maintenance fluid and two administration rates on plasma sodium concentration in intensive care patients. METHODS: A Factorial‐design, double‐blind, randomised controlled trial was used. We randomised 50 children with normal electrolytes without hypoglycaemia who needed intravenous maintenance fluids for &gt;12 h to 0.9% saline (normal saline) or 4% dextrose and 0.18% saline (dextrose saline), at either the traditional maintenance fluid rate or 2/3 of that rate. The main outcome measure was change in plasma sodium from admission to 12‐24 h later. RESULTS: Fifty patients (37 surgical) were enrolled. Plasma sodium fell in all groups: mean fall 2.3 (standard deviation 4.0) mmol/L. Fluid type (P = 0.0063) but not rate (P = 0.12) was significantly associated with fall in plasma sodium. Dextrose saline produced a greater fall in plasma sodium than normal saline: difference 3.0, 95% confidence interval 0.8‐5.1 mmol/L. Full maintenance rate produced a greater fall in plasma sodium than restricted rate, but the difference was small and non‐significant: 1.6 (‐0.7, 3.9) mmol/L. Fluid type, but not rate, remained significant after adjustment for surgical status. One patient, receiving normal saline at restricted rate, developed asymptomatic hypoglycaemia. CONCLUSION: Sick and post‐operative children given dextrose saline at traditional maintenance rates are at risk of hyponatraemia.","archive_location":"rayyan-119344140","container-title":"Journal of paediatrics and child health","issue":"1","journalAbbreviation":"Journal of paediatrics and child health","page":"9-14","title":"Randomised controlled trial of intravenous maintenance fluids","volume":"45","author":[{"family":"Yung","given":"M"},{"family":"Keeley","given":"S"}],"issued":{"date-parts":[["2009"]]}},"label":"page"},{"id":"7qGQlw7Y/ehLhNvV0","uris":["http://zotero.org/users/874466/items/5HEP5JNV"],"itemData":{"id":36115,"type":"article-journal","abstract":"OBJECTIVES: To determine the importance of sodium content versus administration rate  of intravenous fluids in the development of hyponatremia in postoperative children.  STUDY DESIGN: In this prospective, randomized, nonblinded study, 124 children  admitted for surgery received 0.9% (NS) or 0.45% (N/2) saline solution at 100% or  50% maintenance rates. Plasma electrolytes, osmolality, and ADH at induction of  anesthesia were compared with values 8 hours (T(8)), and 24 hours (T(24); n = 67)  after surgery. Blood glucose and ketones were measured every 4 hours. Electrolytes  and osmolality were measured in urine samples. RESULTS: Plasma sodium concentrations  fell in both N/2 groups at T(8) (100%: -1.5 +/- 2.3 mmol/L 50%: -1.9 +/- 2.0 mmol/L;  P &lt; .01) with hyponatremia more common than in the NS groups at T(8) (30% vs 10%; P  = .02) but not T(24). Median plasma antidiuretic hormone concentrations increased 2-  to 4-fold during surgery (P &lt; or = .001) and only reattained levels at induction of  anesthesia by T(24) in the N/2 100% group. On multiple linear regression analysis,  fluid type, not rate determined risk of hyponatremia (P &lt; .04). Two children on 100%  developed SIADH (1NS). Fourteen (23%; 7NS) on 50% maintenance were assessed as  dehydrated. Dextrose content was increased in 18 for hypoglycemia or ketosis.  CONCLUSIONS: The risk of hyponatremia was decreased by isotonic saline solution but  not fluid restriction.","archive_location":"rayyan-119340837","container-title":"The Journal of pediatrics","ISSN":"1097-6833 0022-3476","issue":"2","journalAbbreviation":"J Pediatr","language":"eng","page":"313-319.e1-2","title":"Prevention of hyponatremia during maintenance intravenous fluid administration: a  prospective randomized study of fluid type versus fluid rate.","volume":"156","author":[{"family":"Neville","given":"Kristen A."},{"family":"Sandeman","given":"David J."},{"family":"Rubinstein","given":"Alan"},{"family":"Henry","given":"Guy M."},{"family":"McGlynn","given":"Michael"},{"family":"Walker","given":"Jan L."}],"issued":{"date-parts":[["2010"]]}},"label":"page"},{"id":"7qGQlw7Y/dL9sED7Y","uris":["http://zotero.org/users/874466/items/G9BWK4M2"],"itemData":{"id":36131,"type":"article-journal","abstract":"The objective of this prospective study was to examine the effect of fluid  restriction on body water and the outcome of children with acute meningitis. Fifty  consecutively hospitalized children with acute meningitis, divided into two groups  (A, without hyponatremia; and B, with hyponatremia), were randomly assigned to  receive either normal maintenance (M) or restricted (R subgroup) (65 to 70% of M  subgroup) fluids during the first 48 hours. Total body water, extracellular water  (ECW), serum and urinary sodium and plasma and urinary osmolality were measured at  admission and after 48 hours. In both groups children receiving restricted fluids  showed a significant decrease in the mean total body water and ECW whereas body  water remained unchanged in those on maintenance fluids. Children having an ECW  reduction of 10 ml/kg or more in 48 hours had a significantly lower intact survival  (10 of 28, 36%) than those with &lt; 10 ml/kg or no reduction of ECW (15 of 22, 64%) (P  &lt; 0.05). The mortality was also higher in the former (7 of 28, 25%) than in the  latter (2 of 22, 9%). On multiple stepwise regression analysis, ECW volume at  admission (partial r2 0.20), ECW loss in 48 hours (partial r2 0.13) and plasma  osmolality at admission (partial r2 0.22) were significantly related to outcome. We  conclude that fluid restriction does not improve the outcome of acute meningitis.  Indeed a decrease in ECW volume at 48 hours increases the likelihood of adverse  outcome.","archive_location":"rayyan-119341184","container-title":"The Pediatric infectious disease journal","ISSN":"0891-3668 0891-3668","issue":"6","journalAbbreviation":"Pediatr Infect Dis J","language":"eng","page":"495-503","title":"Fluid restriction does not improve the outcome of acute meningitis.","volume":"14","author":[{"family":"Singhi","given":"S. C."},{"family":"Singhi","given":"P. D."},{"family":"Srinivas","given":"B."},{"family":"Narakesri","given":"H. P."},{"family":"Ganguli","given":"N. K."},{"family":"Sialy","given":"R."},{"family":"Walia","given":"B. N."}],"issued":{"date-parts":[["1995"]]}},"label":"page"}],"schema":"https://github.com/citation-style-language/schema/raw/master/csl-citation.json"} </w:instrText>
      </w:r>
      <w:r w:rsidR="00332DF0"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[36, 38, 39]</w:t>
      </w:r>
      <w:r w:rsidR="00332DF0"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including patients in the PICU, a restrictive strategy was significantly associated with a lower change in plasma sodium (mean difference=1.95 95% CI [0.29; 3.62], p=0.02). In patients presenting with hyponatremia during </w:t>
      </w:r>
      <w:r w:rsidR="0030406D" w:rsidRPr="00076637">
        <w:rPr>
          <w:rFonts w:ascii="Times New Roman" w:eastAsia="Times New Roman" w:hAnsi="Times New Roman" w:cs="Times New Roman"/>
          <w:sz w:val="24"/>
          <w:szCs w:val="24"/>
        </w:rPr>
        <w:t>IVM-FT</w:t>
      </w:r>
      <w:r w:rsidR="00D57C7E" w:rsidRPr="00076637">
        <w:rPr>
          <w:rFonts w:ascii="Times New Roman" w:eastAsia="Times New Roman" w:hAnsi="Times New Roman" w:cs="Times New Roman"/>
          <w:sz w:val="24"/>
          <w:szCs w:val="24"/>
        </w:rPr>
        <w:t xml:space="preserve">, a meta-analysis including two RCTs </w:t>
      </w:r>
      <w:r w:rsidR="00492CC5"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{"citationID":"QlUMFKbo","properties":{"formattedCitation":"[37, 38]","plainCitation":"[37, 38]","noteIndex":0},"citationItems":[{"id":"7qGQlw7Y/T32zwR6W","uris":["http://zotero.org/users/874466/items/67WBPE44"],"itemData":{"id":36109,"type":"article-journal","abstract":"The aim of this study was to compare the effect of three different intravenous (i.v.) fluid regimes on the incidence of hyponatraemia in hospitalized children ranging in age from 3 months to 12 years. Children who required the administration of i.v. maintenance fluid for at least 24 h following hospitalization were eligible for inclusion. The children were randomized to three i.v. fluid groups: Group A, 0.9% saline in 5% dextrose at the standard maintenance rate; Group B, 0.18% saline in 5% dextrose at the standard maintenance rate; Group C, 0.18% saline in 5% dextrose at two-thirds of the standard maintenance rate. The primary outcome measure was incidence of hyponatraemia (plasma sodium &lt; 130 mEq/L). Of the 167 patients enrolled, 58, 56 and 53 patients were randomized to Group A, B and C, respectively. We observed that 14.3% (8/56) of the children administered 0.18% saline in 5% dextrose at the standard maintenance rate (Group B) developed hyponatraemia compared with 1.72% of the children in Group A and 3.8% of those in Group C. Based on these results, we conclude that the administration of 0.9% saline in 5% dextrose as i.v. maintenance fluid helps in reducing the incidence of hospital-acquired hyponatraemia among children. © 2010 IPNA.","archive_location":"rayyan-119344088","container-title":"Pediatric Nephrology","ISSN":"0931041X","issue":"11","language":"English","page":"2303-2309","title":"Intravenous fluid regimen and hyponatraemia among children: A randomized controlled trial","volume":"25","author":[{"family":"Kannan","given":"L."},{"family":"Lodha","given":"R."},{"family":"Vivekanandhan","given":"S."},{"family":"Bagga","given":"A."},{"family":"Kabra","given":"S.K."},{"family":"Kabra","given":"M."}],"issued":{"date-parts":[["2010"]]}},"label":"page"},{"id":"7qGQlw7Y/ehLhNvV0","uris":["http://zotero.org/users/874466/items/5HEP5JNV"],"itemData":{"id":36115,"type":"article-journal","abstract":"OBJECTIVES: To determine the importance of sodium content versus administration rate  of intravenous fluids in the development of hyponatremia in postoperative children.  STUDY DESIGN: In this prospective, randomized, nonblinded study, 124 children  admitted for surgery received 0.9% (NS) or 0.45% (N/2) saline solution at 100% or  50% maintenance rates. Plasma electrolytes, osmolality, and ADH at induction of  anesthesia were compared with values 8 hours (T(8)), and 24 hours (T(24); n = 67)  after surgery. Blood glucose and ketones were measured every 4 hours. Electrolytes  and osmolality were measured in urine samples. RESULTS: Plasma sodium concentrations  fell in both N/2 groups at T(8) (100%: -1.5 +/- 2.3 mmol/L 50%: -1.9 +/- 2.0 mmol/L;  P &lt; .01) with hyponatremia more common than in the NS groups at T(8) (30% vs 10%; P  = .02) but not T(24). Median plasma antidiuretic hormone concentrations increased 2-  to 4-fold during surgery (P &lt; or = .001) and only reattained levels at induction of  anesthesia by T(24) in the N/2 100% group. On multiple linear regression analysis,  fluid type, not rate determined risk of hyponatremia (P &lt; .04). Two children on 100%  developed SIADH (1NS). Fourteen (23%; 7NS) on 50% maintenance were assessed as  dehydrated. Dextrose content was increased in 18 for hypoglycemia or ketosis.  CONCLUSIONS: The risk of hyponatremia was decreased by isotonic saline solution but  not fluid restriction.","archive_location":"rayyan-119340837","container-title":"The Journal of pediatrics","ISSN":"1097-6833 0022-3476","issue":"2","journalAbbreviation":"J Pediatr","language":"eng","page":"313-319.e1-2","title":"Prevention of hyponatremia during maintenance intravenous fluid administration: a  prospective randomized study of fluid type versus fluid rate.","volume":"156","author":[{"family":"Neville","given":"Kristen A."},{"family":"Sandeman","given":"David J."},{"family":"Rubinstein","given":"Alan"},{"family":"Henry","given":"Guy M."},{"family":"McGlynn","given":"Michael"},{"family":"Walker","given":"Jan L."}],"issued":{"date-parts":[["2010"]]}},"label":"page"}],"schema":"https://github.com/citation-style-language/schema/raw/master/csl-citation.json"} </w:instrText>
      </w:r>
      <w:r w:rsidR="00492CC5"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[37, 38]</w:t>
      </w:r>
      <w:r w:rsidR="00492CC5"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involving patients in an acute</w:t>
      </w:r>
      <w:r w:rsidR="0030406D" w:rsidRPr="00076637">
        <w:rPr>
          <w:rFonts w:ascii="Times New Roman" w:eastAsia="Times New Roman" w:hAnsi="Times New Roman" w:cs="Times New Roman"/>
          <w:sz w:val="24"/>
          <w:szCs w:val="24"/>
        </w:rPr>
        <w:t xml:space="preserve">, but </w:t>
      </w:r>
      <w:r w:rsidR="00D57C7E" w:rsidRPr="00076637">
        <w:rPr>
          <w:rFonts w:ascii="Times New Roman" w:eastAsia="Times New Roman" w:hAnsi="Times New Roman" w:cs="Times New Roman"/>
          <w:sz w:val="24"/>
          <w:szCs w:val="24"/>
        </w:rPr>
        <w:t xml:space="preserve">non-critical care setting failed to show any benefit of either fluid strategy. No difference was also found </w:t>
      </w:r>
      <w:r w:rsidR="0030406D" w:rsidRPr="00076637">
        <w:rPr>
          <w:rFonts w:ascii="Times New Roman" w:eastAsia="Times New Roman" w:hAnsi="Times New Roman" w:cs="Times New Roman"/>
          <w:sz w:val="24"/>
          <w:szCs w:val="24"/>
        </w:rPr>
        <w:t>in the</w:t>
      </w:r>
      <w:r w:rsidR="00D57C7E" w:rsidRPr="00076637">
        <w:rPr>
          <w:rFonts w:ascii="Times New Roman" w:eastAsia="Times New Roman" w:hAnsi="Times New Roman" w:cs="Times New Roman"/>
          <w:sz w:val="24"/>
          <w:szCs w:val="24"/>
        </w:rPr>
        <w:t xml:space="preserve"> occurrence of adverse neurological outcomes.</w:t>
      </w:r>
    </w:p>
    <w:p w14:paraId="277F8F91" w14:textId="2FB0691A" w:rsidR="00117637" w:rsidRPr="00076637" w:rsidRDefault="0030406D"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 xml:space="preserve">For the outcome of </w:t>
      </w:r>
      <w:r w:rsidR="00D57C7E" w:rsidRPr="00076637">
        <w:rPr>
          <w:rFonts w:ascii="Times New Roman" w:eastAsia="Times New Roman" w:hAnsi="Times New Roman" w:cs="Times New Roman"/>
          <w:sz w:val="24"/>
          <w:szCs w:val="24"/>
        </w:rPr>
        <w:t xml:space="preserve">osmolarity, a meta-analysis of two studies including post-operative patients and septic patients suffering from meningitis </w:t>
      </w:r>
      <w:r w:rsidR="004C0749"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{"citationID":"8aDG8k6T","properties":{"formattedCitation":"[38, 39]","plainCitation":"[38, 39]","noteIndex":0},"citationItems":[{"id":"7qGQlw7Y/ehLhNvV0","uris":["http://zotero.org/users/874466/items/5HEP5JNV"],"itemData":{"id":36115,"type":"article-journal","abstract":"OBJECTIVES: To determine the importance of sodium content versus administration rate  of intravenous fluids in the development of hyponatremia in postoperative children.  STUDY DESIGN: In this prospective, randomized, nonblinded study, 124 children  admitted for surgery received 0.9% (NS) or 0.45% (N/2) saline solution at 100% or  50% maintenance rates. Plasma electrolytes, osmolality, and ADH at induction of  anesthesia were compared with values 8 hours (T(8)), and 24 hours (T(24); n = 67)  after surgery. Blood glucose and ketones were measured every 4 hours. Electrolytes  and osmolality were measured in urine samples. RESULTS: Plasma sodium concentrations  fell in both N/2 groups at T(8) (100%: -1.5 +/- 2.3 mmol/L 50%: -1.9 +/- 2.0 mmol/L;  P &lt; .01) with hyponatremia more common than in the NS groups at T(8) (30% vs 10%; P  = .02) but not T(24). Median plasma antidiuretic hormone concentrations increased 2-  to 4-fold during surgery (P &lt; or = .001) and only reattained levels at induction of  anesthesia by T(24) in the N/2 100% group. On multiple linear regression analysis,  fluid type, not rate determined risk of hyponatremia (P &lt; .04). Two children on 100%  developed SIADH (1NS). Fourteen (23%; 7NS) on 50% maintenance were assessed as  dehydrated. Dextrose content was increased in 18 for hypoglycemia or ketosis.  CONCLUSIONS: The risk of hyponatremia was decreased by isotonic saline solution but  not fluid restriction.","archive_location":"rayyan-119340837","container-title":"The Journal of pediatrics","ISSN":"1097-6833 0022-3476","issue":"2","journalAbbreviation":"J Pediatr","language":"eng","page":"313-319.e1-2","title":"Prevention of hyponatremia during maintenance intravenous fluid administration: a  prospective randomized study of fluid type versus fluid rate.","volume":"156","author":[{"family":"Neville","given":"Kristen A."},{"family":"Sandeman","given":"David J."},{"family":"Rubinstein","given":"Alan"},{"family":"Henry","given":"Guy M."},{"family":"McGlynn","given":"Michael"},{"family":"Walker","given":"Jan L."}],"issued":{"date-parts":[["2010"]]}},"label":"page"},{"id":"7qGQlw7Y/dL9sED7Y","uris":["http://zotero.org/users/874466/items/G9BWK4M2"],"itemData":{"id":36131,"type":"article-journal","abstract":"The objective of this prospective study was to examine the effect of fluid  restriction on body water and the outcome of children with acute meningitis. Fifty  consecutively hospitalized children with acute meningitis, divided into two groups  (A, without hyponatremia; and B, with hyponatremia), were randomly assigned to  receive either normal maintenance (M) or restricted (R subgroup) (65 to 70% of M  subgroup) fluids during the first 48 hours. Total body water, extracellular water  (ECW), serum and urinary sodium and plasma and urinary osmolality were measured at  admission and after 48 hours. In both groups children receiving restricted fluids  showed a significant decrease in the mean total body water and ECW whereas body  water remained unchanged in those on maintenance fluids. Children having an ECW  reduction of 10 ml/kg or more in 48 hours had a significantly lower intact survival  (10 of 28, 36%) than those with &lt; 10 ml/kg or no reduction of ECW (15 of 22, 64%) (P  &lt; 0.05). The mortality was also higher in the former (7 of 28, 25%) than in the  latter (2 of 22, 9%). On multiple stepwise regression analysis, ECW volume at  admission (partial r2 0.20), ECW loss in 48 hours (partial r2 0.13) and plasma  osmolality at admission (partial r2 0.22) were significantly related to outcome. We  conclude that fluid restriction does not improve the outcome of acute meningitis.  Indeed a decrease in ECW volume at 48 hours increases the likelihood of adverse  outcome.","archive_location":"rayyan-119341184","container-title":"The Pediatric infectious disease journal","ISSN":"0891-3668 0891-3668","issue":"6","journalAbbreviation":"Pediatr Infect Dis J","language":"eng","page":"495-503","title":"Fluid restriction does not improve the outcome of acute meningitis.","volume":"14","author":[{"family":"Singhi","given":"S. C."},{"family":"Singhi","given":"P. D."},{"family":"Srinivas","given":"B."},{"family":"Narakesri","given":"H. P."},{"family":"Ganguli","given":"N. K."},{"family":"Sialy","given":"R."},{"family":"Walia","given":"B. N."}],"issued":{"date-parts":[["1995"]]}},"label":"page"}],"schema":"https://github.com/citation-style-language/schema/raw/master/csl-citation.json"} </w:instrText>
      </w:r>
      <w:r w:rsidR="004C0749"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[38, 39]</w:t>
      </w:r>
      <w:r w:rsidR="004C0749"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show</w:t>
      </w:r>
      <w:r w:rsidRPr="00076637">
        <w:rPr>
          <w:rFonts w:ascii="Times New Roman" w:eastAsia="Times New Roman" w:hAnsi="Times New Roman" w:cs="Times New Roman"/>
          <w:sz w:val="24"/>
          <w:szCs w:val="24"/>
        </w:rPr>
        <w:t>ed</w:t>
      </w:r>
      <w:r w:rsidR="00D57C7E" w:rsidRPr="00076637">
        <w:rPr>
          <w:rFonts w:ascii="Times New Roman" w:eastAsia="Times New Roman" w:hAnsi="Times New Roman" w:cs="Times New Roman"/>
          <w:sz w:val="24"/>
          <w:szCs w:val="24"/>
        </w:rPr>
        <w:t xml:space="preserve"> a trend towards a higher osmolarity when using a restrictive </w:t>
      </w:r>
      <w:r w:rsidRPr="00076637">
        <w:rPr>
          <w:rFonts w:ascii="Times New Roman" w:eastAsia="Times New Roman" w:hAnsi="Times New Roman" w:cs="Times New Roman"/>
          <w:sz w:val="24"/>
          <w:szCs w:val="24"/>
        </w:rPr>
        <w:t>IV</w:t>
      </w:r>
      <w:r w:rsidR="009F2A2F" w:rsidRPr="00076637">
        <w:rPr>
          <w:rFonts w:ascii="Times New Roman" w:eastAsia="Times New Roman" w:hAnsi="Times New Roman" w:cs="Times New Roman"/>
          <w:sz w:val="24"/>
          <w:szCs w:val="24"/>
        </w:rPr>
        <w:t>-M</w:t>
      </w:r>
      <w:r w:rsidRPr="00076637">
        <w:rPr>
          <w:rFonts w:ascii="Times New Roman" w:eastAsia="Times New Roman" w:hAnsi="Times New Roman" w:cs="Times New Roman"/>
          <w:sz w:val="24"/>
          <w:szCs w:val="24"/>
        </w:rPr>
        <w:t xml:space="preserve">FT </w:t>
      </w:r>
      <w:r w:rsidR="00D57C7E" w:rsidRPr="00076637">
        <w:rPr>
          <w:rFonts w:ascii="Times New Roman" w:eastAsia="Times New Roman" w:hAnsi="Times New Roman" w:cs="Times New Roman"/>
          <w:sz w:val="24"/>
          <w:szCs w:val="24"/>
        </w:rPr>
        <w:t xml:space="preserve">strategy (OR=2.05 95% CI [-0.20; 4.30], p=0.07). A significant change in osmolarity in </w:t>
      </w:r>
      <w:proofErr w:type="spellStart"/>
      <w:r w:rsidR="002E0D29" w:rsidRPr="00076637">
        <w:rPr>
          <w:rFonts w:ascii="Times New Roman" w:eastAsia="Times New Roman" w:hAnsi="Times New Roman" w:cs="Times New Roman"/>
          <w:sz w:val="24"/>
          <w:szCs w:val="24"/>
        </w:rPr>
        <w:t>favour</w:t>
      </w:r>
      <w:proofErr w:type="spellEnd"/>
      <w:r w:rsidR="00D57C7E" w:rsidRPr="00076637">
        <w:rPr>
          <w:rFonts w:ascii="Times New Roman" w:eastAsia="Times New Roman" w:hAnsi="Times New Roman" w:cs="Times New Roman"/>
          <w:sz w:val="24"/>
          <w:szCs w:val="24"/>
        </w:rPr>
        <w:t xml:space="preserve"> of </w:t>
      </w:r>
      <w:r w:rsidR="00F430D4" w:rsidRPr="00076637">
        <w:rPr>
          <w:rFonts w:ascii="Times New Roman" w:eastAsia="Times New Roman" w:hAnsi="Times New Roman" w:cs="Times New Roman"/>
          <w:sz w:val="24"/>
          <w:szCs w:val="24"/>
        </w:rPr>
        <w:t xml:space="preserve">the </w:t>
      </w:r>
      <w:r w:rsidR="00D57C7E" w:rsidRPr="00076637">
        <w:rPr>
          <w:rFonts w:ascii="Times New Roman" w:eastAsia="Times New Roman" w:hAnsi="Times New Roman" w:cs="Times New Roman"/>
          <w:sz w:val="24"/>
          <w:szCs w:val="24"/>
        </w:rPr>
        <w:t>restrictive strategy was also observed [mean difference= 4.70 95% CI [1.55; 7.84], p=0.003) both in acute</w:t>
      </w:r>
      <w:r w:rsidR="00F430D4" w:rsidRPr="00076637">
        <w:rPr>
          <w:rFonts w:ascii="Times New Roman" w:eastAsia="Times New Roman" w:hAnsi="Times New Roman" w:cs="Times New Roman"/>
          <w:sz w:val="24"/>
          <w:szCs w:val="24"/>
        </w:rPr>
        <w:t>ly ill</w:t>
      </w:r>
      <w:r w:rsidR="00D57C7E" w:rsidRPr="00076637">
        <w:rPr>
          <w:rFonts w:ascii="Times New Roman" w:eastAsia="Times New Roman" w:hAnsi="Times New Roman" w:cs="Times New Roman"/>
          <w:sz w:val="24"/>
          <w:szCs w:val="24"/>
        </w:rPr>
        <w:t xml:space="preserve"> </w:t>
      </w:r>
      <w:r w:rsidR="002E0D29"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{"citationID":"WWj15O26","properties":{"formattedCitation":"[39]","plainCitation":"[39]","noteIndex":0},"citationItems":[{"id":"7qGQlw7Y/dL9sED7Y","uris":["http://zotero.org/users/874466/items/G9BWK4M2"],"itemData":{"id":36131,"type":"article-journal","abstract":"The objective of this prospective study was to examine the effect of fluid  restriction on body water and the outcome of children with acute meningitis. Fifty  consecutively hospitalized children with acute meningitis, divided into two groups  (A, without hyponatremia; and B, with hyponatremia), were randomly assigned to  receive either normal maintenance (M) or restricted (R subgroup) (65 to 70% of M  subgroup) fluids during the first 48 hours. Total body water, extracellular water  (ECW), serum and urinary sodium and plasma and urinary osmolality were measured at  admission and after 48 hours. In both groups children receiving restricted fluids  showed a significant decrease in the mean total body water and ECW whereas body  water remained unchanged in those on maintenance fluids. Children having an ECW  reduction of 10 ml/kg or more in 48 hours had a significantly lower intact survival  (10 of 28, 36%) than those with &lt; 10 ml/kg or no reduction of ECW (15 of 22, 64%) (P  &lt; 0.05). The mortality was also higher in the former (7 of 28, 25%) than in the  latter (2 of 22, 9%). On multiple stepwise regression analysis, ECW volume at  admission (partial r2 0.20), ECW loss in 48 hours (partial r2 0.13) and plasma  osmolality at admission (partial r2 0.22) were significantly related to outcome. We  conclude that fluid restriction does not improve the outcome of acute meningitis.  Indeed a decrease in ECW volume at 48 hours increases the likelihood of adverse  outcome.","archive_location":"rayyan-119341184","container-title":"The Pediatric infectious disease journal","ISSN":"0891-3668 0891-3668","issue":"6","journalAbbreviation":"Pediatr Infect Dis J","language":"eng","page":"495-503","title":"Fluid restriction does not improve the outcome of acute meningitis.","volume":"14","author":[{"family":"Singhi","given":"S. C."},{"family":"Singhi","given":"P. D."},{"family":"Srinivas","given":"B."},{"family":"Narakesri","given":"H. P."},{"family":"Ganguli","given":"N. K."},{"family":"Sialy","given":"R."},{"family":"Walia","given":"B. N."}],"issued":{"date-parts":[["1995"]]}}}],"schema":"https://github.com/citation-style-language/schema/raw/master/csl-citation.json"} </w:instrText>
      </w:r>
      <w:r w:rsidR="002E0D29"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[39]</w:t>
      </w:r>
      <w:r w:rsidR="002E0D29"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and critical</w:t>
      </w:r>
      <w:r w:rsidR="00F430D4" w:rsidRPr="00076637">
        <w:rPr>
          <w:rFonts w:ascii="Times New Roman" w:eastAsia="Times New Roman" w:hAnsi="Times New Roman" w:cs="Times New Roman"/>
          <w:sz w:val="24"/>
          <w:szCs w:val="24"/>
        </w:rPr>
        <w:t xml:space="preserve">ly ill </w:t>
      </w:r>
      <w:r w:rsidR="00361CA0" w:rsidRPr="00076637">
        <w:rPr>
          <w:rFonts w:ascii="Times New Roman" w:eastAsia="Times New Roman" w:hAnsi="Times New Roman" w:cs="Times New Roman"/>
          <w:sz w:val="24"/>
          <w:szCs w:val="24"/>
        </w:rPr>
        <w:t xml:space="preserve">patients </w:t>
      </w:r>
      <w:r w:rsidR="000C130E"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{"citationID":"jup92WP6","properties":{"formattedCitation":"[36]","plainCitation":"[36]","noteIndex":0},"citationItems":[{"id":"7qGQlw7Y/EvbwSWZK","uris":["http://zotero.org/users/874466/items/2S4R5K8N"],"itemData":{"id":35681,"type":"article-journal","abstract":"AIM: Traditional paediatric intravenous maintenance fluids are prescribed using hypotonic fluids and the weight‐based 4:2:1 formula for administration rate. However, this may cause hyponatraemia in sick and post‐operative children. We studied the effect of two types of intravenous maintenance fluid and two administration rates on plasma sodium concentration in intensive care patients. METHODS: A Factorial‐design, double‐blind, randomised controlled trial was used. We randomised 50 children with normal electrolytes without hypoglycaemia who needed intravenous maintenance fluids for &gt;12 h to 0.9% saline (normal saline) or 4% dextrose and 0.18% saline (dextrose saline), at either the traditional maintenance fluid rate or 2/3 of that rate. The main outcome measure was change in plasma sodium from admission to 12‐24 h later. RESULTS: Fifty patients (37 surgical) were enrolled. Plasma sodium fell in all groups: mean fall 2.3 (standard deviation 4.0) mmol/L. Fluid type (P = 0.0063) but not rate (P = 0.12) was significantly associated with fall in plasma sodium. Dextrose saline produced a greater fall in plasma sodium than normal saline: difference 3.0, 95% confidence interval 0.8‐5.1 mmol/L. Full maintenance rate produced a greater fall in plasma sodium than restricted rate, but the difference was small and non‐significant: 1.6 (‐0.7, 3.9) mmol/L. Fluid type, but not rate, remained significant after adjustment for surgical status. One patient, receiving normal saline at restricted rate, developed asymptomatic hypoglycaemia. CONCLUSION: Sick and post‐operative children given dextrose saline at traditional maintenance rates are at risk of hyponatraemia.","archive_location":"rayyan-119344140","container-title":"Journal of paediatrics and child health","issue":"1","journalAbbreviation":"Journal of paediatrics and child health","page":"9-14","title":"Randomised controlled trial of intravenous maintenance fluids","volume":"45","author":[{"family":"Yung","given":"M"},{"family":"Keeley","given":"S"}],"issued":{"date-parts":[["2009"]]}}}],"schema":"https://github.com/citation-style-language/schema/raw/master/csl-citation.json"} </w:instrText>
      </w:r>
      <w:r w:rsidR="000C130E"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[36]</w:t>
      </w:r>
      <w:r w:rsidR="000C130E"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As expected, a restrictive strategy was significantly associated with a lower fluid intake (mean difference= -0. 95 95% CI [-1.38; -0.52], p&lt;0.001) in the PICU </w:t>
      </w:r>
      <w:r w:rsidR="00BB1A93"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{"citationID":"2EkeYgAm","properties":{"formattedCitation":"[36]","plainCitation":"[36]","noteIndex":0},"citationItems":[{"id":"7qGQlw7Y/EvbwSWZK","uris":["http://zotero.org/users/874466/items/2S4R5K8N"],"itemData":{"id":35681,"type":"article-journal","abstract":"AIM: Traditional paediatric intravenous maintenance fluids are prescribed using hypotonic fluids and the weight‐based 4:2:1 formula for administration rate. However, this may cause hyponatraemia in sick and post‐operative children. We studied the effect of two types of intravenous maintenance fluid and two administration rates on plasma sodium concentration in intensive care patients. METHODS: A Factorial‐design, double‐blind, randomised controlled trial was used. We randomised 50 children with normal electrolytes without hypoglycaemia who needed intravenous maintenance fluids for &gt;12 h to 0.9% saline (normal saline) or 4% dextrose and 0.18% saline (dextrose saline), at either the traditional maintenance fluid rate or 2/3 of that rate. The main outcome measure was change in plasma sodium from admission to 12‐24 h later. RESULTS: Fifty patients (37 surgical) were enrolled. Plasma sodium fell in all groups: mean fall 2.3 (standard deviation 4.0) mmol/L. Fluid type (P = 0.0063) but not rate (P = 0.12) was significantly associated with fall in plasma sodium. Dextrose saline produced a greater fall in plasma sodium than normal saline: difference 3.0, 95% confidence interval 0.8‐5.1 mmol/L. Full maintenance rate produced a greater fall in plasma sodium than restricted rate, but the difference was small and non‐significant: 1.6 (‐0.7, 3.9) mmol/L. Fluid type, but not rate, remained significant after adjustment for surgical status. One patient, receiving normal saline at restricted rate, developed asymptomatic hypoglycaemia. CONCLUSION: Sick and post‐operative children given dextrose saline at traditional maintenance rates are at risk of hyponatraemia.","archive_location":"rayyan-119344140","container-title":"Journal of paediatrics and child health","issue":"1","journalAbbreviation":"Journal of paediatrics and child health","page":"9-14","title":"Randomised controlled trial of intravenous maintenance fluids","volume":"45","author":[{"family":"Yung","given":"M"},{"family":"Keeley","given":"S"}],"issued":{"date-parts":[["2009"]]}}}],"schema":"https://github.com/citation-style-language/schema/raw/master/csl-citation.json"} </w:instrText>
      </w:r>
      <w:r w:rsidR="00BB1A93"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[36]</w:t>
      </w:r>
      <w:r w:rsidR="00BB1A93" w:rsidRPr="00076637">
        <w:rPr>
          <w:rFonts w:ascii="Times New Roman" w:eastAsia="Times New Roman" w:hAnsi="Times New Roman" w:cs="Times New Roman"/>
          <w:sz w:val="24"/>
          <w:szCs w:val="24"/>
        </w:rPr>
        <w:fldChar w:fldCharType="end"/>
      </w:r>
      <w:r w:rsidR="00D57C7E" w:rsidRPr="00076637">
        <w:rPr>
          <w:rFonts w:ascii="Times New Roman" w:eastAsia="Times New Roman" w:hAnsi="Times New Roman" w:cs="Times New Roman"/>
          <w:sz w:val="24"/>
          <w:szCs w:val="24"/>
        </w:rPr>
        <w:t xml:space="preserve"> and in non-critical surgical and medical </w:t>
      </w:r>
      <w:r w:rsidR="00BB1A93"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{"citationID":"8MoIeNLD","properties":{"formattedCitation":"[37]","plainCitation":"[37]","noteIndex":0},"citationItems":[{"id":"7qGQlw7Y/T32zwR6W","uris":["http://zotero.org/users/874466/items/67WBPE44"],"itemData":{"id":36109,"type":"article-journal","abstract":"The aim of this study was to compare the effect of three different intravenous (i.v.) fluid regimes on the incidence of hyponatraemia in hospitalized children ranging in age from 3 months to 12 years. Children who required the administration of i.v. maintenance fluid for at least 24 h following hospitalization were eligible for inclusion. The children were randomized to three i.v. fluid groups: Group A, 0.9% saline in 5% dextrose at the standard maintenance rate; Group B, 0.18% saline in 5% dextrose at the standard maintenance rate; Group C, 0.18% saline in 5% dextrose at two-thirds of the standard maintenance rate. The primary outcome measure was incidence of hyponatraemia (plasma sodium &lt; 130 mEq/L). Of the 167 patients enrolled, 58, 56 and 53 patients were randomized to Group A, B and C, respectively. We observed that 14.3% (8/56) of the children administered 0.18% saline in 5% dextrose at the standard maintenance rate (Group B) developed hyponatraemia compared with 1.72% of the children in Group A and 3.8% of those in Group C. Based on these results, we conclude that the administration of 0.9% saline in 5% dextrose as i.v. maintenance fluid helps in reducing the incidence of hospital-acquired hyponatraemia among children. © 2010 IPNA.","archive_location":"rayyan-119344088","container-title":"Pediatric Nephrology","ISSN":"0931041X","issue":"11","language":"English","page":"2303-2309","title":"Intravenous fluid regimen and hyponatraemia among children: A randomized controlled trial","volume":"25","author":[{"family":"Kannan","given":"L."},{"family":"Lodha","given":"R."},{"family":"Vivekanandhan","given":"S."},{"family":"Bagga","given":"A."},{"family":"Kabra","given":"S.K."},{"family":"Kabra","given":"M."}],"issued":{"date-parts":[["2010"]]}}}],"schema":"https://github.com/citation-style-language/schema/raw/master/csl-citation.json"} </w:instrText>
      </w:r>
      <w:r w:rsidR="00BB1A93" w:rsidRPr="00076637">
        <w:rPr>
          <w:rFonts w:ascii="Times New Roman" w:eastAsia="Times New Roman" w:hAnsi="Times New Roman" w:cs="Times New Roman"/>
          <w:sz w:val="24"/>
          <w:szCs w:val="24"/>
        </w:rPr>
        <w:fldChar w:fldCharType="separate"/>
      </w:r>
      <w:r w:rsidR="00F71D23" w:rsidRPr="00076637">
        <w:rPr>
          <w:rFonts w:ascii="Times New Roman" w:hAnsi="Times New Roman" w:cs="Times New Roman"/>
          <w:sz w:val="24"/>
        </w:rPr>
        <w:t>[37]</w:t>
      </w:r>
      <w:r w:rsidR="00BB1A93" w:rsidRPr="00076637">
        <w:rPr>
          <w:rFonts w:ascii="Times New Roman" w:eastAsia="Times New Roman" w:hAnsi="Times New Roman" w:cs="Times New Roman"/>
          <w:sz w:val="24"/>
          <w:szCs w:val="24"/>
        </w:rPr>
        <w:fldChar w:fldCharType="end"/>
      </w:r>
      <w:r w:rsidR="008D4723" w:rsidRPr="00076637">
        <w:rPr>
          <w:rFonts w:ascii="Times New Roman" w:eastAsia="Times New Roman" w:hAnsi="Times New Roman" w:cs="Times New Roman"/>
          <w:sz w:val="24"/>
          <w:szCs w:val="24"/>
        </w:rPr>
        <w:t xml:space="preserve"> </w:t>
      </w:r>
      <w:r w:rsidR="00D57C7E" w:rsidRPr="00076637">
        <w:rPr>
          <w:rFonts w:ascii="Times New Roman" w:eastAsia="Times New Roman" w:hAnsi="Times New Roman" w:cs="Times New Roman"/>
          <w:sz w:val="24"/>
          <w:szCs w:val="24"/>
        </w:rPr>
        <w:t xml:space="preserve">children without an increase additional fluid boluses. For </w:t>
      </w:r>
      <w:r w:rsidR="00F430D4" w:rsidRPr="00076637">
        <w:rPr>
          <w:rFonts w:ascii="Times New Roman" w:eastAsia="Times New Roman" w:hAnsi="Times New Roman" w:cs="Times New Roman"/>
          <w:sz w:val="24"/>
          <w:szCs w:val="24"/>
        </w:rPr>
        <w:t xml:space="preserve">the </w:t>
      </w:r>
      <w:r w:rsidR="00D57C7E" w:rsidRPr="00076637">
        <w:rPr>
          <w:rFonts w:ascii="Times New Roman" w:eastAsia="Times New Roman" w:hAnsi="Times New Roman" w:cs="Times New Roman"/>
          <w:sz w:val="24"/>
          <w:szCs w:val="24"/>
        </w:rPr>
        <w:t xml:space="preserve">other outcomes that were relevant for this </w:t>
      </w:r>
      <w:r w:rsidR="00F430D4" w:rsidRPr="00076637">
        <w:rPr>
          <w:rFonts w:ascii="Times New Roman" w:eastAsia="Times New Roman" w:hAnsi="Times New Roman" w:cs="Times New Roman"/>
          <w:sz w:val="24"/>
          <w:szCs w:val="24"/>
        </w:rPr>
        <w:t xml:space="preserve">question </w:t>
      </w:r>
      <w:r w:rsidR="00D57C7E" w:rsidRPr="00076637">
        <w:rPr>
          <w:rFonts w:ascii="Times New Roman" w:eastAsia="Times New Roman" w:hAnsi="Times New Roman" w:cs="Times New Roman"/>
          <w:sz w:val="24"/>
          <w:szCs w:val="24"/>
        </w:rPr>
        <w:t xml:space="preserve">(length of stay, length of ventilation, mortality), we were not able to </w:t>
      </w:r>
      <w:r w:rsidR="00456DF3" w:rsidRPr="00076637">
        <w:rPr>
          <w:rFonts w:ascii="Times New Roman" w:eastAsia="Times New Roman" w:hAnsi="Times New Roman" w:cs="Times New Roman"/>
          <w:sz w:val="24"/>
          <w:szCs w:val="24"/>
        </w:rPr>
        <w:t>perform meta</w:t>
      </w:r>
      <w:r w:rsidR="00D57C7E" w:rsidRPr="00076637">
        <w:rPr>
          <w:rFonts w:ascii="Times New Roman" w:eastAsia="Times New Roman" w:hAnsi="Times New Roman" w:cs="Times New Roman"/>
          <w:sz w:val="24"/>
          <w:szCs w:val="24"/>
        </w:rPr>
        <w:t>-analys</w:t>
      </w:r>
      <w:r w:rsidR="00EB35CD" w:rsidRPr="00076637">
        <w:rPr>
          <w:rFonts w:ascii="Times New Roman" w:eastAsia="Times New Roman" w:hAnsi="Times New Roman" w:cs="Times New Roman"/>
          <w:sz w:val="24"/>
          <w:szCs w:val="24"/>
        </w:rPr>
        <w:t>e</w:t>
      </w:r>
      <w:r w:rsidR="00D57C7E" w:rsidRPr="00076637">
        <w:rPr>
          <w:rFonts w:ascii="Times New Roman" w:eastAsia="Times New Roman" w:hAnsi="Times New Roman" w:cs="Times New Roman"/>
          <w:sz w:val="24"/>
          <w:szCs w:val="24"/>
        </w:rPr>
        <w:t xml:space="preserve">s. </w:t>
      </w:r>
    </w:p>
    <w:p w14:paraId="7F1F736E" w14:textId="231F6CA4" w:rsidR="00327431" w:rsidRPr="00076637" w:rsidRDefault="00D57C7E" w:rsidP="00456DF3">
      <w:pPr>
        <w:pStyle w:val="Titre1"/>
        <w:rPr>
          <w:color w:val="767171"/>
        </w:rPr>
      </w:pPr>
      <w:r w:rsidRPr="00076637">
        <w:rPr>
          <w:rFonts w:eastAsia="Arial"/>
        </w:rPr>
        <w:t xml:space="preserve">Volume of evidence, Applicability, </w:t>
      </w:r>
      <w:r w:rsidR="00F430D4" w:rsidRPr="00076637">
        <w:rPr>
          <w:rFonts w:eastAsia="Arial"/>
        </w:rPr>
        <w:t>Generalisability, Consistency</w:t>
      </w:r>
      <w:r w:rsidRPr="00076637">
        <w:rPr>
          <w:rFonts w:eastAsia="Arial"/>
        </w:rPr>
        <w:t xml:space="preserve"> and Clinical impact </w:t>
      </w:r>
    </w:p>
    <w:p w14:paraId="277F8F9B" w14:textId="289A8466" w:rsidR="00117637" w:rsidRPr="00076637" w:rsidRDefault="00D57C7E" w:rsidP="00456DF3">
      <w:pPr>
        <w:spacing w:line="360" w:lineRule="auto"/>
        <w:jc w:val="both"/>
        <w:rPr>
          <w:rFonts w:ascii="Times New Roman" w:eastAsia="Times New Roman" w:hAnsi="Times New Roman" w:cs="Times New Roman"/>
          <w:sz w:val="24"/>
          <w:szCs w:val="24"/>
        </w:rPr>
      </w:pPr>
      <w:r w:rsidRPr="00076637">
        <w:rPr>
          <w:rFonts w:ascii="Times New Roman" w:eastAsia="Times New Roman" w:hAnsi="Times New Roman" w:cs="Times New Roman"/>
          <w:sz w:val="24"/>
          <w:szCs w:val="24"/>
        </w:rPr>
        <w:t xml:space="preserve">This review has revealed a paucity of robust and non-confounded research evidence to adequately evaluate the use of restrictive IV-MFT compared to standard Holliday-Segar formula volumes. This evidence also </w:t>
      </w:r>
      <w:r w:rsidR="00327431" w:rsidRPr="00076637">
        <w:rPr>
          <w:rFonts w:ascii="Times New Roman" w:eastAsia="Times New Roman" w:hAnsi="Times New Roman" w:cs="Times New Roman"/>
          <w:sz w:val="24"/>
          <w:szCs w:val="24"/>
        </w:rPr>
        <w:t>included critically</w:t>
      </w:r>
      <w:r w:rsidRPr="00076637">
        <w:rPr>
          <w:rFonts w:ascii="Times New Roman" w:eastAsia="Times New Roman" w:hAnsi="Times New Roman" w:cs="Times New Roman"/>
          <w:sz w:val="24"/>
          <w:szCs w:val="24"/>
        </w:rPr>
        <w:t xml:space="preserve"> ill (n=2) </w:t>
      </w:r>
      <w:r w:rsidR="00B5359A" w:rsidRPr="00076637">
        <w:rPr>
          <w:rFonts w:ascii="Times New Roman" w:eastAsia="Times New Roman" w:hAnsi="Times New Roman" w:cs="Times New Roman"/>
          <w:sz w:val="24"/>
          <w:szCs w:val="24"/>
        </w:rPr>
        <w:t>and</w:t>
      </w:r>
      <w:r w:rsidRPr="00076637">
        <w:rPr>
          <w:rFonts w:ascii="Times New Roman" w:eastAsia="Times New Roman" w:hAnsi="Times New Roman" w:cs="Times New Roman"/>
          <w:sz w:val="24"/>
          <w:szCs w:val="24"/>
        </w:rPr>
        <w:t xml:space="preserve"> acutely ill children (n=3). The quality of these papers varied (SIGN</w:t>
      </w:r>
      <w:r w:rsidR="00B5359A" w:rsidRPr="00076637">
        <w:rPr>
          <w:rFonts w:ascii="Times New Roman" w:eastAsia="Times New Roman" w:hAnsi="Times New Roman" w:cs="Times New Roman"/>
          <w:sz w:val="24"/>
          <w:szCs w:val="24"/>
        </w:rPr>
        <w:t xml:space="preserve"> Grading</w:t>
      </w:r>
      <w:r w:rsidRPr="00076637">
        <w:rPr>
          <w:rFonts w:ascii="Times New Roman" w:eastAsia="Times New Roman" w:hAnsi="Times New Roman" w:cs="Times New Roman"/>
          <w:sz w:val="24"/>
          <w:szCs w:val="24"/>
        </w:rPr>
        <w:t xml:space="preserve"> 2- to 1-) with all assessed as having some degree of bias. Due to the heterogeneous cohort of patients included in these studies, some with sepsis, some post-operative</w:t>
      </w:r>
      <w:r w:rsidR="007874D2"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some with bacterial meningitis and others mechanically ventilated, this makes </w:t>
      </w:r>
      <w:proofErr w:type="spellStart"/>
      <w:r w:rsidRPr="00076637">
        <w:rPr>
          <w:rFonts w:ascii="Times New Roman" w:eastAsia="Times New Roman" w:hAnsi="Times New Roman" w:cs="Times New Roman"/>
          <w:sz w:val="24"/>
          <w:szCs w:val="24"/>
        </w:rPr>
        <w:t>generalisability</w:t>
      </w:r>
      <w:proofErr w:type="spellEnd"/>
      <w:r w:rsidRPr="00076637">
        <w:rPr>
          <w:rFonts w:ascii="Times New Roman" w:eastAsia="Times New Roman" w:hAnsi="Times New Roman" w:cs="Times New Roman"/>
          <w:sz w:val="24"/>
          <w:szCs w:val="24"/>
        </w:rPr>
        <w:t xml:space="preserve"> of these research papers </w:t>
      </w:r>
      <w:r w:rsidR="00AA11AE" w:rsidRPr="00076637">
        <w:rPr>
          <w:rFonts w:ascii="Times New Roman" w:eastAsia="Times New Roman" w:hAnsi="Times New Roman" w:cs="Times New Roman"/>
          <w:sz w:val="24"/>
          <w:szCs w:val="24"/>
        </w:rPr>
        <w:t>difficult</w:t>
      </w:r>
      <w:r w:rsidRPr="00076637">
        <w:rPr>
          <w:rFonts w:ascii="Times New Roman" w:eastAsia="Times New Roman" w:hAnsi="Times New Roman" w:cs="Times New Roman"/>
          <w:sz w:val="24"/>
          <w:szCs w:val="24"/>
        </w:rPr>
        <w:t xml:space="preserve"> to apply to the broad range of acute and critically ill children. Indeed, the outcomes used in these papers also varied, making meta-analysis difficult and for some outcomes impossible.</w:t>
      </w:r>
      <w:r w:rsidR="00634F07" w:rsidRPr="00076637">
        <w:rPr>
          <w:rFonts w:ascii="Times New Roman" w:eastAsia="Times New Roman" w:hAnsi="Times New Roman" w:cs="Times New Roman"/>
          <w:sz w:val="24"/>
          <w:szCs w:val="24"/>
        </w:rPr>
        <w:t xml:space="preserve"> </w:t>
      </w:r>
      <w:r w:rsidR="00663C46" w:rsidRPr="00076637">
        <w:rPr>
          <w:rFonts w:ascii="Times New Roman" w:eastAsia="Times New Roman" w:hAnsi="Times New Roman" w:cs="Times New Roman"/>
          <w:sz w:val="24"/>
          <w:szCs w:val="24"/>
        </w:rPr>
        <w:t>However</w:t>
      </w:r>
      <w:r w:rsidR="00634F07" w:rsidRPr="00076637">
        <w:rPr>
          <w:rFonts w:ascii="Times New Roman" w:eastAsia="Times New Roman" w:hAnsi="Times New Roman" w:cs="Times New Roman"/>
          <w:sz w:val="24"/>
          <w:szCs w:val="24"/>
        </w:rPr>
        <w:t>, our PICO question was designed to evaluate the use of a restrictive IV-MFT compared to a standard Holliday-Segar formula volume</w:t>
      </w:r>
      <w:r w:rsidR="00663C46" w:rsidRPr="00076637">
        <w:rPr>
          <w:rFonts w:ascii="Times New Roman" w:eastAsia="Times New Roman" w:hAnsi="Times New Roman" w:cs="Times New Roman"/>
          <w:sz w:val="24"/>
          <w:szCs w:val="24"/>
        </w:rPr>
        <w:t>,</w:t>
      </w:r>
      <w:r w:rsidR="00634F07" w:rsidRPr="00076637">
        <w:rPr>
          <w:rFonts w:ascii="Times New Roman" w:eastAsia="Times New Roman" w:hAnsi="Times New Roman" w:cs="Times New Roman"/>
          <w:sz w:val="24"/>
          <w:szCs w:val="24"/>
        </w:rPr>
        <w:t xml:space="preserve"> and not to evaluate the impact of fluid overload on clinical outcome</w:t>
      </w:r>
      <w:r w:rsidR="00D10758" w:rsidRPr="00076637">
        <w:rPr>
          <w:rFonts w:ascii="Times New Roman" w:eastAsia="Times New Roman" w:hAnsi="Times New Roman" w:cs="Times New Roman"/>
          <w:sz w:val="24"/>
          <w:szCs w:val="24"/>
        </w:rPr>
        <w:t>s</w:t>
      </w:r>
      <w:r w:rsidR="00634F07" w:rsidRPr="00076637">
        <w:rPr>
          <w:rFonts w:ascii="Times New Roman" w:eastAsia="Times New Roman" w:hAnsi="Times New Roman" w:cs="Times New Roman"/>
          <w:sz w:val="24"/>
          <w:szCs w:val="24"/>
        </w:rPr>
        <w:t>.</w:t>
      </w:r>
      <w:r w:rsidRPr="00076637">
        <w:rPr>
          <w:rFonts w:ascii="Times New Roman" w:eastAsia="Times New Roman" w:hAnsi="Times New Roman" w:cs="Times New Roman"/>
          <w:sz w:val="24"/>
          <w:szCs w:val="24"/>
        </w:rPr>
        <w:t xml:space="preserve"> However, the </w:t>
      </w:r>
      <w:r w:rsidR="00B5359A" w:rsidRPr="00076637">
        <w:rPr>
          <w:rFonts w:ascii="Times New Roman" w:eastAsia="Times New Roman" w:hAnsi="Times New Roman" w:cs="Times New Roman"/>
          <w:sz w:val="24"/>
          <w:szCs w:val="24"/>
        </w:rPr>
        <w:t xml:space="preserve">increasing </w:t>
      </w:r>
      <w:r w:rsidRPr="00076637">
        <w:rPr>
          <w:rFonts w:ascii="Times New Roman" w:eastAsia="Times New Roman" w:hAnsi="Times New Roman" w:cs="Times New Roman"/>
          <w:sz w:val="24"/>
          <w:szCs w:val="24"/>
        </w:rPr>
        <w:t>evidence of harm associated with fluid overload, especially in mechanically ventilated children</w:t>
      </w:r>
      <w:r w:rsidR="00634F07" w:rsidRPr="00076637">
        <w:rPr>
          <w:rFonts w:ascii="Times New Roman" w:eastAsia="Times New Roman" w:hAnsi="Times New Roman" w:cs="Times New Roman"/>
          <w:sz w:val="24"/>
          <w:szCs w:val="24"/>
        </w:rPr>
        <w:t xml:space="preserve"> and in cardiac and postoperative cardiac surg</w:t>
      </w:r>
      <w:r w:rsidR="00663C46" w:rsidRPr="00076637">
        <w:rPr>
          <w:rFonts w:ascii="Times New Roman" w:eastAsia="Times New Roman" w:hAnsi="Times New Roman" w:cs="Times New Roman"/>
          <w:sz w:val="24"/>
          <w:szCs w:val="24"/>
        </w:rPr>
        <w:t>ical</w:t>
      </w:r>
      <w:r w:rsidR="00634F07" w:rsidRPr="00076637">
        <w:rPr>
          <w:rFonts w:ascii="Times New Roman" w:eastAsia="Times New Roman" w:hAnsi="Times New Roman" w:cs="Times New Roman"/>
          <w:sz w:val="24"/>
          <w:szCs w:val="24"/>
        </w:rPr>
        <w:t xml:space="preserve"> patients,</w:t>
      </w:r>
      <w:r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lastRenderedPageBreak/>
        <w:t xml:space="preserve">suggests this should be </w:t>
      </w:r>
      <w:r w:rsidR="00663C46" w:rsidRPr="00076637">
        <w:rPr>
          <w:rFonts w:ascii="Times New Roman" w:eastAsia="Times New Roman" w:hAnsi="Times New Roman" w:cs="Times New Roman"/>
          <w:sz w:val="24"/>
          <w:szCs w:val="24"/>
        </w:rPr>
        <w:t xml:space="preserve">strongly </w:t>
      </w:r>
      <w:r w:rsidRPr="00076637">
        <w:rPr>
          <w:rFonts w:ascii="Times New Roman" w:eastAsia="Times New Roman" w:hAnsi="Times New Roman" w:cs="Times New Roman"/>
          <w:sz w:val="24"/>
          <w:szCs w:val="24"/>
        </w:rPr>
        <w:t>avoided</w:t>
      </w:r>
      <w:r w:rsidR="00634F07" w:rsidRPr="00076637">
        <w:rPr>
          <w:rFonts w:ascii="Times New Roman" w:eastAsia="Times New Roman" w:hAnsi="Times New Roman" w:cs="Times New Roman"/>
          <w:sz w:val="24"/>
          <w:szCs w:val="24"/>
        </w:rPr>
        <w:t xml:space="preserve"> </w:t>
      </w:r>
      <w:r w:rsidR="0046376A"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{"citationID":"4OGD5AE3","properties":{"formattedCitation":"[28, 29, 40, 41]","plainCitation":"[28, 29, 40, 41]","noteIndex":0},"citationItems":[{"id":"7qGQlw7Y/MP9Y6FAM","uris":["http://zotero.org/users/874466/items/J67DQGGW"],"itemData":{"id":"7qGQlw7Y/MP9Y6FAM","type":"article-journal","abstract":"OBJECTIVES: A positive fluid balance after cardiac surgery may be associated with poor outcomes; however, previous studies looking at this association have been limited by the number of deaths in the study population. Our primary aim was to determine the relationship between postoperative cumulative fluid balance and mortality in cardiac surgical patients. Secondary aims were to study the association between fluid balance and duration of mechanical ventilation, intensive care and hospital length of stay.\nDESIGN: Case-control study.\nSETTING: A 30-bed multidisciplinary PICU.\nPATIENTS: All patients admitted to the PICU following cardiac surgery from 2010 to 2014.\nINTERVENTIONS: Deaths during PICU admission following cardiac surgery (cases) were matched 1:3 with children who survived to PICU discharge (controls) using the following criteria: age at surgery (within a 20% age range), Risk Adjusted Congenital Heart Surgery (RACHS-1) category, and year of admission.\nMEASUREMENTS AND MAIN RESULTS: Of 1,996 eligible children, 46 died (2.3%) of whom 45 (98%) were successfully matched. Cumulative fluid balance on days 2 and 7 was not associated with PICU mortality. On multivariable analysis, factors associated with mortality were cardiopulmonary bypass time (per 10-min increase, odds ratio [95% CI], 1.06 [1.00-1.12]; p = 0.03), extracorporeal membrane oxygenation requirement within 3 days (46.6 [9.47-230.11]; p &lt; 0.001), peak serum chloride (mmol/L) in the first 48 hours (1.12 [1.01-1.23]), and time to start peritoneal dialysis after surgery (in comparison to no peritoneal dialysis, odds ratio [95% CI] in those started on early peritoneal dialysis was 1.07 [0.33-3.41]; p = 0.90 and in late peritoneal dialysis 3.65 [1.21-10.99]; p = 0.02). Children with cumulative fluid balance greater than or equal to 5% by day 2 spent longer on mechanical ventilation (median [interquartile range], 211 hr [97-539] vs 93 hr [34-225]; p &lt;0.001), in PICU (11 d [8-26] vs 6 [3-13]; p &lt; 0.001) and in hospital (22 d [13-39] vs 14 d [8-30]; p = 0.001).\nCONCLUSIONS: Early fluid overload is not associated with mortality. However, it is associated with increased duration of mechanical ventilation and PICU length of stay. Early peritoneal dialysis commencement (compared with late peritoneal dialysis) after surgery was associated with decreased mortality.","container-title":"Pediatric Critical Care Medicine: A Journal of the Society of Critical Care Medicine and the World Federation of Pediatric Intensive and Critical Care Societies","DOI":"10.1097/PCC.0000000000001170","ISSN":"1529-7535","issue":"7","journalAbbreviation":"Pediatr Crit Care Med","language":"eng","note":"PMID: 28492405","page":"614-622","source":"PubMed","title":"A Case-Control Analysis of Postoperative Fluid Balance and Mortality After Pediatric Cardiac Surgery","volume":"18","author":[{"family":"Delpachitra","given":"Meth R."},{"family":"Namachivayam","given":"Siva P."},{"family":"Millar","given":"Johnny"},{"family":"Delzoppo","given":"Carmel"},{"family":"Butt","given":"Warwick W."}],"issued":{"date-parts":[["2017",7]]}}},{"id":5514,"uris":["http://zotero.org/groups/2688840/items/KRLYRHKK"],"itemData":{"id":5514,"type":"article-journal","abstract":"Background: A common practice in the management of critically ill patients is fluid resuscitation. An excessive administration of fluids can lead to an imbalance in fluid homeostasis and cause fluid overload (FO). In pediatric critical care patients, FO can lead to a multitude of adverse effects and increased risk of morbidity.Objectives: To review the literature highlighting impact of FO on a multitude of outcomes in critically-ill children, causative vs. associative relationship of FO with critical illness and current pediatric fluid management guidelines.Data Sources: A literature search was conducted using PubMed/Medline and Embase databases from the earliest available date until June 2017.Data Extraction: Two authors independently reviewed the titles and abstracts of all articles which were assessed for inclusion. The manuscripts of studies deemed relevant to the objectives of this review were then retrieved and associated reference lists hand-searched.Data Synthesis: Articles were segregated into various categories namely pathophysiology and sequelae of fluid overload, assessment techniques, epidemiology and fluid management. Each author reviewed the selected articles in categories assigned to them. All authors participated in the final review process.Conclusions: Recent evidence has purported a relationship between mortality and FO, which can be validated by prospective RCTs (randomized controlled trials). The current literature demonstrates that “clinically significant” degree of FO could be below 10%. The lack of a standardized method to assess FB (fluid balance) and a universal definition of FO are issues that need to be addressed. To date, the impact of early goal directed therapy and utility of hemodynamic parameters in predicting fluid responsiveness remains underexplored in pediatric resuscitation.","container-title":"Frontiers in Pediatrics","ISSN":"2296-2360","journalAbbreviation":"Frontiers in Pediatrics","title":"Fluid Overload in Critically Ill Children","URL":"https://www.frontiersin.org/articles/10.3389/fped.2018.00306","volume":"6","author":[{"family":"Raina","given":"Rupesh"},{"family":"Sethi","given":"Sidharth Kumar"},{"family":"Wadhwani","given":"Nikita"},{"family":"Vemuganti","given":"Meghana"},{"family":"Krishnappa","given":"Vinod"},{"family":"Bansal","given":"Shyam B."}],"issued":{"date-parts":[["2018"]]}}},{"id":5513,"uris":["http://zotero.org/groups/2688840/items/NKAB54AH"],"itemData":{"id":5513,"type":"article-journal","abstract":"Objectives: \n\nViral-lower respiratory tract disease is common in young children worldwide and is associated with high morbidity. Acute respiratory failure due to viral-lower respiratory tract disease necessitates PICU admission for mechanical ventilation. In critically ill patients in PICU settings, early fluid overload is common and associated with adverse outcomes such as prolonged mechanical ventilation and increased mortality. It is unclear, however, if this also applies to young children with viral-lower respiratory tract disease induced acute respiratory failure. In this study, we aimed to investigate the relation of early fluid overload with adverse outcomes in mechanically ventilated children with viral-lower respiratory tract disease in a retrospective dataset.\n\nDesign:\n\nRetrospective cohort study.\n\nSetting:\n\nSingle, tertiary referral PICU.\n\nPatients:\n\nOne hundred thirty-five children (&lt; 2 yr old) with viral-lower respiratory tract disease requiring mechanical ventilation admitted to the PICU of the Academic Medical Center, Amsterdam between 2008 and 2014.\n\nInterventions:\n\nNone.\n\nMeasurements and Main Results:\n\nThe cumulative fluid balance on day 3 of mechanical ventilation was compared against duration of mechanical ventilation (primary outcome) and daily mean oxygen saturation index (secondary outcome), using uni- and multivariable linear regression. In 132 children, the mean cumulative fluid balance on day 3 was + 97.9 (49.2) mL/kg. Higher cumulative fluid balance on day 3 was associated with a longer duration of mechanical ventilation in multivariable linear regression (β = 0.166; p = 0.048). No association was found between the fluid status and oxygen saturation index during the period of mechanical ventilation.\n\nConclusions:\n\nEarly fluid overload is an independent predictor of prolonged mechanical ventilation in young children with viral-lower respiratory tract disease. This study suggests that avoiding early fluid overload is a potential target to reduce duration of mechanical ventilation in these children. Prospective testing in a clinical trial is warranted to support this hypothesis.","container-title":"Pediatric Critical Care Medicine","ISSN":"1529-7535","issue":"3","title":"Early Fluid Overload Prolongs Mechanical Ventilation in Children With Viral-Lower Respiratory Tract Disease*","URL":"https://journals.lww.com/pccmjournal/Fulltext/2017/03000/Early_Fluid_Overload_Prolongs_Mechanical.21.aspx","volume":"18","author":[{"family":"Ingelse","given":"Sarah A."},{"family":"Wiegers","given":"Hanke M. G."},{"family":"Calis","given":"Job C."},{"family":"Woensel","given":"Job B.","non-dropping-particle":"van"},{"family":"Bem","given":"Reinout A."}],"issued":{"date-parts":[["2017"]]}}},{"id":"7qGQlw7Y/VDuw3L3m","uris":["http://zotero.org/users/874466/items/8GVDRX8R"],"itemData":{"id":"7qGQlw7Y/VDuw3L3m","type":"article-journal","abstract":"OBJECTIVES: Fluid overload is associated with poor PICU outcomes in different populations. Little is known about fluid overload in children undergoing cardiac surgery. We described fluid overload after cardiac surgery, identified risk factors of worse fluid overload and also determined if fluid overload predicts longer length of PICU stay, prolonged mechanical ventilation (length of ventilation) and worse lung function as estimated by the oxygenation index.\nDESIGN: Retrospective cohort study.\nSETTING: Montreal Children's Hospital PICU, Montreal, Canada.\nPATIENTS: Patients 18 years or younger undergoing cardiac surgery (2005-2007).\nINTERVENTIONS: None.\nMEASUREMENTS AND MAIN RESULTS: Cumulative fluid overload % was calculated as [(total fluid in - out in L)/admission weight (kg) × 100] and expressed as PICU peak cumulative fluid overload % throughout admission and PICU day 2 cumulative fluid overload %. Primary outcomes were length of stay and length of ventilation. The secondary outcome was oxygenation index. Fluid overload risk factors were evaluated using stepwise linear regression. Fluid overload-outcome relations were evaluated using stepwise Cox regression (length of stay, length of ventilation) and generalized estimating equations (daily PICU cumulative fluid overload % and oxygenation index repeated measures). There were 193 eligible surgeries. Peak cumulative fluid overload % was 7.4% ± 11.2%. Fluid overload peaked on PICU day 2. Lack of past cardiac surgery (p = 0.04), cyanotic heart disease (p = 0.03), and early postoperative fluids (p = 0.0001) was independently associated with higher day 2 fluid overload %. Day 2 fluid overload % predicted longer length of stay (adjusted hazard ratio, 0.95; 95% CI, 0.92-0.99; p = 0.009) and length of ventilation (adjusted hazard ratio, 0.97; 95% CI, 0.94-0.99; p = 0.03). In patients without cyanotic heart disease, worse daily fluid overload % predicted worse daily oxygenation index.\nCONCLUSION: Fluid overload occurs early after cardiac surgery and is associated with prolonged PICU length of stay and ventilation. Future fluid overload avoidance trials may confirm or refute a true fluid overload-outcome causative association.","container-title":"Critical Care Medicine","DOI":"10.1097/CCM.0000000000000517","ISSN":"1530-0293","issue":"12","journalAbbreviation":"Crit Care Med","language":"eng","note":"PMID: 25072753","page":"2591-2599","source":"PubMed","title":"Extent, risk factors, and outcome of fluid overload after pediatric heart surgery*","volume":"42","author":[{"family":"Seguin","given":"Jade"},{"family":"Albright","given":"Benjamin"},{"family":"Vertullo","given":"Laura"},{"family":"Lai","given":"Pamela"},{"family":"Dancea","given":"Adrian"},{"family":"Bernier","given":"Pierre-Luc"},{"family":"Tchervenkov","given":"Christo I."},{"family":"Calaritis","given":"Christos"},{"family":"Drullinsky","given":"David"},{"family":"Gottesman","given":"Ronald"},{"family":"Zappitelli","given":"Michael"}],"issued":{"date-parts":[["2014",12]]}}}],"schema":"https://github.com/citation-style-language/schema/raw/master/csl-citation.json"} </w:instrText>
      </w:r>
      <w:r w:rsidR="0046376A" w:rsidRPr="00076637">
        <w:rPr>
          <w:rFonts w:ascii="Times New Roman" w:eastAsia="Times New Roman" w:hAnsi="Times New Roman" w:cs="Times New Roman"/>
          <w:sz w:val="24"/>
          <w:szCs w:val="24"/>
        </w:rPr>
        <w:fldChar w:fldCharType="separate"/>
      </w:r>
      <w:r w:rsidR="0046376A" w:rsidRPr="00076637">
        <w:rPr>
          <w:rFonts w:ascii="Times New Roman" w:hAnsi="Times New Roman" w:cs="Times New Roman"/>
          <w:sz w:val="24"/>
        </w:rPr>
        <w:t>[28, 29, 40, 41]</w:t>
      </w:r>
      <w:r w:rsidR="0046376A" w:rsidRPr="00076637">
        <w:rPr>
          <w:rFonts w:ascii="Times New Roman" w:eastAsia="Times New Roman" w:hAnsi="Times New Roman" w:cs="Times New Roman"/>
          <w:sz w:val="24"/>
          <w:szCs w:val="24"/>
        </w:rPr>
        <w:fldChar w:fldCharType="end"/>
      </w:r>
      <w:r w:rsidRPr="00076637">
        <w:rPr>
          <w:rFonts w:ascii="Times New Roman" w:eastAsia="Times New Roman" w:hAnsi="Times New Roman" w:cs="Times New Roman"/>
          <w:sz w:val="24"/>
          <w:szCs w:val="24"/>
        </w:rPr>
        <w:t xml:space="preserve">. </w:t>
      </w:r>
      <w:r w:rsidR="00634F07" w:rsidRPr="00076637">
        <w:rPr>
          <w:rFonts w:ascii="Times New Roman" w:eastAsia="Times New Roman" w:hAnsi="Times New Roman" w:cs="Times New Roman"/>
          <w:sz w:val="24"/>
          <w:szCs w:val="24"/>
        </w:rPr>
        <w:t xml:space="preserve">In this context, the use of a fluid restrictive IV-MFT strategy appeared </w:t>
      </w:r>
      <w:r w:rsidR="00663C46" w:rsidRPr="00076637">
        <w:rPr>
          <w:rFonts w:ascii="Times New Roman" w:eastAsia="Times New Roman" w:hAnsi="Times New Roman" w:cs="Times New Roman"/>
          <w:sz w:val="24"/>
          <w:szCs w:val="24"/>
        </w:rPr>
        <w:t xml:space="preserve">effective in </w:t>
      </w:r>
      <w:r w:rsidR="00634F07" w:rsidRPr="00076637">
        <w:rPr>
          <w:rFonts w:ascii="Times New Roman" w:eastAsia="Times New Roman" w:hAnsi="Times New Roman" w:cs="Times New Roman"/>
          <w:sz w:val="24"/>
          <w:szCs w:val="24"/>
        </w:rPr>
        <w:t xml:space="preserve"> achiev</w:t>
      </w:r>
      <w:r w:rsidR="00663C46" w:rsidRPr="00076637">
        <w:rPr>
          <w:rFonts w:ascii="Times New Roman" w:eastAsia="Times New Roman" w:hAnsi="Times New Roman" w:cs="Times New Roman"/>
          <w:sz w:val="24"/>
          <w:szCs w:val="24"/>
        </w:rPr>
        <w:t xml:space="preserve">ing </w:t>
      </w:r>
      <w:r w:rsidR="00634F07" w:rsidRPr="00076637">
        <w:rPr>
          <w:rFonts w:ascii="Times New Roman" w:eastAsia="Times New Roman" w:hAnsi="Times New Roman" w:cs="Times New Roman"/>
          <w:sz w:val="24"/>
          <w:szCs w:val="24"/>
        </w:rPr>
        <w:t>this objective</w:t>
      </w:r>
      <w:r w:rsidR="0046376A" w:rsidRPr="00076637">
        <w:rPr>
          <w:rFonts w:ascii="Times New Roman" w:eastAsia="Times New Roman" w:hAnsi="Times New Roman" w:cs="Times New Roman"/>
          <w:sz w:val="24"/>
          <w:szCs w:val="24"/>
        </w:rPr>
        <w:fldChar w:fldCharType="begin"/>
      </w:r>
      <w:r w:rsidR="0046376A" w:rsidRPr="00076637">
        <w:rPr>
          <w:rFonts w:ascii="Times New Roman" w:eastAsia="Times New Roman" w:hAnsi="Times New Roman" w:cs="Times New Roman"/>
          <w:sz w:val="24"/>
          <w:szCs w:val="24"/>
        </w:rPr>
        <w:instrText xml:space="preserve"> ADDIN ZOTERO_ITEM CSL_CITATION {"citationID":"48A8ksjj","properties":{"formattedCitation":"[33]","plainCitation":"[33]","noteIndex":0},"citationItems":[{"id":"7qGQlw7Y/1XU3nqfo","uris":["http://zotero.org/users/874466/items/DB8S5257"],"itemData":{"id":"7qGQlw7Y/1XU3nqfo","type":"article-journal","abstract":"Background: Fluid overload (FO) is associated with unfavorable outcomes in critically ill children. Clinicians are encouraged to avoid FO; however, strategies to avoid FO are not well-described in pediatrics. Our aim was to implement a bundle strategy to prevent FO in children with sepsis and pARDS and to compare the outcomes with a historical cohort. Methods: A quality improvement initiative, known as preemptive fluid strategy (PFS) was implemented to prevent early FO, in a 12-bed general PICU. Infants on mechanical ventilation (MV) fulfilling pARDS and sepsis criteria were prospectively recruited. For comparison, data from a historical cohort from 2015, with the same inclusion and exclusion criteria, was retrospectively reviewed. The PFS bundle consisted of 1. maintenance of intravenous fluids (MIVF) at 50% of requirements; 2. drug volume reduction; 3. dynamic monitoring of preload markers to determine the need for fluid bolus administration; 4. early use of diuretics; and 5. early initiation of enteral feeds. The historical cohort treatment, the standard fluid strategy (SFS), were based on physician preferences. Peak fluid overload (PFO) was the primary outcome. PFO was defined as the highest FO during the first 72 h. FO was calculated as (cumulative fluid input - cumulative output)/kg*100. Fluid input/output were registered every 12 h for 72 h. Results: Thirty-seven patients were included in the PFS group (54% male, 6 mo (IQR 2,11)) and 39 with SFS (64%male, 3 mo (IQR1,7)). PFO was lower in PFS (6.31% [IQR4.4-10]) compared to SFS (12% [IQR8.4-15.8]). FO was lower in PFS compared to CFS as early as 12 h after admission [2.4(1.4,3.7) v/s 4.3(1.5,5.5), p &lt; 0.01] and maintained during the study. These differences were due to less fluid input (MIVF and fluid boluses). There were no differences in the renal function test. PRBC requirements were lower during the first 24 h in the PFS (5%) compared to SFS (28%, p &lt; 0.05). MV duration was 81 h (58,98) in PFS and 118 h (85154) in SFS(p &lt; 0.05). PICU LOS in PFS was 5 (4, 7) and in SFS was 8 (6, 10) days. Conclusion: Implementation of a bundle to prevent FO in children on MV with pARDS and sepsis resulted in less PFO. We observed a decrease in MV duration and PICU LOS. Future studies are needed to address if PFS might have a positive impact on health outcomes. © 2018 The Author(s).","archive_location":"rayyan-119343151","container-title":"BMC Pediatrics","ISSN":"14712431","issue":"1","language":"English","title":"Implementation of preemptive fluid strategy as a bundle to prevent fluid overload in children with acute respiratory distress syndrome and sepsis","URL":"https://www.scopus.com/inward/record.uri?eid=2-s2.0-85049129876&amp;doi=10.1186%2fs12887-018-1188-6&amp;partnerID=40&amp;md5=72628273182d26804943da43a2cb5934","volume":"18","author":[{"family":"Díaz","given":"F."},{"family":"Nuñez","given":"M.J."},{"family":"Pino","given":"P."},{"family":"Erranz","given":"B."},{"family":"Cruces","given":"P."}],"issued":{"date-parts":[["2018"]]}}}],"schema":"https://github.com/citation-style-language/schema/raw/master/csl-citation.json"} </w:instrText>
      </w:r>
      <w:r w:rsidR="0046376A" w:rsidRPr="00076637">
        <w:rPr>
          <w:rFonts w:ascii="Times New Roman" w:eastAsia="Times New Roman" w:hAnsi="Times New Roman" w:cs="Times New Roman"/>
          <w:sz w:val="24"/>
          <w:szCs w:val="24"/>
        </w:rPr>
        <w:fldChar w:fldCharType="separate"/>
      </w:r>
      <w:r w:rsidR="0046376A" w:rsidRPr="00076637">
        <w:rPr>
          <w:rFonts w:ascii="Times New Roman" w:hAnsi="Times New Roman" w:cs="Times New Roman"/>
          <w:sz w:val="24"/>
        </w:rPr>
        <w:t>[33]</w:t>
      </w:r>
      <w:r w:rsidR="0046376A" w:rsidRPr="00076637">
        <w:rPr>
          <w:rFonts w:ascii="Times New Roman" w:eastAsia="Times New Roman" w:hAnsi="Times New Roman" w:cs="Times New Roman"/>
          <w:sz w:val="24"/>
          <w:szCs w:val="24"/>
        </w:rPr>
        <w:fldChar w:fldCharType="end"/>
      </w:r>
      <w:r w:rsidR="00634F07" w:rsidRPr="00076637">
        <w:rPr>
          <w:rFonts w:ascii="Times New Roman" w:eastAsia="Times New Roman" w:hAnsi="Times New Roman" w:cs="Times New Roman"/>
          <w:sz w:val="24"/>
          <w:szCs w:val="24"/>
        </w:rPr>
        <w:t xml:space="preserve">. </w:t>
      </w:r>
      <w:r w:rsidRPr="00076637">
        <w:rPr>
          <w:rFonts w:ascii="Times New Roman" w:eastAsia="Times New Roman" w:hAnsi="Times New Roman" w:cs="Times New Roman"/>
          <w:sz w:val="24"/>
          <w:szCs w:val="24"/>
        </w:rPr>
        <w:t xml:space="preserve">Although </w:t>
      </w:r>
      <w:r w:rsidR="00B70F3C" w:rsidRPr="00076637">
        <w:rPr>
          <w:rFonts w:ascii="Times New Roman" w:eastAsia="Times New Roman" w:hAnsi="Times New Roman" w:cs="Times New Roman"/>
          <w:sz w:val="24"/>
          <w:szCs w:val="24"/>
        </w:rPr>
        <w:t xml:space="preserve">some </w:t>
      </w:r>
      <w:r w:rsidRPr="00076637">
        <w:rPr>
          <w:rFonts w:ascii="Times New Roman" w:eastAsia="Times New Roman" w:hAnsi="Times New Roman" w:cs="Times New Roman"/>
          <w:sz w:val="24"/>
          <w:szCs w:val="24"/>
        </w:rPr>
        <w:t xml:space="preserve">restriction of IV-MFT is likely </w:t>
      </w:r>
      <w:r w:rsidR="00283E3D" w:rsidRPr="00076637">
        <w:rPr>
          <w:rFonts w:ascii="Times New Roman" w:eastAsia="Times New Roman" w:hAnsi="Times New Roman" w:cs="Times New Roman"/>
          <w:sz w:val="24"/>
          <w:szCs w:val="24"/>
        </w:rPr>
        <w:t xml:space="preserve">to be </w:t>
      </w:r>
      <w:r w:rsidRPr="00076637">
        <w:rPr>
          <w:rFonts w:ascii="Times New Roman" w:eastAsia="Times New Roman" w:hAnsi="Times New Roman" w:cs="Times New Roman"/>
          <w:sz w:val="24"/>
          <w:szCs w:val="24"/>
        </w:rPr>
        <w:t xml:space="preserve">beneficial in some children, we do not know to what extent </w:t>
      </w:r>
      <w:r w:rsidR="00B70F3C" w:rsidRPr="00076637">
        <w:rPr>
          <w:rFonts w:ascii="Times New Roman" w:eastAsia="Times New Roman" w:hAnsi="Times New Roman" w:cs="Times New Roman"/>
          <w:sz w:val="24"/>
          <w:szCs w:val="24"/>
        </w:rPr>
        <w:t xml:space="preserve">or for </w:t>
      </w:r>
      <w:r w:rsidR="00361CA0" w:rsidRPr="00076637">
        <w:rPr>
          <w:rFonts w:ascii="Times New Roman" w:eastAsia="Times New Roman" w:hAnsi="Times New Roman" w:cs="Times New Roman"/>
          <w:sz w:val="24"/>
          <w:szCs w:val="24"/>
        </w:rPr>
        <w:t>what</w:t>
      </w:r>
      <w:r w:rsidRPr="00076637">
        <w:rPr>
          <w:rFonts w:ascii="Times New Roman" w:eastAsia="Times New Roman" w:hAnsi="Times New Roman" w:cs="Times New Roman"/>
          <w:sz w:val="24"/>
          <w:szCs w:val="24"/>
        </w:rPr>
        <w:t xml:space="preserve"> duration the volume should be restricted below the level of the Holliday and Segar formula. </w:t>
      </w:r>
      <w:r w:rsidR="00F44DA6" w:rsidRPr="00076637">
        <w:rPr>
          <w:rFonts w:ascii="Times New Roman" w:eastAsia="Times New Roman" w:hAnsi="Times New Roman" w:cs="Times New Roman"/>
          <w:sz w:val="24"/>
          <w:szCs w:val="24"/>
        </w:rPr>
        <w:t>Despite this</w:t>
      </w:r>
      <w:r w:rsidR="00442D0A" w:rsidRPr="00076637">
        <w:rPr>
          <w:rFonts w:ascii="Times New Roman" w:eastAsia="Times New Roman" w:hAnsi="Times New Roman" w:cs="Times New Roman"/>
          <w:sz w:val="24"/>
          <w:szCs w:val="24"/>
        </w:rPr>
        <w:t xml:space="preserve">, based on </w:t>
      </w:r>
      <w:r w:rsidR="00F44DA6" w:rsidRPr="00076637">
        <w:rPr>
          <w:rFonts w:ascii="Times New Roman" w:eastAsia="Times New Roman" w:hAnsi="Times New Roman" w:cs="Times New Roman"/>
          <w:sz w:val="24"/>
          <w:szCs w:val="24"/>
        </w:rPr>
        <w:t xml:space="preserve">our </w:t>
      </w:r>
      <w:r w:rsidR="00442D0A" w:rsidRPr="00076637">
        <w:rPr>
          <w:rFonts w:ascii="Times New Roman" w:eastAsia="Times New Roman" w:hAnsi="Times New Roman" w:cs="Times New Roman"/>
          <w:sz w:val="24"/>
          <w:szCs w:val="24"/>
        </w:rPr>
        <w:t>review</w:t>
      </w:r>
      <w:r w:rsidR="004D3168" w:rsidRPr="00076637">
        <w:rPr>
          <w:rFonts w:ascii="Times New Roman" w:eastAsia="Times New Roman" w:hAnsi="Times New Roman" w:cs="Times New Roman"/>
          <w:sz w:val="24"/>
          <w:szCs w:val="24"/>
        </w:rPr>
        <w:t xml:space="preserve"> [</w:t>
      </w:r>
      <w:r w:rsidR="002D5A8C" w:rsidRPr="00076637">
        <w:rPr>
          <w:rFonts w:ascii="Times New Roman" w:eastAsia="Times New Roman" w:hAnsi="Times New Roman" w:cs="Times New Roman"/>
          <w:sz w:val="24"/>
          <w:szCs w:val="24"/>
        </w:rPr>
        <w:t>31-38</w:t>
      </w:r>
      <w:r w:rsidR="00422540" w:rsidRPr="00076637">
        <w:rPr>
          <w:rFonts w:ascii="Times New Roman" w:eastAsia="Times New Roman" w:hAnsi="Times New Roman" w:cs="Times New Roman"/>
          <w:sz w:val="24"/>
          <w:szCs w:val="24"/>
        </w:rPr>
        <w:t>]</w:t>
      </w:r>
      <w:r w:rsidR="004D3168" w:rsidRPr="00076637">
        <w:rPr>
          <w:rFonts w:ascii="Times New Roman" w:eastAsia="Times New Roman" w:hAnsi="Times New Roman" w:cs="Times New Roman"/>
          <w:sz w:val="24"/>
          <w:szCs w:val="24"/>
        </w:rPr>
        <w:t>, previous recommendations</w:t>
      </w:r>
      <w:r w:rsidR="00442D0A" w:rsidRPr="00076637">
        <w:rPr>
          <w:rFonts w:ascii="Times New Roman" w:eastAsia="Times New Roman" w:hAnsi="Times New Roman" w:cs="Times New Roman"/>
          <w:sz w:val="24"/>
          <w:szCs w:val="24"/>
        </w:rPr>
        <w:t xml:space="preserve"> and expert opinion [</w:t>
      </w:r>
      <w:r w:rsidR="00C57A4E" w:rsidRPr="00076637">
        <w:rPr>
          <w:rFonts w:ascii="Times New Roman" w:eastAsia="Times New Roman" w:hAnsi="Times New Roman" w:cs="Times New Roman"/>
          <w:sz w:val="24"/>
          <w:szCs w:val="24"/>
        </w:rPr>
        <w:t>39,40</w:t>
      </w:r>
      <w:r w:rsidR="00442D0A" w:rsidRPr="00076637">
        <w:rPr>
          <w:rFonts w:ascii="Times New Roman" w:eastAsia="Times New Roman" w:hAnsi="Times New Roman" w:cs="Times New Roman"/>
          <w:sz w:val="24"/>
          <w:szCs w:val="24"/>
        </w:rPr>
        <w:t xml:space="preserve">], we </w:t>
      </w:r>
      <w:r w:rsidR="007F77D8" w:rsidRPr="00076637">
        <w:rPr>
          <w:rFonts w:ascii="Times New Roman" w:eastAsia="Times New Roman" w:hAnsi="Times New Roman" w:cs="Times New Roman"/>
          <w:sz w:val="24"/>
          <w:szCs w:val="24"/>
        </w:rPr>
        <w:t>suggest</w:t>
      </w:r>
      <w:r w:rsidR="00442D0A" w:rsidRPr="00076637">
        <w:rPr>
          <w:rFonts w:ascii="Times New Roman" w:eastAsia="Times New Roman" w:hAnsi="Times New Roman" w:cs="Times New Roman"/>
          <w:sz w:val="24"/>
          <w:szCs w:val="24"/>
        </w:rPr>
        <w:t xml:space="preserve"> </w:t>
      </w:r>
      <w:r w:rsidR="004D3168" w:rsidRPr="00076637">
        <w:rPr>
          <w:rFonts w:ascii="Times New Roman" w:eastAsia="Times New Roman" w:hAnsi="Times New Roman" w:cs="Times New Roman"/>
          <w:sz w:val="24"/>
          <w:szCs w:val="24"/>
        </w:rPr>
        <w:t xml:space="preserve">that restricting IV-MFT to </w:t>
      </w:r>
      <w:r w:rsidR="007F77D8" w:rsidRPr="00076637">
        <w:rPr>
          <w:rFonts w:ascii="Times New Roman" w:eastAsia="Times New Roman" w:hAnsi="Times New Roman" w:cs="Times New Roman"/>
          <w:sz w:val="24"/>
          <w:szCs w:val="24"/>
        </w:rPr>
        <w:t xml:space="preserve">between </w:t>
      </w:r>
      <w:r w:rsidR="004D3168" w:rsidRPr="00076637">
        <w:rPr>
          <w:rFonts w:ascii="Times New Roman" w:eastAsia="Times New Roman" w:hAnsi="Times New Roman" w:cs="Times New Roman"/>
          <w:sz w:val="24"/>
          <w:szCs w:val="24"/>
        </w:rPr>
        <w:t xml:space="preserve">65% to 80% </w:t>
      </w:r>
      <w:r w:rsidR="007F77D8" w:rsidRPr="00076637">
        <w:rPr>
          <w:rFonts w:ascii="Times New Roman" w:eastAsia="Times New Roman" w:hAnsi="Times New Roman" w:cs="Times New Roman"/>
          <w:sz w:val="24"/>
          <w:szCs w:val="24"/>
        </w:rPr>
        <w:t>(</w:t>
      </w:r>
      <w:r w:rsidR="004D3168" w:rsidRPr="00076637">
        <w:rPr>
          <w:rFonts w:ascii="Times New Roman" w:eastAsia="Times New Roman" w:hAnsi="Times New Roman" w:cs="Times New Roman"/>
          <w:sz w:val="24"/>
          <w:szCs w:val="24"/>
        </w:rPr>
        <w:t>of the volume calculated by the Holliday and Segar formula</w:t>
      </w:r>
      <w:r w:rsidR="007F77D8" w:rsidRPr="00076637">
        <w:rPr>
          <w:rFonts w:ascii="Times New Roman" w:eastAsia="Times New Roman" w:hAnsi="Times New Roman" w:cs="Times New Roman"/>
          <w:sz w:val="24"/>
          <w:szCs w:val="24"/>
        </w:rPr>
        <w:t>)</w:t>
      </w:r>
      <w:r w:rsidR="004D3168" w:rsidRPr="00076637">
        <w:rPr>
          <w:rFonts w:ascii="Times New Roman" w:eastAsia="Times New Roman" w:hAnsi="Times New Roman" w:cs="Times New Roman"/>
          <w:sz w:val="24"/>
          <w:szCs w:val="24"/>
        </w:rPr>
        <w:t xml:space="preserve"> in </w:t>
      </w:r>
      <w:r w:rsidR="007F77D8" w:rsidRPr="00076637">
        <w:rPr>
          <w:rFonts w:ascii="Times New Roman" w:eastAsia="Times New Roman" w:hAnsi="Times New Roman" w:cs="Times New Roman"/>
          <w:sz w:val="24"/>
          <w:szCs w:val="24"/>
        </w:rPr>
        <w:t>children</w:t>
      </w:r>
      <w:r w:rsidR="00B905C0" w:rsidRPr="00076637">
        <w:rPr>
          <w:rFonts w:ascii="Times New Roman" w:eastAsia="Times New Roman" w:hAnsi="Times New Roman" w:cs="Times New Roman"/>
          <w:sz w:val="24"/>
          <w:szCs w:val="24"/>
        </w:rPr>
        <w:t xml:space="preserve"> where there is a </w:t>
      </w:r>
      <w:r w:rsidR="004D3168" w:rsidRPr="00076637">
        <w:rPr>
          <w:rFonts w:ascii="Times New Roman" w:eastAsia="Times New Roman" w:hAnsi="Times New Roman" w:cs="Times New Roman"/>
          <w:sz w:val="24"/>
          <w:szCs w:val="24"/>
        </w:rPr>
        <w:t>risk of increased endogenous secretion of ADH</w:t>
      </w:r>
      <w:r w:rsidR="00B905C0" w:rsidRPr="00076637">
        <w:rPr>
          <w:rFonts w:ascii="Times New Roman" w:eastAsia="Times New Roman" w:hAnsi="Times New Roman" w:cs="Times New Roman"/>
          <w:sz w:val="24"/>
          <w:szCs w:val="24"/>
        </w:rPr>
        <w:t>,</w:t>
      </w:r>
      <w:r w:rsidR="00442D0A" w:rsidRPr="00076637">
        <w:rPr>
          <w:rFonts w:ascii="Times New Roman" w:eastAsia="Times New Roman" w:hAnsi="Times New Roman" w:cs="Times New Roman"/>
          <w:sz w:val="24"/>
          <w:szCs w:val="24"/>
        </w:rPr>
        <w:t xml:space="preserve"> </w:t>
      </w:r>
      <w:r w:rsidR="004D3168" w:rsidRPr="00076637">
        <w:rPr>
          <w:rFonts w:ascii="Times New Roman" w:eastAsia="Times New Roman" w:hAnsi="Times New Roman" w:cs="Times New Roman"/>
          <w:sz w:val="24"/>
          <w:szCs w:val="24"/>
        </w:rPr>
        <w:t xml:space="preserve">or to </w:t>
      </w:r>
      <w:r w:rsidR="00B905C0" w:rsidRPr="00076637">
        <w:rPr>
          <w:rFonts w:ascii="Times New Roman" w:eastAsia="Times New Roman" w:hAnsi="Times New Roman" w:cs="Times New Roman"/>
          <w:sz w:val="24"/>
          <w:szCs w:val="24"/>
        </w:rPr>
        <w:t xml:space="preserve">between </w:t>
      </w:r>
      <w:r w:rsidR="004D3168" w:rsidRPr="00076637">
        <w:rPr>
          <w:rFonts w:ascii="Times New Roman" w:eastAsia="Times New Roman" w:hAnsi="Times New Roman" w:cs="Times New Roman"/>
          <w:sz w:val="24"/>
          <w:szCs w:val="24"/>
        </w:rPr>
        <w:t xml:space="preserve">50% to 60% </w:t>
      </w:r>
      <w:r w:rsidR="00D36242" w:rsidRPr="00076637">
        <w:rPr>
          <w:rFonts w:ascii="Times New Roman" w:eastAsia="Times New Roman" w:hAnsi="Times New Roman" w:cs="Times New Roman"/>
          <w:sz w:val="24"/>
          <w:szCs w:val="24"/>
        </w:rPr>
        <w:t>where</w:t>
      </w:r>
      <w:r w:rsidR="004D3168" w:rsidRPr="00076637">
        <w:rPr>
          <w:rFonts w:ascii="Times New Roman" w:eastAsia="Times New Roman" w:hAnsi="Times New Roman" w:cs="Times New Roman"/>
          <w:sz w:val="24"/>
          <w:szCs w:val="24"/>
        </w:rPr>
        <w:t xml:space="preserve"> oedema</w:t>
      </w:r>
      <w:r w:rsidR="00EB35CD" w:rsidRPr="00076637">
        <w:rPr>
          <w:rFonts w:ascii="Times New Roman" w:eastAsia="Times New Roman" w:hAnsi="Times New Roman" w:cs="Times New Roman"/>
          <w:sz w:val="24"/>
          <w:szCs w:val="24"/>
        </w:rPr>
        <w:t xml:space="preserve"> is present</w:t>
      </w:r>
      <w:r w:rsidR="00F90C5F" w:rsidRPr="00076637">
        <w:rPr>
          <w:rFonts w:ascii="Times New Roman" w:eastAsia="Times New Roman" w:hAnsi="Times New Roman" w:cs="Times New Roman"/>
          <w:sz w:val="24"/>
          <w:szCs w:val="24"/>
        </w:rPr>
        <w:t>,</w:t>
      </w:r>
      <w:r w:rsidR="00B07923" w:rsidRPr="00076637">
        <w:rPr>
          <w:rFonts w:ascii="Times New Roman" w:eastAsia="Times New Roman" w:hAnsi="Times New Roman" w:cs="Times New Roman"/>
          <w:sz w:val="24"/>
          <w:szCs w:val="24"/>
        </w:rPr>
        <w:t xml:space="preserve"> and</w:t>
      </w:r>
      <w:r w:rsidR="00B8456B" w:rsidRPr="00076637">
        <w:rPr>
          <w:rFonts w:ascii="Times New Roman" w:eastAsia="Times New Roman" w:hAnsi="Times New Roman" w:cs="Times New Roman"/>
          <w:sz w:val="24"/>
          <w:szCs w:val="24"/>
        </w:rPr>
        <w:t xml:space="preserve"> </w:t>
      </w:r>
      <w:r w:rsidR="00F90C5F" w:rsidRPr="00076637">
        <w:rPr>
          <w:rFonts w:ascii="Times New Roman" w:eastAsia="Times New Roman" w:hAnsi="Times New Roman" w:cs="Times New Roman"/>
          <w:sz w:val="24"/>
          <w:szCs w:val="24"/>
        </w:rPr>
        <w:t xml:space="preserve">for </w:t>
      </w:r>
      <w:r w:rsidR="00B8456B" w:rsidRPr="00076637">
        <w:rPr>
          <w:rFonts w:ascii="Times New Roman" w:eastAsia="Times New Roman" w:hAnsi="Times New Roman" w:cs="Times New Roman"/>
          <w:sz w:val="24"/>
          <w:szCs w:val="24"/>
        </w:rPr>
        <w:t>those at high risk</w:t>
      </w:r>
      <w:r w:rsidR="009E73F6" w:rsidRPr="00076637">
        <w:rPr>
          <w:rFonts w:ascii="Times New Roman" w:eastAsia="Times New Roman" w:hAnsi="Times New Roman" w:cs="Times New Roman"/>
          <w:sz w:val="24"/>
          <w:szCs w:val="24"/>
        </w:rPr>
        <w:t xml:space="preserve"> (</w:t>
      </w:r>
      <w:r w:rsidR="00663C46" w:rsidRPr="00076637">
        <w:rPr>
          <w:rFonts w:ascii="Times New Roman" w:eastAsia="Times New Roman" w:hAnsi="Times New Roman" w:cs="Times New Roman"/>
          <w:sz w:val="24"/>
          <w:szCs w:val="24"/>
        </w:rPr>
        <w:t xml:space="preserve">children with </w:t>
      </w:r>
      <w:r w:rsidR="00634F07" w:rsidRPr="00076637">
        <w:rPr>
          <w:rFonts w:ascii="Times New Roman" w:eastAsia="Times New Roman" w:hAnsi="Times New Roman" w:cs="Times New Roman"/>
          <w:sz w:val="24"/>
          <w:szCs w:val="24"/>
        </w:rPr>
        <w:t>cardiac, renal or liver failure</w:t>
      </w:r>
      <w:r w:rsidR="00F90C5F" w:rsidRPr="00076637">
        <w:rPr>
          <w:rFonts w:ascii="Times New Roman" w:eastAsia="Times New Roman" w:hAnsi="Times New Roman" w:cs="Times New Roman"/>
          <w:sz w:val="24"/>
          <w:szCs w:val="24"/>
        </w:rPr>
        <w:t>,</w:t>
      </w:r>
      <w:r w:rsidR="00634F07" w:rsidRPr="00076637">
        <w:rPr>
          <w:rFonts w:ascii="Times New Roman" w:eastAsia="Times New Roman" w:hAnsi="Times New Roman" w:cs="Times New Roman"/>
          <w:sz w:val="24"/>
          <w:szCs w:val="24"/>
        </w:rPr>
        <w:t xml:space="preserve"> or </w:t>
      </w:r>
      <w:r w:rsidR="009E73F6" w:rsidRPr="00076637">
        <w:rPr>
          <w:rFonts w:ascii="Times New Roman" w:eastAsia="Times New Roman" w:hAnsi="Times New Roman" w:cs="Times New Roman"/>
          <w:sz w:val="24"/>
          <w:szCs w:val="24"/>
        </w:rPr>
        <w:t xml:space="preserve">those </w:t>
      </w:r>
      <w:r w:rsidR="00B07923" w:rsidRPr="00076637">
        <w:rPr>
          <w:rFonts w:ascii="Times New Roman" w:eastAsia="Times New Roman" w:hAnsi="Times New Roman" w:cs="Times New Roman"/>
          <w:sz w:val="24"/>
          <w:szCs w:val="24"/>
        </w:rPr>
        <w:t>after cardiac surgery</w:t>
      </w:r>
      <w:r w:rsidR="009E73F6" w:rsidRPr="00076637">
        <w:rPr>
          <w:rFonts w:ascii="Times New Roman" w:eastAsia="Times New Roman" w:hAnsi="Times New Roman" w:cs="Times New Roman"/>
          <w:sz w:val="24"/>
          <w:szCs w:val="24"/>
        </w:rPr>
        <w:t>)</w:t>
      </w:r>
      <w:r w:rsidR="00B07923" w:rsidRPr="00076637">
        <w:rPr>
          <w:rFonts w:ascii="Times New Roman" w:eastAsia="Times New Roman" w:hAnsi="Times New Roman" w:cs="Times New Roman"/>
          <w:sz w:val="24"/>
          <w:szCs w:val="24"/>
        </w:rPr>
        <w:t xml:space="preserve">, </w:t>
      </w:r>
      <w:r w:rsidR="004D3168" w:rsidRPr="00076637">
        <w:rPr>
          <w:rFonts w:ascii="Times New Roman" w:eastAsia="Times New Roman" w:hAnsi="Times New Roman" w:cs="Times New Roman"/>
          <w:sz w:val="24"/>
          <w:szCs w:val="24"/>
        </w:rPr>
        <w:t>appear</w:t>
      </w:r>
      <w:r w:rsidR="00B07923" w:rsidRPr="00076637">
        <w:rPr>
          <w:rFonts w:ascii="Times New Roman" w:eastAsia="Times New Roman" w:hAnsi="Times New Roman" w:cs="Times New Roman"/>
          <w:sz w:val="24"/>
          <w:szCs w:val="24"/>
        </w:rPr>
        <w:t>s</w:t>
      </w:r>
      <w:r w:rsidR="004D3168" w:rsidRPr="00076637">
        <w:rPr>
          <w:rFonts w:ascii="Times New Roman" w:eastAsia="Times New Roman" w:hAnsi="Times New Roman" w:cs="Times New Roman"/>
          <w:sz w:val="24"/>
          <w:szCs w:val="24"/>
        </w:rPr>
        <w:t xml:space="preserve"> </w:t>
      </w:r>
      <w:r w:rsidR="00EB35CD" w:rsidRPr="00076637">
        <w:rPr>
          <w:rFonts w:ascii="Times New Roman" w:eastAsia="Times New Roman" w:hAnsi="Times New Roman" w:cs="Times New Roman"/>
          <w:sz w:val="24"/>
          <w:szCs w:val="24"/>
        </w:rPr>
        <w:t xml:space="preserve">to be </w:t>
      </w:r>
      <w:r w:rsidR="004D3168" w:rsidRPr="00076637">
        <w:rPr>
          <w:rFonts w:ascii="Times New Roman" w:eastAsia="Times New Roman" w:hAnsi="Times New Roman" w:cs="Times New Roman"/>
          <w:sz w:val="24"/>
          <w:szCs w:val="24"/>
        </w:rPr>
        <w:t xml:space="preserve">both safe and </w:t>
      </w:r>
      <w:r w:rsidR="00EB35CD" w:rsidRPr="00076637">
        <w:rPr>
          <w:rFonts w:ascii="Times New Roman" w:eastAsia="Times New Roman" w:hAnsi="Times New Roman" w:cs="Times New Roman"/>
          <w:sz w:val="24"/>
          <w:szCs w:val="24"/>
        </w:rPr>
        <w:t>beneficial. W</w:t>
      </w:r>
      <w:r w:rsidRPr="00076637">
        <w:rPr>
          <w:rFonts w:ascii="Times New Roman" w:eastAsia="Times New Roman" w:hAnsi="Times New Roman" w:cs="Times New Roman"/>
          <w:sz w:val="24"/>
          <w:szCs w:val="24"/>
        </w:rPr>
        <w:t xml:space="preserve">e conclude that the historical Holliday and Segar </w:t>
      </w:r>
      <w:proofErr w:type="spellStart"/>
      <w:r w:rsidRPr="00076637">
        <w:rPr>
          <w:rFonts w:ascii="Times New Roman" w:eastAsia="Times New Roman" w:hAnsi="Times New Roman" w:cs="Times New Roman"/>
          <w:sz w:val="24"/>
          <w:szCs w:val="24"/>
        </w:rPr>
        <w:t>standardised</w:t>
      </w:r>
      <w:proofErr w:type="spellEnd"/>
      <w:r w:rsidRPr="00076637">
        <w:rPr>
          <w:rFonts w:ascii="Times New Roman" w:eastAsia="Times New Roman" w:hAnsi="Times New Roman" w:cs="Times New Roman"/>
          <w:sz w:val="24"/>
          <w:szCs w:val="24"/>
        </w:rPr>
        <w:t xml:space="preserve"> IV-MFT formula for children (and their equivalents, </w:t>
      </w:r>
      <w:proofErr w:type="gramStart"/>
      <w:r w:rsidRPr="00076637">
        <w:rPr>
          <w:rFonts w:ascii="Times New Roman" w:eastAsia="Times New Roman" w:hAnsi="Times New Roman" w:cs="Times New Roman"/>
          <w:sz w:val="24"/>
          <w:szCs w:val="24"/>
        </w:rPr>
        <w:t>i.e.</w:t>
      </w:r>
      <w:proofErr w:type="gramEnd"/>
      <w:r w:rsidRPr="00076637">
        <w:rPr>
          <w:rFonts w:ascii="Times New Roman" w:eastAsia="Times New Roman" w:hAnsi="Times New Roman" w:cs="Times New Roman"/>
          <w:sz w:val="24"/>
          <w:szCs w:val="24"/>
        </w:rPr>
        <w:t xml:space="preserve"> Oh formula and 1500-1700mL/m2/d) </w:t>
      </w:r>
      <w:r w:rsidR="00B70F3C" w:rsidRPr="00076637">
        <w:rPr>
          <w:rFonts w:ascii="Times New Roman" w:eastAsia="Times New Roman" w:hAnsi="Times New Roman" w:cs="Times New Roman"/>
          <w:sz w:val="24"/>
          <w:szCs w:val="24"/>
        </w:rPr>
        <w:t>must</w:t>
      </w:r>
      <w:r w:rsidRPr="00076637">
        <w:rPr>
          <w:rFonts w:ascii="Times New Roman" w:eastAsia="Times New Roman" w:hAnsi="Times New Roman" w:cs="Times New Roman"/>
          <w:sz w:val="24"/>
          <w:szCs w:val="24"/>
        </w:rPr>
        <w:t xml:space="preserve"> be reconsidered and revised in light of </w:t>
      </w:r>
      <w:r w:rsidR="008F7A3C" w:rsidRPr="00076637">
        <w:rPr>
          <w:rFonts w:ascii="Times New Roman" w:eastAsia="Times New Roman" w:hAnsi="Times New Roman" w:cs="Times New Roman"/>
          <w:sz w:val="24"/>
          <w:szCs w:val="24"/>
        </w:rPr>
        <w:t>new</w:t>
      </w:r>
      <w:r w:rsidRPr="00076637">
        <w:rPr>
          <w:rFonts w:ascii="Times New Roman" w:eastAsia="Times New Roman" w:hAnsi="Times New Roman" w:cs="Times New Roman"/>
          <w:sz w:val="24"/>
          <w:szCs w:val="24"/>
        </w:rPr>
        <w:t xml:space="preserve"> evidence. Furthermore, robust </w:t>
      </w:r>
      <w:proofErr w:type="spellStart"/>
      <w:r w:rsidRPr="00076637">
        <w:rPr>
          <w:rFonts w:ascii="Times New Roman" w:eastAsia="Times New Roman" w:hAnsi="Times New Roman" w:cs="Times New Roman"/>
          <w:sz w:val="24"/>
          <w:szCs w:val="24"/>
        </w:rPr>
        <w:t>randomised</w:t>
      </w:r>
      <w:proofErr w:type="spellEnd"/>
      <w:r w:rsidRPr="00076637">
        <w:rPr>
          <w:rFonts w:ascii="Times New Roman" w:eastAsia="Times New Roman" w:hAnsi="Times New Roman" w:cs="Times New Roman"/>
          <w:sz w:val="24"/>
          <w:szCs w:val="24"/>
        </w:rPr>
        <w:t xml:space="preserve"> controlled trials are required urgently to evaluate </w:t>
      </w:r>
      <w:r w:rsidR="00361CA0" w:rsidRPr="00076637">
        <w:rPr>
          <w:rFonts w:ascii="Times New Roman" w:eastAsia="Times New Roman" w:hAnsi="Times New Roman" w:cs="Times New Roman"/>
          <w:sz w:val="24"/>
          <w:szCs w:val="24"/>
        </w:rPr>
        <w:t>IV</w:t>
      </w:r>
      <w:r w:rsidR="00880B8F" w:rsidRPr="00076637">
        <w:rPr>
          <w:rFonts w:ascii="Times New Roman" w:eastAsia="Times New Roman" w:hAnsi="Times New Roman" w:cs="Times New Roman"/>
          <w:sz w:val="24"/>
          <w:szCs w:val="24"/>
        </w:rPr>
        <w:t>-M</w:t>
      </w:r>
      <w:r w:rsidR="008F7A3C" w:rsidRPr="00076637">
        <w:rPr>
          <w:rFonts w:ascii="Times New Roman" w:eastAsia="Times New Roman" w:hAnsi="Times New Roman" w:cs="Times New Roman"/>
          <w:sz w:val="24"/>
          <w:szCs w:val="24"/>
        </w:rPr>
        <w:t>FT</w:t>
      </w:r>
      <w:r w:rsidRPr="00076637">
        <w:rPr>
          <w:rFonts w:ascii="Times New Roman" w:eastAsia="Times New Roman" w:hAnsi="Times New Roman" w:cs="Times New Roman"/>
          <w:sz w:val="24"/>
          <w:szCs w:val="24"/>
        </w:rPr>
        <w:t xml:space="preserve"> volume alone.</w:t>
      </w:r>
      <w:r w:rsidR="00442D0A" w:rsidRPr="00076637">
        <w:rPr>
          <w:rFonts w:ascii="Times New Roman" w:eastAsia="Times New Roman" w:hAnsi="Times New Roman" w:cs="Times New Roman"/>
          <w:sz w:val="24"/>
          <w:szCs w:val="24"/>
        </w:rPr>
        <w:t xml:space="preserve"> </w:t>
      </w:r>
    </w:p>
    <w:p w14:paraId="42ADBFFD" w14:textId="05A483AC" w:rsidR="00E13392" w:rsidRPr="00076637" w:rsidRDefault="00E13392" w:rsidP="00456DF3">
      <w:pPr>
        <w:pStyle w:val="Titre1"/>
      </w:pPr>
      <w:r w:rsidRPr="00076637">
        <w:t>Recommendations</w:t>
      </w:r>
    </w:p>
    <w:p w14:paraId="5FBF36E3" w14:textId="081C04A1" w:rsidR="00456DF3" w:rsidRPr="00076637" w:rsidRDefault="009E73F6" w:rsidP="00456DF3">
      <w:pPr>
        <w:jc w:val="both"/>
        <w:rPr>
          <w:rFonts w:ascii="Times New Roman" w:hAnsi="Times New Roman" w:cs="Times New Roman"/>
          <w:b/>
          <w:sz w:val="24"/>
          <w:szCs w:val="24"/>
        </w:rPr>
      </w:pPr>
      <w:r w:rsidRPr="00076637">
        <w:rPr>
          <w:rFonts w:ascii="Times New Roman" w:hAnsi="Times New Roman" w:cs="Times New Roman"/>
          <w:b/>
          <w:sz w:val="24"/>
          <w:szCs w:val="24"/>
        </w:rPr>
        <w:t xml:space="preserve">In acutely and critically ill children, </w:t>
      </w:r>
      <w:proofErr w:type="gramStart"/>
      <w:r w:rsidRPr="00076637">
        <w:rPr>
          <w:rFonts w:ascii="Times New Roman" w:hAnsi="Times New Roman" w:cs="Times New Roman"/>
          <w:b/>
          <w:sz w:val="24"/>
          <w:szCs w:val="24"/>
        </w:rPr>
        <w:t>in order to</w:t>
      </w:r>
      <w:proofErr w:type="gramEnd"/>
      <w:r w:rsidRPr="00076637">
        <w:rPr>
          <w:rFonts w:ascii="Times New Roman" w:hAnsi="Times New Roman" w:cs="Times New Roman"/>
          <w:b/>
          <w:sz w:val="24"/>
          <w:szCs w:val="24"/>
        </w:rPr>
        <w:t xml:space="preserve"> prevent fluid creep and reduce fluid intake, the total daily amount of maintenance fluid therapy should be considered including: IV fluids, blood products, all IV medications (both infusions and bolus drugs), arterial and venous line flush solutions and enteral intake, but does not include replacement fluids and massive transfusion. </w:t>
      </w:r>
      <w:r w:rsidR="00456DF3" w:rsidRPr="00076637">
        <w:rPr>
          <w:rFonts w:ascii="Times New Roman" w:hAnsi="Times New Roman" w:cs="Times New Roman"/>
          <w:b/>
          <w:color w:val="0000FF"/>
          <w:sz w:val="24"/>
          <w:szCs w:val="24"/>
        </w:rPr>
        <w:t>Grade D</w:t>
      </w:r>
    </w:p>
    <w:p w14:paraId="45A97A35" w14:textId="0028DB4C" w:rsidR="00456DF3" w:rsidRPr="00076637" w:rsidRDefault="009E73F6" w:rsidP="00456DF3">
      <w:pPr>
        <w:jc w:val="both"/>
        <w:rPr>
          <w:rFonts w:ascii="Times New Roman" w:hAnsi="Times New Roman" w:cs="Times New Roman"/>
          <w:b/>
          <w:sz w:val="24"/>
          <w:szCs w:val="24"/>
        </w:rPr>
      </w:pPr>
      <w:r w:rsidRPr="00076637">
        <w:rPr>
          <w:rFonts w:ascii="Times New Roman" w:hAnsi="Times New Roman" w:cs="Times New Roman"/>
          <w:b/>
          <w:sz w:val="24"/>
          <w:szCs w:val="24"/>
        </w:rPr>
        <w:t>In acutely and critically ill children, avoidance of fluid overload and cumulative positive fluid balance should be considered, to avoid prolonged mechanical ventilation and length of stay.</w:t>
      </w:r>
      <w:r w:rsidR="00456DF3" w:rsidRPr="00076637">
        <w:rPr>
          <w:rFonts w:ascii="Times New Roman" w:hAnsi="Times New Roman" w:cs="Times New Roman"/>
          <w:b/>
          <w:sz w:val="24"/>
          <w:szCs w:val="24"/>
        </w:rPr>
        <w:t xml:space="preserve"> </w:t>
      </w:r>
      <w:r w:rsidR="00456DF3" w:rsidRPr="00076637">
        <w:rPr>
          <w:rFonts w:ascii="Times New Roman" w:hAnsi="Times New Roman" w:cs="Times New Roman"/>
          <w:b/>
          <w:color w:val="0000FF"/>
          <w:sz w:val="24"/>
          <w:szCs w:val="24"/>
        </w:rPr>
        <w:t>Grade</w:t>
      </w:r>
      <w:r w:rsidRPr="00076637">
        <w:rPr>
          <w:rFonts w:ascii="Times New Roman" w:hAnsi="Times New Roman" w:cs="Times New Roman"/>
          <w:b/>
          <w:color w:val="0000FF"/>
          <w:sz w:val="24"/>
          <w:szCs w:val="24"/>
        </w:rPr>
        <w:t xml:space="preserve"> D</w:t>
      </w:r>
      <w:r w:rsidR="00456DF3" w:rsidRPr="00076637">
        <w:rPr>
          <w:rFonts w:ascii="Times New Roman" w:hAnsi="Times New Roman" w:cs="Times New Roman"/>
          <w:b/>
          <w:color w:val="0000FF"/>
          <w:sz w:val="24"/>
          <w:szCs w:val="24"/>
        </w:rPr>
        <w:t xml:space="preserve"> </w:t>
      </w:r>
    </w:p>
    <w:p w14:paraId="11C211A2" w14:textId="35136EC6" w:rsidR="00456DF3" w:rsidRPr="00076637" w:rsidRDefault="009E73F6" w:rsidP="00456DF3">
      <w:pPr>
        <w:jc w:val="both"/>
        <w:rPr>
          <w:rFonts w:ascii="Times New Roman" w:hAnsi="Times New Roman" w:cs="Times New Roman"/>
          <w:b/>
          <w:sz w:val="24"/>
          <w:szCs w:val="24"/>
        </w:rPr>
      </w:pPr>
      <w:r w:rsidRPr="00076637">
        <w:rPr>
          <w:rFonts w:ascii="Times New Roman" w:hAnsi="Times New Roman" w:cs="Times New Roman"/>
          <w:b/>
          <w:sz w:val="24"/>
          <w:szCs w:val="24"/>
        </w:rPr>
        <w:t>In acutely and critically ill children, who are at risk of increased endogenous secretion of ADH, restriction of total intravenous maintenance fluid therapy volume (calculated by Holliday and Segar formula) should be considered to some extent, to avoid a decrease in natremia but the amount and duration of this restriction is uncertain.</w:t>
      </w:r>
      <w:r w:rsidR="00456DF3" w:rsidRPr="00076637">
        <w:rPr>
          <w:rFonts w:ascii="Times New Roman" w:hAnsi="Times New Roman" w:cs="Times New Roman"/>
          <w:b/>
          <w:sz w:val="24"/>
          <w:szCs w:val="24"/>
        </w:rPr>
        <w:t xml:space="preserve"> </w:t>
      </w:r>
      <w:r w:rsidR="00456DF3" w:rsidRPr="00076637">
        <w:rPr>
          <w:rFonts w:ascii="Times New Roman" w:hAnsi="Times New Roman" w:cs="Times New Roman"/>
          <w:b/>
          <w:color w:val="0000FF"/>
          <w:sz w:val="24"/>
          <w:szCs w:val="24"/>
        </w:rPr>
        <w:t>Grade C</w:t>
      </w:r>
    </w:p>
    <w:p w14:paraId="5D2B272D" w14:textId="1DBDD634" w:rsidR="00456DF3" w:rsidRPr="00076637" w:rsidRDefault="009E73F6" w:rsidP="009E73F6">
      <w:pPr>
        <w:jc w:val="both"/>
        <w:rPr>
          <w:rFonts w:ascii="Times New Roman" w:hAnsi="Times New Roman" w:cs="Times New Roman"/>
          <w:b/>
          <w:sz w:val="24"/>
          <w:szCs w:val="24"/>
        </w:rPr>
      </w:pPr>
      <w:r w:rsidRPr="00076637">
        <w:rPr>
          <w:rFonts w:ascii="Times New Roman" w:hAnsi="Times New Roman" w:cs="Times New Roman"/>
          <w:b/>
          <w:sz w:val="24"/>
          <w:szCs w:val="24"/>
        </w:rPr>
        <w:t xml:space="preserve">In acutely and critically ill children who are at risk of increased endogenous secretion of ADH, restricting maintenance fluid therapy volume to between 65% - 80% of the volume calculated by the Holliday and Segar formula should be considered to avoid fluid overload. In children at greater risk of </w:t>
      </w:r>
      <w:proofErr w:type="spellStart"/>
      <w:r w:rsidRPr="00076637">
        <w:rPr>
          <w:rFonts w:ascii="Times New Roman" w:hAnsi="Times New Roman" w:cs="Times New Roman"/>
          <w:b/>
          <w:sz w:val="24"/>
          <w:szCs w:val="24"/>
        </w:rPr>
        <w:t>oedematous</w:t>
      </w:r>
      <w:proofErr w:type="spellEnd"/>
      <w:r w:rsidRPr="00076637">
        <w:rPr>
          <w:rFonts w:ascii="Times New Roman" w:hAnsi="Times New Roman" w:cs="Times New Roman"/>
          <w:b/>
          <w:sz w:val="24"/>
          <w:szCs w:val="24"/>
        </w:rPr>
        <w:t xml:space="preserve"> states, e.g., heart failure, renal </w:t>
      </w:r>
      <w:proofErr w:type="gramStart"/>
      <w:r w:rsidRPr="00076637">
        <w:rPr>
          <w:rFonts w:ascii="Times New Roman" w:hAnsi="Times New Roman" w:cs="Times New Roman"/>
          <w:b/>
          <w:sz w:val="24"/>
          <w:szCs w:val="24"/>
        </w:rPr>
        <w:t>failure</w:t>
      </w:r>
      <w:proofErr w:type="gramEnd"/>
      <w:r w:rsidRPr="00076637">
        <w:rPr>
          <w:rFonts w:ascii="Times New Roman" w:hAnsi="Times New Roman" w:cs="Times New Roman"/>
          <w:b/>
          <w:sz w:val="24"/>
          <w:szCs w:val="24"/>
        </w:rPr>
        <w:t xml:space="preserve"> or hepatic failure, restricting maintenance fluid therapy volume to between 50 to 60% of the volume calculated with the Holiday and Segar formula should be considered to avoid fluid overload.</w:t>
      </w:r>
      <w:r w:rsidR="00456DF3" w:rsidRPr="00076637">
        <w:rPr>
          <w:rFonts w:ascii="Times New Roman" w:hAnsi="Times New Roman" w:cs="Times New Roman"/>
          <w:b/>
          <w:sz w:val="24"/>
          <w:szCs w:val="24"/>
        </w:rPr>
        <w:t xml:space="preserve"> </w:t>
      </w:r>
      <w:r w:rsidR="00456DF3" w:rsidRPr="00076637">
        <w:rPr>
          <w:rFonts w:ascii="Times New Roman" w:hAnsi="Times New Roman" w:cs="Times New Roman"/>
          <w:b/>
          <w:color w:val="0000FF"/>
          <w:sz w:val="24"/>
          <w:szCs w:val="24"/>
        </w:rPr>
        <w:t>GCP</w:t>
      </w:r>
    </w:p>
    <w:p w14:paraId="205C58D5" w14:textId="771B800D" w:rsidR="00E13392" w:rsidRPr="00076637" w:rsidRDefault="009E73F6" w:rsidP="00456DF3">
      <w:pPr>
        <w:jc w:val="both"/>
        <w:rPr>
          <w:rFonts w:ascii="Times New Roman" w:hAnsi="Times New Roman" w:cs="Times New Roman"/>
          <w:b/>
          <w:sz w:val="24"/>
          <w:szCs w:val="24"/>
        </w:rPr>
      </w:pPr>
      <w:r w:rsidRPr="00076637">
        <w:rPr>
          <w:rFonts w:ascii="Times New Roman" w:hAnsi="Times New Roman" w:cs="Times New Roman"/>
          <w:b/>
          <w:sz w:val="24"/>
          <w:szCs w:val="24"/>
        </w:rPr>
        <w:t>Whilst receiving intravenous maintenance fluid therapy, re-assessment of acutely and critically ill children should be considered at least daily in terms of fluid balance and clinical status and regularly regarding electrolytes, especially sodium level.</w:t>
      </w:r>
      <w:r w:rsidR="00456DF3" w:rsidRPr="00076637">
        <w:rPr>
          <w:rFonts w:ascii="Times New Roman" w:hAnsi="Times New Roman" w:cs="Times New Roman"/>
          <w:b/>
          <w:sz w:val="24"/>
          <w:szCs w:val="24"/>
        </w:rPr>
        <w:t xml:space="preserve"> </w:t>
      </w:r>
      <w:r w:rsidR="00456DF3" w:rsidRPr="00076637">
        <w:rPr>
          <w:rFonts w:ascii="Times New Roman" w:hAnsi="Times New Roman" w:cs="Times New Roman"/>
          <w:b/>
          <w:color w:val="0000FF"/>
          <w:sz w:val="24"/>
          <w:szCs w:val="24"/>
        </w:rPr>
        <w:t>Grade D</w:t>
      </w:r>
    </w:p>
    <w:p w14:paraId="47BBF516" w14:textId="059BEBCB" w:rsidR="00E13392" w:rsidRPr="00076637" w:rsidRDefault="00456DF3">
      <w:pPr>
        <w:spacing w:line="360" w:lineRule="auto"/>
        <w:rPr>
          <w:rFonts w:ascii="Times New Roman" w:hAnsi="Times New Roman" w:cs="Times New Roman"/>
          <w:b/>
          <w:color w:val="767171"/>
          <w:sz w:val="24"/>
          <w:szCs w:val="24"/>
        </w:rPr>
      </w:pPr>
      <w:r w:rsidRPr="00076637">
        <w:rPr>
          <w:rFonts w:ascii="Times New Roman" w:hAnsi="Times New Roman" w:cs="Times New Roman"/>
          <w:b/>
          <w:color w:val="767171"/>
          <w:sz w:val="24"/>
          <w:szCs w:val="24"/>
        </w:rPr>
        <w:lastRenderedPageBreak/>
        <w:t>Reference List</w:t>
      </w:r>
    </w:p>
    <w:p w14:paraId="41B8D636" w14:textId="77777777" w:rsidR="0046376A" w:rsidRPr="00076637" w:rsidRDefault="00CF0768" w:rsidP="0046376A">
      <w:pPr>
        <w:pStyle w:val="Bibliographie"/>
      </w:pPr>
      <w:r w:rsidRPr="00076637">
        <w:rPr>
          <w:b/>
          <w:color w:val="767171"/>
        </w:rPr>
        <w:fldChar w:fldCharType="begin"/>
      </w:r>
      <w:r w:rsidR="00AE3F60" w:rsidRPr="00076637">
        <w:rPr>
          <w:b/>
          <w:color w:val="767171"/>
        </w:rPr>
        <w:instrText xml:space="preserve"> ADDIN ZOTERO_BIBL {"uncited":[],"omitted":[],"custom":[]} CSL_BIBLIOGRAPHY </w:instrText>
      </w:r>
      <w:r w:rsidRPr="00076637">
        <w:rPr>
          <w:b/>
          <w:color w:val="767171"/>
        </w:rPr>
        <w:fldChar w:fldCharType="separate"/>
      </w:r>
      <w:r w:rsidR="0046376A" w:rsidRPr="00076637">
        <w:t xml:space="preserve">1. </w:t>
      </w:r>
      <w:r w:rsidR="0046376A" w:rsidRPr="00076637">
        <w:tab/>
        <w:t>Peters MJ, Argent A, Festa M, et al (2017) The intensive care medicine clinical research agenda in paediatrics. Intensive Care Med 43:1210–1224. https://doi.org/10.1007/s00134-017-4729-9</w:t>
      </w:r>
    </w:p>
    <w:p w14:paraId="6AFEBCDE" w14:textId="77777777" w:rsidR="0046376A" w:rsidRPr="00076637" w:rsidRDefault="0046376A" w:rsidP="0046376A">
      <w:pPr>
        <w:pStyle w:val="Bibliographie"/>
      </w:pPr>
      <w:r w:rsidRPr="00076637">
        <w:t xml:space="preserve">2. </w:t>
      </w:r>
      <w:r w:rsidRPr="00076637">
        <w:tab/>
        <w:t>Raman S, Schibler A, Marsney RL, et al (2021) 0.9% Sodium chloride solution versus Plasma-Lyte 148 versus compound sodium lacTate solution in children admitted to PICU—a randomized controlled trial (SPLYT-P): study protocol for an intravenous fluid therapy trial. Trials 22:427. https://doi.org/10.1186/s13063-021-05376-5</w:t>
      </w:r>
    </w:p>
    <w:p w14:paraId="49A07607" w14:textId="77777777" w:rsidR="0046376A" w:rsidRPr="00076637" w:rsidRDefault="0046376A" w:rsidP="0046376A">
      <w:pPr>
        <w:pStyle w:val="Bibliographie"/>
      </w:pPr>
      <w:r w:rsidRPr="00076637">
        <w:t xml:space="preserve">3. </w:t>
      </w:r>
      <w:r w:rsidRPr="00076637">
        <w:tab/>
        <w:t>Hoorn EJ, Geary D, Robb M, et al (2004) Acute hyponatremia related to intravenous fluid administration in hospitalized children: an observational study. Pediatrics 113:1279–1284. https://doi.org/10.1542/peds.113.5.1279</w:t>
      </w:r>
    </w:p>
    <w:p w14:paraId="2BDCBB3E" w14:textId="77777777" w:rsidR="0046376A" w:rsidRPr="00076637" w:rsidRDefault="0046376A" w:rsidP="0046376A">
      <w:pPr>
        <w:pStyle w:val="Bibliographie"/>
      </w:pPr>
      <w:r w:rsidRPr="00076637">
        <w:t xml:space="preserve">4. </w:t>
      </w:r>
      <w:r w:rsidRPr="00076637">
        <w:tab/>
        <w:t>Alobaidi R, Morgan C, Basu RK, et al (2018) Association Between Fluid Balance and Outcomes in Critically Ill Children. JAMA Pediatr 172:257–268. https://doi.org/10.1001/jamapediatrics.2017.4540</w:t>
      </w:r>
    </w:p>
    <w:p w14:paraId="4E08050D" w14:textId="77777777" w:rsidR="0046376A" w:rsidRPr="00076637" w:rsidRDefault="0046376A" w:rsidP="0046376A">
      <w:pPr>
        <w:pStyle w:val="Bibliographie"/>
      </w:pPr>
      <w:r w:rsidRPr="00076637">
        <w:t xml:space="preserve">5. </w:t>
      </w:r>
      <w:r w:rsidRPr="00076637">
        <w:tab/>
        <w:t>Maitland K, George EC, Evans JA, et al (2013) Exploring mechanisms of excess mortality with early fluid resuscitation: insights from the FEAST trial. BMC Med 11:68. https://doi.org/10.1186/1741-7015-11-68</w:t>
      </w:r>
    </w:p>
    <w:p w14:paraId="24B6A129" w14:textId="77777777" w:rsidR="0046376A" w:rsidRPr="00076637" w:rsidRDefault="0046376A" w:rsidP="0046376A">
      <w:pPr>
        <w:pStyle w:val="Bibliographie"/>
      </w:pPr>
      <w:r w:rsidRPr="00076637">
        <w:t xml:space="preserve">6. </w:t>
      </w:r>
      <w:r w:rsidRPr="00076637">
        <w:tab/>
        <w:t>Sinitsky L, Walls D, Nadel S, Inwald DP (2015) Fluid overload at 48 hours is associated with respiratory morbidity but not mortality in a general PICU: retrospective cohort study. Pediatr Crit Care Med J Soc Crit Care Med World Fed Pediatr Intensive Crit Care Soc 16:205–209. https://doi.org/10.1097/PCC.0000000000000318</w:t>
      </w:r>
    </w:p>
    <w:p w14:paraId="0D5168C8" w14:textId="77777777" w:rsidR="0046376A" w:rsidRPr="00076637" w:rsidRDefault="0046376A" w:rsidP="0046376A">
      <w:pPr>
        <w:pStyle w:val="Bibliographie"/>
      </w:pPr>
      <w:r w:rsidRPr="00076637">
        <w:t xml:space="preserve">7. </w:t>
      </w:r>
      <w:r w:rsidRPr="00076637">
        <w:tab/>
        <w:t>Holliday MA, Segar WE (1957) The maintenance need for water in parenteral fluid therapy. Pediatrics 19:823–832</w:t>
      </w:r>
    </w:p>
    <w:p w14:paraId="072D6DB1" w14:textId="77777777" w:rsidR="0046376A" w:rsidRPr="00076637" w:rsidRDefault="0046376A" w:rsidP="0046376A">
      <w:pPr>
        <w:pStyle w:val="Bibliographie"/>
      </w:pPr>
      <w:r w:rsidRPr="00076637">
        <w:t xml:space="preserve">8. </w:t>
      </w:r>
      <w:r w:rsidRPr="00076637">
        <w:tab/>
        <w:t>Messmer AS, Zingg C, Müller M, et al (2020) Fluid Overload and Mortality in Adult Critical Care Patients-A Systematic Review and Meta-Analysis of Observational Studies. Crit Care Med 48:1862–1870. https://doi.org/10.1097/CCM.0000000000004617</w:t>
      </w:r>
    </w:p>
    <w:p w14:paraId="74D5D924" w14:textId="77777777" w:rsidR="0046376A" w:rsidRPr="00076637" w:rsidRDefault="0046376A" w:rsidP="0046376A">
      <w:pPr>
        <w:pStyle w:val="Bibliographie"/>
      </w:pPr>
      <w:r w:rsidRPr="00076637">
        <w:t xml:space="preserve">9. </w:t>
      </w:r>
      <w:r w:rsidRPr="00076637">
        <w:tab/>
        <w:t>Silversides JA, Major E, Ferguson AJ, et al (2017) Conservative fluid management or deresuscitation for patients with sepsis or acute respiratory distress syndrome following the resuscitation phase of critical illness: a systematic review and meta-analysis. Intensive Care Med 43:155–170. https://doi.org/10.1007/s00134-016-4573-3</w:t>
      </w:r>
    </w:p>
    <w:p w14:paraId="4AF842F9" w14:textId="77777777" w:rsidR="0046376A" w:rsidRPr="00076637" w:rsidRDefault="0046376A" w:rsidP="0046376A">
      <w:pPr>
        <w:pStyle w:val="Bibliographie"/>
      </w:pPr>
      <w:r w:rsidRPr="00076637">
        <w:t xml:space="preserve">10. </w:t>
      </w:r>
      <w:r w:rsidRPr="00076637">
        <w:tab/>
        <w:t>Silversides JA, Perner A, Malbrain MLNG (2019) Liberal versus restrictive fluid therapy in critically ill patients. Intensive Care Med 45:1440–1442. https://doi.org/10.1007/s00134-019-05713-y</w:t>
      </w:r>
    </w:p>
    <w:p w14:paraId="312E1EE7" w14:textId="77777777" w:rsidR="0046376A" w:rsidRPr="00076637" w:rsidRDefault="0046376A" w:rsidP="0046376A">
      <w:pPr>
        <w:pStyle w:val="Bibliographie"/>
      </w:pPr>
      <w:r w:rsidRPr="00076637">
        <w:t xml:space="preserve">11. </w:t>
      </w:r>
      <w:r w:rsidRPr="00076637">
        <w:tab/>
        <w:t>Van Regenmortel N, Verbrugghe W, Roelant E, et al (2018) Maintenance fluid therapy and fluid creep impose more significant fluid, sodium, and chloride burdens than resuscitation fluids in critically ill patients: a retrospective study in a tertiary mixed ICU population. Intensive Care Med 44:409–417. https://doi.org/10.1007/s00134-018-5147-3</w:t>
      </w:r>
    </w:p>
    <w:p w14:paraId="51645298" w14:textId="77777777" w:rsidR="0046376A" w:rsidRPr="00076637" w:rsidRDefault="0046376A" w:rsidP="0046376A">
      <w:pPr>
        <w:pStyle w:val="Bibliographie"/>
      </w:pPr>
      <w:r w:rsidRPr="00076637">
        <w:t xml:space="preserve">12. </w:t>
      </w:r>
      <w:r w:rsidRPr="00076637">
        <w:tab/>
        <w:t>Al-Lawati ZH, Sur M, Kennedy CE, Akcan Arikan A (2020) Profile of Fluid Exposure and Recognition of Fluid Overload in Critically Ill Children. Pediatr Crit Care Med J Soc Crit Care Med World Fed Pediatr Intensive Crit Care Soc 21:760–766. https://doi.org/10.1097/PCC.0000000000002337</w:t>
      </w:r>
    </w:p>
    <w:p w14:paraId="10C1606C" w14:textId="77777777" w:rsidR="0046376A" w:rsidRPr="00076637" w:rsidRDefault="0046376A" w:rsidP="0046376A">
      <w:pPr>
        <w:pStyle w:val="Bibliographie"/>
      </w:pPr>
      <w:r w:rsidRPr="00076637">
        <w:lastRenderedPageBreak/>
        <w:t xml:space="preserve">13. </w:t>
      </w:r>
      <w:r w:rsidRPr="00076637">
        <w:tab/>
        <w:t>Langer T, D’Oria V, Spolidoro GCI, et al (2020) Fluid therapy in mechanically ventilated critically ill children: the sodium, chloride and water burden of fluid creep. BMC Pediatr 20:424. https://doi.org/10.1186/s12887-020-02322-3</w:t>
      </w:r>
    </w:p>
    <w:p w14:paraId="659CC27C" w14:textId="77777777" w:rsidR="0046376A" w:rsidRPr="00076637" w:rsidRDefault="0046376A" w:rsidP="0046376A">
      <w:pPr>
        <w:pStyle w:val="Bibliographie"/>
      </w:pPr>
      <w:r w:rsidRPr="00076637">
        <w:t xml:space="preserve">14. </w:t>
      </w:r>
      <w:r w:rsidRPr="00076637">
        <w:tab/>
        <w:t>Barhight MF, Nelson D, Moran T, et al (2021) Association between the use of balanced fluids and outcomes in critically ill children: a before and after study. Crit Care 25:266. https://doi.org/10.1186/s13054-021-03705-3</w:t>
      </w:r>
    </w:p>
    <w:p w14:paraId="49DDF22D" w14:textId="77777777" w:rsidR="0046376A" w:rsidRPr="00076637" w:rsidRDefault="0046376A" w:rsidP="0046376A">
      <w:pPr>
        <w:pStyle w:val="Bibliographie"/>
      </w:pPr>
      <w:r w:rsidRPr="00076637">
        <w:t xml:space="preserve">15. </w:t>
      </w:r>
      <w:r w:rsidRPr="00076637">
        <w:tab/>
        <w:t>Lima L, Menon S, Goldstein SL, Basu RK (2021) Timing of Fluid Overload and Association With Patient Outcome. Pediatr Crit Care Med J Soc Crit Care Med World Fed Pediatr Intensive Crit Care Soc 22:114–124. https://doi.org/10.1097/PCC.0000000000002547</w:t>
      </w:r>
    </w:p>
    <w:p w14:paraId="62A08E19" w14:textId="77777777" w:rsidR="0046376A" w:rsidRPr="00076637" w:rsidRDefault="0046376A" w:rsidP="0046376A">
      <w:pPr>
        <w:pStyle w:val="Bibliographie"/>
      </w:pPr>
      <w:r w:rsidRPr="00076637">
        <w:t xml:space="preserve">16. </w:t>
      </w:r>
      <w:r w:rsidRPr="00076637">
        <w:tab/>
        <w:t>Morice C, Alsohime F, Mayberry H, et al (2022) Intravenous maintenance fluid therapy practice in the pediatric acute and critical care settings: a European and Middle Eastern survey. Eur J Pediatr. https://doi.org/10.1007/s00431-022-04467-y</w:t>
      </w:r>
    </w:p>
    <w:p w14:paraId="4478488C" w14:textId="77777777" w:rsidR="0046376A" w:rsidRPr="00076637" w:rsidRDefault="0046376A" w:rsidP="0046376A">
      <w:pPr>
        <w:pStyle w:val="Bibliographie"/>
      </w:pPr>
      <w:r w:rsidRPr="00076637">
        <w:t xml:space="preserve">17. </w:t>
      </w:r>
      <w:r w:rsidRPr="00076637">
        <w:tab/>
        <w:t>Myles PS, Bellomo R, Corcoran T, et al (2018) Restrictive versus Liberal Fluid Therapy for Major Abdominal Surgery. N Engl J Med 378:2263–2274. https://doi.org/10.1056/NEJMoa1801601</w:t>
      </w:r>
    </w:p>
    <w:p w14:paraId="5583F92D" w14:textId="77777777" w:rsidR="0046376A" w:rsidRPr="00076637" w:rsidRDefault="0046376A" w:rsidP="0046376A">
      <w:pPr>
        <w:pStyle w:val="Bibliographie"/>
        <w:rPr>
          <w:lang w:val="fr-FR"/>
        </w:rPr>
      </w:pPr>
      <w:r w:rsidRPr="00076637">
        <w:t xml:space="preserve">18. </w:t>
      </w:r>
      <w:r w:rsidRPr="00076637">
        <w:tab/>
        <w:t xml:space="preserve">González-Fajardo JA, Mengibar L, Brizuela JA, et al (2009) Effect of postoperative restrictive fluid therapy in the recovery of patients with abdominal vascular surgery. </w:t>
      </w:r>
      <w:r w:rsidRPr="00076637">
        <w:rPr>
          <w:lang w:val="fr-FR"/>
        </w:rPr>
        <w:t>Eur J Vasc Endovasc Surg Off J Eur Soc Vasc Surg 37:538–543. https://doi.org/10.1016/j.ejvs.2009.01.010</w:t>
      </w:r>
    </w:p>
    <w:p w14:paraId="42FB16C7" w14:textId="77777777" w:rsidR="0046376A" w:rsidRPr="00076637" w:rsidRDefault="0046376A" w:rsidP="0046376A">
      <w:pPr>
        <w:pStyle w:val="Bibliographie"/>
      </w:pPr>
      <w:r w:rsidRPr="00076637">
        <w:t xml:space="preserve">19. </w:t>
      </w:r>
      <w:r w:rsidRPr="00076637">
        <w:tab/>
        <w:t>National Heart, Lung, and Blood Institute Acute Respiratory Distress Syndrome (ARDS) Clinical Trials Network, Wiedemann HP, Wheeler AP, et al (2006) Comparison of two fluid-management strategies in acute lung injury. N Engl J Med 354:2564–2575. https://doi.org/10.1056/NEJMoa062200</w:t>
      </w:r>
    </w:p>
    <w:p w14:paraId="35A5AB8E" w14:textId="77777777" w:rsidR="0046376A" w:rsidRPr="00076637" w:rsidRDefault="0046376A" w:rsidP="0046376A">
      <w:pPr>
        <w:pStyle w:val="Bibliographie"/>
      </w:pPr>
      <w:r w:rsidRPr="00076637">
        <w:t xml:space="preserve">20. </w:t>
      </w:r>
      <w:r w:rsidRPr="00076637">
        <w:tab/>
        <w:t>Piljic D, Petricevic M, Piljic D, et al (2016) Restrictive versus Standard Fluid Regimen in Elective Minilaparotomy Abdominal Aortic Repair-Prospective Randomized Controlled Trial. Thorac Cardiovasc Surg 64:296–303. https://doi.org/10.1055/s-0035-1548736</w:t>
      </w:r>
    </w:p>
    <w:p w14:paraId="2FB34991" w14:textId="77777777" w:rsidR="0046376A" w:rsidRPr="00076637" w:rsidRDefault="0046376A" w:rsidP="0046376A">
      <w:pPr>
        <w:pStyle w:val="Bibliographie"/>
      </w:pPr>
      <w:r w:rsidRPr="00076637">
        <w:t xml:space="preserve">21. </w:t>
      </w:r>
      <w:r w:rsidRPr="00076637">
        <w:tab/>
        <w:t>Stewart RM, Park PK, Hunt JP, et al (2009) Less is more: improved outcomes in surgical patients with conservative fluid administration and central venous catheter monitoring. J Am Coll Surg 208:725–735; discussion 735-737. https://doi.org/10.1016/j.jamcollsurg.2009.01.026</w:t>
      </w:r>
    </w:p>
    <w:p w14:paraId="0C1A177F" w14:textId="77777777" w:rsidR="0046376A" w:rsidRPr="00076637" w:rsidRDefault="0046376A" w:rsidP="0046376A">
      <w:pPr>
        <w:pStyle w:val="Bibliographie"/>
      </w:pPr>
      <w:r w:rsidRPr="00076637">
        <w:t xml:space="preserve">22. </w:t>
      </w:r>
      <w:r w:rsidRPr="00076637">
        <w:tab/>
        <w:t>Marx G, Schindler AW, Mosch C, et al (2016) Intravascular volume therapy in adults. Eur J Anaesthesiol 33:488–521. https://doi.org/10.1097/EJA.0000000000000447</w:t>
      </w:r>
    </w:p>
    <w:p w14:paraId="6004121D" w14:textId="77777777" w:rsidR="0046376A" w:rsidRPr="00076637" w:rsidRDefault="0046376A" w:rsidP="0046376A">
      <w:pPr>
        <w:pStyle w:val="Bibliographie"/>
      </w:pPr>
      <w:r w:rsidRPr="00076637">
        <w:t xml:space="preserve">23. </w:t>
      </w:r>
      <w:r w:rsidRPr="00076637">
        <w:tab/>
        <w:t>da Silva AT, Hauschild DB, de Almeida Oliveira LD, et al (2018) Association of hyperhydration evaluated by bioelectrical impedance analysis and mortality in patients with different medical conditions: Systematic review and meta-analyses. Clin Nutr ESPEN 28:12–20. https://doi.org/10.1016/j.clnesp.2018.08.022</w:t>
      </w:r>
    </w:p>
    <w:p w14:paraId="1737DE78" w14:textId="77777777" w:rsidR="0046376A" w:rsidRPr="00076637" w:rsidRDefault="0046376A" w:rsidP="0046376A">
      <w:pPr>
        <w:pStyle w:val="Bibliographie"/>
      </w:pPr>
      <w:r w:rsidRPr="00076637">
        <w:t xml:space="preserve">24. </w:t>
      </w:r>
      <w:r w:rsidRPr="00076637">
        <w:tab/>
        <w:t>Rewers A, Kuppermann N, Stoner MJ, et al (2021) Effects of Fluid Rehydration Strategy on Correction of Acidosis and Electrolyte Abnormalities in Children With Diabetic Ketoacidosis. Diabetes Care 44:2061–2068. https://doi.org/10.2337/dc20-3113</w:t>
      </w:r>
    </w:p>
    <w:p w14:paraId="555E65B4" w14:textId="77777777" w:rsidR="0046376A" w:rsidRPr="00076637" w:rsidRDefault="0046376A" w:rsidP="0046376A">
      <w:pPr>
        <w:pStyle w:val="Bibliographie"/>
      </w:pPr>
      <w:r w:rsidRPr="00076637">
        <w:t xml:space="preserve">25. </w:t>
      </w:r>
      <w:r w:rsidRPr="00076637">
        <w:tab/>
        <w:t>Bakes K, Haukoos JS, Deakyne SJ, et al (2016) Effect of Volume of Fluid Resuscitation on Metabolic Normalization in Children Presenting in Diabetic Ketoacidosis: A Randomized Controlled Trial. J Emerg Med 50:551–559</w:t>
      </w:r>
    </w:p>
    <w:p w14:paraId="21708881" w14:textId="77777777" w:rsidR="0046376A" w:rsidRPr="00076637" w:rsidRDefault="0046376A" w:rsidP="0046376A">
      <w:pPr>
        <w:pStyle w:val="Bibliographie"/>
      </w:pPr>
      <w:r w:rsidRPr="00076637">
        <w:lastRenderedPageBreak/>
        <w:t xml:space="preserve">26. </w:t>
      </w:r>
      <w:r w:rsidRPr="00076637">
        <w:tab/>
        <w:t>Kuppermann N, Ghetti S, Schunk JE, et al (2018) Clinical Trial of Fluid Infusion Rates for Pediatric Diabetic Ketoacidosis. N Engl J Med 378:2275–2287</w:t>
      </w:r>
    </w:p>
    <w:p w14:paraId="753175BB" w14:textId="77777777" w:rsidR="0046376A" w:rsidRPr="00076637" w:rsidRDefault="0046376A" w:rsidP="0046376A">
      <w:pPr>
        <w:pStyle w:val="Bibliographie"/>
      </w:pPr>
      <w:r w:rsidRPr="00076637">
        <w:t xml:space="preserve">27. </w:t>
      </w:r>
      <w:r w:rsidRPr="00076637">
        <w:tab/>
        <w:t>Szabo FK, Fei L, Cruz LA, Abu-El-Haija M (2015) Early Enteral Nutrition and Aggressive Fluid Resuscitation are Associated with Improved Clinical Outcomes in Acute Pancreatitis. J Pediatr 167:397-402.e1. https://doi.org/10.1016/j.jpeds.2015.05.030</w:t>
      </w:r>
    </w:p>
    <w:p w14:paraId="057E81F8" w14:textId="77777777" w:rsidR="0046376A" w:rsidRPr="00076637" w:rsidRDefault="0046376A" w:rsidP="0046376A">
      <w:pPr>
        <w:pStyle w:val="Bibliographie"/>
      </w:pPr>
      <w:r w:rsidRPr="00076637">
        <w:t xml:space="preserve">28. </w:t>
      </w:r>
      <w:r w:rsidRPr="00076637">
        <w:tab/>
        <w:t>Delpachitra MR, Namachivayam SP, Millar J, et al (2017) A Case-Control Analysis of Postoperative Fluid Balance and Mortality After Pediatric Cardiac Surgery. Pediatr Crit Care Med J Soc Crit Care Med World Fed Pediatr Intensive Crit Care Soc 18:614–622. https://doi.org/10.1097/PCC.0000000000001170</w:t>
      </w:r>
    </w:p>
    <w:p w14:paraId="614CC475" w14:textId="77777777" w:rsidR="0046376A" w:rsidRPr="00076637" w:rsidRDefault="0046376A" w:rsidP="0046376A">
      <w:pPr>
        <w:pStyle w:val="Bibliographie"/>
      </w:pPr>
      <w:r w:rsidRPr="00076637">
        <w:t xml:space="preserve">29. </w:t>
      </w:r>
      <w:r w:rsidRPr="00076637">
        <w:tab/>
        <w:t>Seguin J, Albright B, Vertullo L, et al (2014) Extent, risk factors, and outcome of fluid overload after pediatric heart surgery*. Crit Care Med 42:2591–2599. https://doi.org/10.1097/CCM.0000000000000517</w:t>
      </w:r>
    </w:p>
    <w:p w14:paraId="5919B3A4" w14:textId="77777777" w:rsidR="0046376A" w:rsidRPr="00076637" w:rsidRDefault="0046376A" w:rsidP="0046376A">
      <w:pPr>
        <w:pStyle w:val="Bibliographie"/>
      </w:pPr>
      <w:r w:rsidRPr="00076637">
        <w:t xml:space="preserve">30. </w:t>
      </w:r>
      <w:r w:rsidRPr="00076637">
        <w:tab/>
        <w:t>Li D, Li X, Cui W, et al (2018) Liberal versus conservative fluid therapy in adults and children with sepsis or septic shock. Cochrane Database Syst Rev 2018:CD010593. https://doi.org/10.1002/14651858.CD010593.pub2</w:t>
      </w:r>
    </w:p>
    <w:p w14:paraId="4A0D6D13" w14:textId="77777777" w:rsidR="0046376A" w:rsidRPr="00076637" w:rsidRDefault="0046376A" w:rsidP="0046376A">
      <w:pPr>
        <w:pStyle w:val="Bibliographie"/>
      </w:pPr>
      <w:r w:rsidRPr="00076637">
        <w:t xml:space="preserve">31. </w:t>
      </w:r>
      <w:r w:rsidRPr="00076637">
        <w:tab/>
        <w:t>Kecskes Z, Healy G, Jensen A (2005) Fluid restriction for term infants with hypoxic‐ischaemic encephalopathy following perinatal asphyxia. Cochrane Database Syst Rev 2005:CD004337. https://doi.org/10.1002/14651858.CD004337.pub2</w:t>
      </w:r>
    </w:p>
    <w:p w14:paraId="001E4B39" w14:textId="77777777" w:rsidR="0046376A" w:rsidRPr="00076637" w:rsidRDefault="0046376A" w:rsidP="0046376A">
      <w:pPr>
        <w:pStyle w:val="Bibliographie"/>
      </w:pPr>
      <w:r w:rsidRPr="00076637">
        <w:t xml:space="preserve">32. </w:t>
      </w:r>
      <w:r w:rsidRPr="00076637">
        <w:tab/>
        <w:t>Coulthard MG, Long DA, Ullman AJ, Ware RS (2012) A randomised controlled trial of Hartmann’s solution versus half normal saline in postoperative paediatric spinal instrumentation and craniotomy patients. Arch Dis Child 97:491–496. https://doi.org/10.1136/archdischild-2011-300221</w:t>
      </w:r>
    </w:p>
    <w:p w14:paraId="25386A9A" w14:textId="77777777" w:rsidR="0046376A" w:rsidRPr="00076637" w:rsidRDefault="0046376A" w:rsidP="0046376A">
      <w:pPr>
        <w:pStyle w:val="Bibliographie"/>
      </w:pPr>
      <w:r w:rsidRPr="00076637">
        <w:t xml:space="preserve">33. </w:t>
      </w:r>
      <w:r w:rsidRPr="00076637">
        <w:tab/>
        <w:t>Díaz F, Nuñez MJ, Pino P, et al (2018) Implementation of preemptive fluid strategy as a bundle to prevent fluid overload in children with acute respiratory distress syndrome and sepsis. BMC Pediatr 18:</w:t>
      </w:r>
    </w:p>
    <w:p w14:paraId="005E65D3" w14:textId="613FDE5B" w:rsidR="0046376A" w:rsidRPr="00076637" w:rsidRDefault="0046376A" w:rsidP="0046376A">
      <w:pPr>
        <w:pStyle w:val="Bibliographie"/>
      </w:pPr>
      <w:r w:rsidRPr="00076637">
        <w:t xml:space="preserve">34. </w:t>
      </w:r>
      <w:r w:rsidRPr="00076637">
        <w:tab/>
        <w:t>Ingelse S, Geukers V, Dijsselhof M, et al (2019) Less Is More?</w:t>
      </w:r>
      <w:r w:rsidRPr="00076637" w:rsidDel="0046376A">
        <w:t xml:space="preserve"> </w:t>
      </w:r>
      <w:r w:rsidRPr="00076637">
        <w:t>A Feasibility Study of Fluid Strategy in Critically Ill Children With Acute Respiratory Tract Infection. Front Pediatr 7:</w:t>
      </w:r>
    </w:p>
    <w:p w14:paraId="40750347" w14:textId="77777777" w:rsidR="0046376A" w:rsidRPr="00076637" w:rsidRDefault="0046376A" w:rsidP="0046376A">
      <w:pPr>
        <w:pStyle w:val="Bibliographie"/>
      </w:pPr>
      <w:r w:rsidRPr="00076637">
        <w:t xml:space="preserve">35. </w:t>
      </w:r>
      <w:r w:rsidRPr="00076637">
        <w:tab/>
        <w:t>Raksha S, Dakshayani B, Premalatha R (2017) Full volume isotonic (0.9%) vs. Two-thirds volume hypotonic (0.18%) intravenous maintenance fluids in preventing hyponatremia in children admitted to pediatric intensive care unit-A randomized controlled study. J Trop Pediatr 63:454–460</w:t>
      </w:r>
    </w:p>
    <w:p w14:paraId="640B9A67" w14:textId="77777777" w:rsidR="0046376A" w:rsidRPr="00076637" w:rsidRDefault="0046376A" w:rsidP="0046376A">
      <w:pPr>
        <w:pStyle w:val="Bibliographie"/>
      </w:pPr>
      <w:r w:rsidRPr="00076637">
        <w:t xml:space="preserve">36. </w:t>
      </w:r>
      <w:r w:rsidRPr="00076637">
        <w:tab/>
        <w:t>Yung M, Keeley S (2009) Randomised controlled trial of intravenous maintenance fluids. J Paediatr Child Health 45:9–14</w:t>
      </w:r>
    </w:p>
    <w:p w14:paraId="2C2F40F4" w14:textId="77777777" w:rsidR="0046376A" w:rsidRPr="00076637" w:rsidRDefault="0046376A" w:rsidP="0046376A">
      <w:pPr>
        <w:pStyle w:val="Bibliographie"/>
      </w:pPr>
      <w:r w:rsidRPr="00076637">
        <w:t xml:space="preserve">37. </w:t>
      </w:r>
      <w:r w:rsidRPr="00076637">
        <w:tab/>
        <w:t>Kannan L, Lodha R, Vivekanandhan S, et al (2010) Intravenous fluid regimen and hyponatraemia among children: A randomized controlled trial. Pediatr Nephrol 25:2303–2309</w:t>
      </w:r>
    </w:p>
    <w:p w14:paraId="2BDB9AD2" w14:textId="77777777" w:rsidR="0046376A" w:rsidRPr="00076637" w:rsidRDefault="0046376A" w:rsidP="0046376A">
      <w:pPr>
        <w:pStyle w:val="Bibliographie"/>
      </w:pPr>
      <w:r w:rsidRPr="00076637">
        <w:t xml:space="preserve">38. </w:t>
      </w:r>
      <w:r w:rsidRPr="00076637">
        <w:tab/>
        <w:t>Neville KA, Sandeman DJ, Rubinstein A, et al (2010) Prevention of hyponatremia during maintenance intravenous fluid administration: a  prospective randomized study of fluid type versus fluid rate. J Pediatr 156:313-319.e1–2</w:t>
      </w:r>
    </w:p>
    <w:p w14:paraId="22CF3D63" w14:textId="77777777" w:rsidR="0046376A" w:rsidRPr="00076637" w:rsidRDefault="0046376A" w:rsidP="0046376A">
      <w:pPr>
        <w:pStyle w:val="Bibliographie"/>
      </w:pPr>
      <w:r w:rsidRPr="00076637">
        <w:t xml:space="preserve">39. </w:t>
      </w:r>
      <w:r w:rsidRPr="00076637">
        <w:tab/>
        <w:t>Singhi SC, Singhi PD, Srinivas B, et al (1995) Fluid restriction does not improve the outcome of acute meningitis. Pediatr Infect Dis J 14:495–503</w:t>
      </w:r>
    </w:p>
    <w:p w14:paraId="0372C34E" w14:textId="77777777" w:rsidR="0046376A" w:rsidRPr="00076637" w:rsidRDefault="0046376A" w:rsidP="0046376A">
      <w:pPr>
        <w:pStyle w:val="Bibliographie"/>
      </w:pPr>
      <w:r w:rsidRPr="00076637">
        <w:lastRenderedPageBreak/>
        <w:t xml:space="preserve">40. </w:t>
      </w:r>
      <w:r w:rsidRPr="00076637">
        <w:tab/>
        <w:t>Raina R, Sethi SK, Wadhwani N, et al (2018) Fluid Overload in Critically Ill Children. Front Pediatr 6:</w:t>
      </w:r>
    </w:p>
    <w:p w14:paraId="64BB2D9F" w14:textId="4BEDE348" w:rsidR="0046376A" w:rsidRPr="00076637" w:rsidRDefault="0046376A" w:rsidP="0046376A">
      <w:pPr>
        <w:pStyle w:val="Bibliographie"/>
      </w:pPr>
      <w:r w:rsidRPr="00076637">
        <w:t xml:space="preserve">41. </w:t>
      </w:r>
      <w:r w:rsidRPr="00076637">
        <w:tab/>
        <w:t>Ingelse SA, Wiegers HMG, Calis JC, et al (2017) Early Fluid Overload Prolongs Mechanical Ventilation in Children With Viral-Lower Respiratory Tract Disease*. Pediatr Crit Care Med 18:e106-e111</w:t>
      </w:r>
    </w:p>
    <w:p w14:paraId="394130ED" w14:textId="48087D6E" w:rsidR="00E13392" w:rsidRPr="00456DF3" w:rsidRDefault="00CF0768">
      <w:pPr>
        <w:spacing w:line="360" w:lineRule="auto"/>
        <w:rPr>
          <w:rFonts w:ascii="Times New Roman" w:hAnsi="Times New Roman" w:cs="Times New Roman"/>
          <w:b/>
          <w:color w:val="767171"/>
          <w:sz w:val="24"/>
          <w:szCs w:val="24"/>
          <w:lang w:val="en-GB"/>
        </w:rPr>
      </w:pPr>
      <w:r w:rsidRPr="00076637">
        <w:rPr>
          <w:rFonts w:ascii="Times New Roman" w:hAnsi="Times New Roman" w:cs="Times New Roman"/>
          <w:b/>
          <w:color w:val="767171"/>
          <w:sz w:val="24"/>
          <w:szCs w:val="24"/>
        </w:rPr>
        <w:fldChar w:fldCharType="end"/>
      </w:r>
    </w:p>
    <w:sectPr w:rsidR="00E13392" w:rsidRPr="00456DF3">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21551"/>
    <w:multiLevelType w:val="multilevel"/>
    <w:tmpl w:val="FF226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050C1A"/>
    <w:multiLevelType w:val="multilevel"/>
    <w:tmpl w:val="01705E0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376676"/>
    <w:multiLevelType w:val="hybridMultilevel"/>
    <w:tmpl w:val="E94E0408"/>
    <w:lvl w:ilvl="0" w:tplc="06AE8792">
      <w:start w:val="1"/>
      <w:numFmt w:val="decimal"/>
      <w:pStyle w:val="Titre1"/>
      <w:lvlText w:val="%1."/>
      <w:lvlJc w:val="left"/>
      <w:pPr>
        <w:ind w:left="360" w:hanging="360"/>
      </w:pPr>
      <w:rPr>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414702D3"/>
    <w:multiLevelType w:val="hybridMultilevel"/>
    <w:tmpl w:val="F140BE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2373C75"/>
    <w:multiLevelType w:val="multilevel"/>
    <w:tmpl w:val="2FF2E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7C4A6F"/>
    <w:multiLevelType w:val="hybridMultilevel"/>
    <w:tmpl w:val="77AC89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8961501">
    <w:abstractNumId w:val="0"/>
  </w:num>
  <w:num w:numId="2" w16cid:durableId="1227912734">
    <w:abstractNumId w:val="4"/>
  </w:num>
  <w:num w:numId="3" w16cid:durableId="524173210">
    <w:abstractNumId w:val="1"/>
  </w:num>
  <w:num w:numId="4" w16cid:durableId="398021486">
    <w:abstractNumId w:val="5"/>
  </w:num>
  <w:num w:numId="5" w16cid:durableId="654795832">
    <w:abstractNumId w:val="3"/>
  </w:num>
  <w:num w:numId="6" w16cid:durableId="1681855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637"/>
    <w:rsid w:val="00011FC5"/>
    <w:rsid w:val="00012D83"/>
    <w:rsid w:val="0003379C"/>
    <w:rsid w:val="00076637"/>
    <w:rsid w:val="000A4738"/>
    <w:rsid w:val="000B0609"/>
    <w:rsid w:val="000B140B"/>
    <w:rsid w:val="000C130E"/>
    <w:rsid w:val="000E1CD9"/>
    <w:rsid w:val="00105ACB"/>
    <w:rsid w:val="00117637"/>
    <w:rsid w:val="001378DE"/>
    <w:rsid w:val="00142E2D"/>
    <w:rsid w:val="00145450"/>
    <w:rsid w:val="001834AF"/>
    <w:rsid w:val="00193711"/>
    <w:rsid w:val="001E2B45"/>
    <w:rsid w:val="00223FE3"/>
    <w:rsid w:val="002254DC"/>
    <w:rsid w:val="002538CE"/>
    <w:rsid w:val="002816CE"/>
    <w:rsid w:val="0028265E"/>
    <w:rsid w:val="00283E3D"/>
    <w:rsid w:val="00296130"/>
    <w:rsid w:val="002D5A8C"/>
    <w:rsid w:val="002E0D29"/>
    <w:rsid w:val="0030406D"/>
    <w:rsid w:val="0030563F"/>
    <w:rsid w:val="00327431"/>
    <w:rsid w:val="00332DF0"/>
    <w:rsid w:val="0033596C"/>
    <w:rsid w:val="00361CA0"/>
    <w:rsid w:val="00377264"/>
    <w:rsid w:val="00387560"/>
    <w:rsid w:val="00392549"/>
    <w:rsid w:val="003B083C"/>
    <w:rsid w:val="003D6B1D"/>
    <w:rsid w:val="003F5C42"/>
    <w:rsid w:val="00422540"/>
    <w:rsid w:val="00442D0A"/>
    <w:rsid w:val="004459C0"/>
    <w:rsid w:val="00450A7B"/>
    <w:rsid w:val="00456DF3"/>
    <w:rsid w:val="0046376A"/>
    <w:rsid w:val="00464F17"/>
    <w:rsid w:val="0047742D"/>
    <w:rsid w:val="00487661"/>
    <w:rsid w:val="00492CC5"/>
    <w:rsid w:val="004C0749"/>
    <w:rsid w:val="004D3168"/>
    <w:rsid w:val="004E11AF"/>
    <w:rsid w:val="004F5FCB"/>
    <w:rsid w:val="004F628D"/>
    <w:rsid w:val="00505C11"/>
    <w:rsid w:val="00505F56"/>
    <w:rsid w:val="005150C2"/>
    <w:rsid w:val="00525A07"/>
    <w:rsid w:val="005414E1"/>
    <w:rsid w:val="00574796"/>
    <w:rsid w:val="005812F5"/>
    <w:rsid w:val="00586F45"/>
    <w:rsid w:val="005C28B6"/>
    <w:rsid w:val="005E3C52"/>
    <w:rsid w:val="005F0BEB"/>
    <w:rsid w:val="0061387B"/>
    <w:rsid w:val="00634F07"/>
    <w:rsid w:val="00635A15"/>
    <w:rsid w:val="0063789A"/>
    <w:rsid w:val="00637A3E"/>
    <w:rsid w:val="00663C46"/>
    <w:rsid w:val="00666850"/>
    <w:rsid w:val="006971BF"/>
    <w:rsid w:val="006A2616"/>
    <w:rsid w:val="006B76EA"/>
    <w:rsid w:val="006E4702"/>
    <w:rsid w:val="00705285"/>
    <w:rsid w:val="0078308C"/>
    <w:rsid w:val="007874D2"/>
    <w:rsid w:val="007A24DA"/>
    <w:rsid w:val="007A7B79"/>
    <w:rsid w:val="007B110C"/>
    <w:rsid w:val="007E5901"/>
    <w:rsid w:val="007F77D8"/>
    <w:rsid w:val="00802EE3"/>
    <w:rsid w:val="008202FA"/>
    <w:rsid w:val="008654E0"/>
    <w:rsid w:val="00880B8F"/>
    <w:rsid w:val="0088485F"/>
    <w:rsid w:val="008C4ED8"/>
    <w:rsid w:val="008D4723"/>
    <w:rsid w:val="008F7A3C"/>
    <w:rsid w:val="00904F9F"/>
    <w:rsid w:val="009449DD"/>
    <w:rsid w:val="00980C5F"/>
    <w:rsid w:val="009B0A11"/>
    <w:rsid w:val="009B6571"/>
    <w:rsid w:val="009E3460"/>
    <w:rsid w:val="009E73F6"/>
    <w:rsid w:val="009F2A2F"/>
    <w:rsid w:val="009F7FB9"/>
    <w:rsid w:val="00A0004B"/>
    <w:rsid w:val="00A16597"/>
    <w:rsid w:val="00A82593"/>
    <w:rsid w:val="00AA11AE"/>
    <w:rsid w:val="00AA35AE"/>
    <w:rsid w:val="00AB6986"/>
    <w:rsid w:val="00AB7B2F"/>
    <w:rsid w:val="00AD7475"/>
    <w:rsid w:val="00AE3150"/>
    <w:rsid w:val="00AE3F60"/>
    <w:rsid w:val="00B07923"/>
    <w:rsid w:val="00B5359A"/>
    <w:rsid w:val="00B5605A"/>
    <w:rsid w:val="00B70F3C"/>
    <w:rsid w:val="00B7217F"/>
    <w:rsid w:val="00B76D2A"/>
    <w:rsid w:val="00B8092C"/>
    <w:rsid w:val="00B82863"/>
    <w:rsid w:val="00B8456B"/>
    <w:rsid w:val="00B905C0"/>
    <w:rsid w:val="00BB1A93"/>
    <w:rsid w:val="00BD4624"/>
    <w:rsid w:val="00BE6A59"/>
    <w:rsid w:val="00C139BD"/>
    <w:rsid w:val="00C57A4E"/>
    <w:rsid w:val="00C738C1"/>
    <w:rsid w:val="00C96A2A"/>
    <w:rsid w:val="00C972E9"/>
    <w:rsid w:val="00CB44C2"/>
    <w:rsid w:val="00CD3002"/>
    <w:rsid w:val="00CF0768"/>
    <w:rsid w:val="00CF2E91"/>
    <w:rsid w:val="00D10758"/>
    <w:rsid w:val="00D164E6"/>
    <w:rsid w:val="00D2261B"/>
    <w:rsid w:val="00D25AF0"/>
    <w:rsid w:val="00D36242"/>
    <w:rsid w:val="00D57C7E"/>
    <w:rsid w:val="00D67ED0"/>
    <w:rsid w:val="00D764CF"/>
    <w:rsid w:val="00D77564"/>
    <w:rsid w:val="00D779B6"/>
    <w:rsid w:val="00DA4849"/>
    <w:rsid w:val="00DD7849"/>
    <w:rsid w:val="00DE0983"/>
    <w:rsid w:val="00E13392"/>
    <w:rsid w:val="00E157F3"/>
    <w:rsid w:val="00E652AF"/>
    <w:rsid w:val="00E74982"/>
    <w:rsid w:val="00EA6BAC"/>
    <w:rsid w:val="00EB35CD"/>
    <w:rsid w:val="00EE5A3D"/>
    <w:rsid w:val="00F01B6C"/>
    <w:rsid w:val="00F12966"/>
    <w:rsid w:val="00F16870"/>
    <w:rsid w:val="00F31176"/>
    <w:rsid w:val="00F430D4"/>
    <w:rsid w:val="00F44DA6"/>
    <w:rsid w:val="00F52013"/>
    <w:rsid w:val="00F57D90"/>
    <w:rsid w:val="00F64261"/>
    <w:rsid w:val="00F71D23"/>
    <w:rsid w:val="00F90C5F"/>
    <w:rsid w:val="00F9204B"/>
    <w:rsid w:val="00F96AA2"/>
    <w:rsid w:val="00FA0CFB"/>
    <w:rsid w:val="00FD1DE5"/>
    <w:rsid w:val="00FF3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F8F3D"/>
  <w15:docId w15:val="{BDC35C29-DA70-4858-B28E-D86A20CC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BB1"/>
  </w:style>
  <w:style w:type="paragraph" w:styleId="Titre1">
    <w:name w:val="heading 1"/>
    <w:basedOn w:val="Paragraphedeliste"/>
    <w:next w:val="Normal"/>
    <w:uiPriority w:val="9"/>
    <w:qFormat/>
    <w:rsid w:val="00456DF3"/>
    <w:pPr>
      <w:numPr>
        <w:numId w:val="6"/>
      </w:numPr>
      <w:pBdr>
        <w:top w:val="nil"/>
        <w:left w:val="nil"/>
        <w:bottom w:val="nil"/>
        <w:right w:val="nil"/>
        <w:between w:val="nil"/>
      </w:pBdr>
      <w:spacing w:line="360" w:lineRule="auto"/>
      <w:outlineLvl w:val="0"/>
    </w:pPr>
    <w:rPr>
      <w:rFonts w:ascii="Times New Roman" w:eastAsia="Times New Roman" w:hAnsi="Times New Roman" w:cs="Times New Roman"/>
      <w:b/>
      <w:color w:val="808080" w:themeColor="background1" w:themeShade="80"/>
      <w:sz w:val="24"/>
      <w:szCs w:val="24"/>
      <w:u w:val="single"/>
      <w:lang w:val="en-GB"/>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link w:val="Titre4Car"/>
    <w:uiPriority w:val="9"/>
    <w:semiHidden/>
    <w:unhideWhenUsed/>
    <w:qFormat/>
    <w:rsid w:val="00953241"/>
    <w:pPr>
      <w:spacing w:before="100" w:beforeAutospacing="1" w:after="100" w:afterAutospacing="1" w:line="240" w:lineRule="auto"/>
      <w:outlineLvl w:val="3"/>
    </w:pPr>
    <w:rPr>
      <w:rFonts w:ascii="Times New Roman" w:eastAsia="Times New Roman" w:hAnsi="Times New Roman" w:cs="Times New Roman"/>
      <w:b/>
      <w:bCs/>
      <w:sz w:val="24"/>
      <w:szCs w:val="24"/>
      <w:lang w:val="fr-FR"/>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Paragraphedeliste">
    <w:name w:val="List Paragraph"/>
    <w:basedOn w:val="Normal"/>
    <w:uiPriority w:val="34"/>
    <w:qFormat/>
    <w:rsid w:val="007D2BB1"/>
    <w:pPr>
      <w:ind w:left="720"/>
      <w:contextualSpacing/>
    </w:pPr>
  </w:style>
  <w:style w:type="table" w:customStyle="1" w:styleId="TableNormal10">
    <w:name w:val="Table Normal1"/>
    <w:rsid w:val="007D2BB1"/>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6D5D06"/>
    <w:rPr>
      <w:sz w:val="16"/>
      <w:szCs w:val="16"/>
    </w:rPr>
  </w:style>
  <w:style w:type="paragraph" w:styleId="Commentaire">
    <w:name w:val="annotation text"/>
    <w:basedOn w:val="Normal"/>
    <w:link w:val="CommentaireCar"/>
    <w:uiPriority w:val="99"/>
    <w:unhideWhenUsed/>
    <w:rsid w:val="006D5D06"/>
    <w:pPr>
      <w:spacing w:line="240" w:lineRule="auto"/>
    </w:pPr>
    <w:rPr>
      <w:sz w:val="20"/>
      <w:szCs w:val="20"/>
    </w:rPr>
  </w:style>
  <w:style w:type="character" w:customStyle="1" w:styleId="CommentaireCar">
    <w:name w:val="Commentaire Car"/>
    <w:basedOn w:val="Policepardfaut"/>
    <w:link w:val="Commentaire"/>
    <w:uiPriority w:val="99"/>
    <w:rsid w:val="006D5D06"/>
    <w:rPr>
      <w:rFonts w:ascii="Calibri" w:eastAsia="Calibri" w:hAnsi="Calibri" w:cs="Calibri"/>
      <w:sz w:val="20"/>
      <w:szCs w:val="20"/>
      <w:lang w:val="en-US" w:eastAsia="fr-FR"/>
    </w:rPr>
  </w:style>
  <w:style w:type="paragraph" w:styleId="Objetducommentaire">
    <w:name w:val="annotation subject"/>
    <w:basedOn w:val="Commentaire"/>
    <w:next w:val="Commentaire"/>
    <w:link w:val="ObjetducommentaireCar"/>
    <w:uiPriority w:val="99"/>
    <w:semiHidden/>
    <w:unhideWhenUsed/>
    <w:rsid w:val="006D5D06"/>
    <w:rPr>
      <w:b/>
      <w:bCs/>
    </w:rPr>
  </w:style>
  <w:style w:type="character" w:customStyle="1" w:styleId="ObjetducommentaireCar">
    <w:name w:val="Objet du commentaire Car"/>
    <w:basedOn w:val="CommentaireCar"/>
    <w:link w:val="Objetducommentaire"/>
    <w:uiPriority w:val="99"/>
    <w:semiHidden/>
    <w:rsid w:val="006D5D06"/>
    <w:rPr>
      <w:rFonts w:ascii="Calibri" w:eastAsia="Calibri" w:hAnsi="Calibri" w:cs="Calibri"/>
      <w:b/>
      <w:bCs/>
      <w:sz w:val="20"/>
      <w:szCs w:val="20"/>
      <w:lang w:val="en-US" w:eastAsia="fr-FR"/>
    </w:rPr>
  </w:style>
  <w:style w:type="paragraph" w:styleId="Textedebulles">
    <w:name w:val="Balloon Text"/>
    <w:basedOn w:val="Normal"/>
    <w:link w:val="TextedebullesCar"/>
    <w:uiPriority w:val="99"/>
    <w:semiHidden/>
    <w:unhideWhenUsed/>
    <w:rsid w:val="009424F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424FF"/>
    <w:rPr>
      <w:rFonts w:ascii="Segoe UI" w:eastAsia="Calibri" w:hAnsi="Segoe UI" w:cs="Segoe UI"/>
      <w:sz w:val="18"/>
      <w:szCs w:val="18"/>
      <w:lang w:val="en-US" w:eastAsia="fr-FR"/>
    </w:rPr>
  </w:style>
  <w:style w:type="character" w:customStyle="1" w:styleId="Titre4Car">
    <w:name w:val="Titre 4 Car"/>
    <w:basedOn w:val="Policepardfaut"/>
    <w:link w:val="Titre4"/>
    <w:uiPriority w:val="9"/>
    <w:rsid w:val="00953241"/>
    <w:rPr>
      <w:rFonts w:ascii="Times New Roman" w:eastAsia="Times New Roman" w:hAnsi="Times New Roman" w:cs="Times New Roman"/>
      <w:b/>
      <w:bCs/>
      <w:sz w:val="24"/>
      <w:szCs w:val="24"/>
      <w:lang w:eastAsia="fr-FR"/>
    </w:rPr>
  </w:style>
  <w:style w:type="character" w:customStyle="1" w:styleId="user-generated">
    <w:name w:val="user-generated"/>
    <w:basedOn w:val="Policepardfaut"/>
    <w:rsid w:val="00953241"/>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vision">
    <w:name w:val="Revision"/>
    <w:hidden/>
    <w:uiPriority w:val="99"/>
    <w:semiHidden/>
    <w:rsid w:val="00F12966"/>
    <w:pPr>
      <w:spacing w:after="0" w:line="240" w:lineRule="auto"/>
    </w:pPr>
  </w:style>
  <w:style w:type="table" w:styleId="Grilledutableau">
    <w:name w:val="Table Grid"/>
    <w:basedOn w:val="TableauNormal"/>
    <w:uiPriority w:val="39"/>
    <w:rsid w:val="00E13392"/>
    <w:pPr>
      <w:spacing w:after="0" w:line="240" w:lineRule="auto"/>
    </w:pPr>
    <w:rPr>
      <w:rFonts w:asciiTheme="minorHAnsi" w:eastAsiaTheme="minorHAnsi" w:hAnsiTheme="minorHAnsi" w:cstheme="minorBidi"/>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CF0768"/>
    <w:pPr>
      <w:tabs>
        <w:tab w:val="left" w:pos="504"/>
      </w:tabs>
      <w:spacing w:after="240" w:line="240" w:lineRule="auto"/>
      <w:ind w:left="504" w:hanging="504"/>
    </w:pPr>
  </w:style>
  <w:style w:type="character" w:styleId="Lienhypertexte">
    <w:name w:val="Hyperlink"/>
    <w:basedOn w:val="Policepardfaut"/>
    <w:uiPriority w:val="99"/>
    <w:unhideWhenUsed/>
    <w:rsid w:val="00634F07"/>
    <w:rPr>
      <w:color w:val="0563C1" w:themeColor="hyperlink"/>
      <w:u w:val="single"/>
    </w:rPr>
  </w:style>
  <w:style w:type="character" w:styleId="Lienhypertextesuivivisit">
    <w:name w:val="FollowedHyperlink"/>
    <w:basedOn w:val="Policepardfaut"/>
    <w:uiPriority w:val="99"/>
    <w:semiHidden/>
    <w:unhideWhenUsed/>
    <w:rsid w:val="004637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746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VLY9q/g3BQsd01LSKyL/sxfEtg==">AMUW2mUrfm/EyHVshqcRl1/jOu3pAkeY+EMbp4ztHX3bPAnkxh/qL/iExwqn/1oTsOwZGhsmKKT4s2SKmhY2FNB1k6XIppVFj2D4wIrLPWy0vT2N5Y4cx09YRuJjV3MA2klEpsv8OwMg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34774</Words>
  <Characters>191259</Characters>
  <Application>Microsoft Office Word</Application>
  <DocSecurity>0</DocSecurity>
  <Lines>1593</Lines>
  <Paragraphs>451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BROSSIER DAVID</dc:creator>
  <cp:lastModifiedBy>frederic valla</cp:lastModifiedBy>
  <cp:revision>3</cp:revision>
  <cp:lastPrinted>2022-05-04T17:09:00Z</cp:lastPrinted>
  <dcterms:created xsi:type="dcterms:W3CDTF">2022-08-22T08:38:00Z</dcterms:created>
  <dcterms:modified xsi:type="dcterms:W3CDTF">2022-08-22T08:38:00Z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id="7qGQlw7Y"/&gt;&lt;style id="http://www.zotero.org/styles/intensive-care-medicine" hasBibliography="1" bibliographyStyleHasBeenSet="1"/&gt;&lt;prefs&gt;&lt;pref name="fieldType" value="Field"/&gt;&lt;pref name="automaticJ</vt:lpwstr>
  </property>
  <property fmtid="{D5CDD505-2E9C-101B-9397-08002B2CF9AE}" pid="3" name="ZOTERO_PREF_2">
    <vt:lpwstr>ournalAbbreviations" value="true"/&gt;&lt;/prefs&gt;&lt;/data&gt;</vt:lpwstr>
  </property>
</Properties>
</file>