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EE62AA" w14:textId="75C4B488" w:rsidR="00353CE5" w:rsidRDefault="00B1006E" w:rsidP="00B1006E">
      <w:r>
        <w:t>Supplemental digital content 12: updated literature review of published trials and ongoing trials (De</w:t>
      </w:r>
      <w:bookmarkStart w:id="0" w:name="_GoBack"/>
      <w:bookmarkEnd w:id="0"/>
      <w:r>
        <w:t>cember 2020 - June 2022)</w:t>
      </w:r>
    </w:p>
    <w:tbl>
      <w:tblPr>
        <w:tblStyle w:val="a"/>
        <w:tblW w:w="15735"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2977"/>
        <w:gridCol w:w="2693"/>
        <w:gridCol w:w="2552"/>
        <w:gridCol w:w="5670"/>
      </w:tblGrid>
      <w:tr w:rsidR="00B1006E" w:rsidRPr="00D275F9" w14:paraId="78F1ED93" w14:textId="77777777" w:rsidTr="00662D94">
        <w:tc>
          <w:tcPr>
            <w:tcW w:w="1843" w:type="dxa"/>
          </w:tcPr>
          <w:p w14:paraId="0ACB7930"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Study: Author and year of publication</w:t>
            </w:r>
          </w:p>
        </w:tc>
        <w:tc>
          <w:tcPr>
            <w:tcW w:w="2977" w:type="dxa"/>
          </w:tcPr>
          <w:p w14:paraId="3AF4CAC7"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Study examined</w:t>
            </w:r>
          </w:p>
          <w:p w14:paraId="5C1411CD" w14:textId="77777777" w:rsidR="00B1006E" w:rsidRPr="00D275F9" w:rsidRDefault="00B1006E" w:rsidP="00662D94">
            <w:pPr>
              <w:rPr>
                <w:rFonts w:asciiTheme="minorHAnsi" w:hAnsiTheme="minorHAnsi" w:cstheme="minorHAnsi"/>
                <w:sz w:val="20"/>
                <w:szCs w:val="20"/>
              </w:rPr>
            </w:pPr>
          </w:p>
        </w:tc>
        <w:tc>
          <w:tcPr>
            <w:tcW w:w="2693" w:type="dxa"/>
          </w:tcPr>
          <w:p w14:paraId="08FBD9B1"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Study design</w:t>
            </w:r>
          </w:p>
          <w:p w14:paraId="40DB0436"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Settings and location</w:t>
            </w:r>
          </w:p>
        </w:tc>
        <w:tc>
          <w:tcPr>
            <w:tcW w:w="2552" w:type="dxa"/>
          </w:tcPr>
          <w:p w14:paraId="2D3D6C34"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Patient population</w:t>
            </w:r>
          </w:p>
          <w:p w14:paraId="286CBF8A" w14:textId="77777777" w:rsidR="00B1006E" w:rsidRPr="00D275F9" w:rsidRDefault="00B1006E" w:rsidP="00662D94">
            <w:pPr>
              <w:rPr>
                <w:rFonts w:asciiTheme="minorHAnsi" w:hAnsiTheme="minorHAnsi" w:cstheme="minorHAnsi"/>
                <w:sz w:val="20"/>
                <w:szCs w:val="20"/>
              </w:rPr>
            </w:pPr>
          </w:p>
        </w:tc>
        <w:tc>
          <w:tcPr>
            <w:tcW w:w="5670" w:type="dxa"/>
          </w:tcPr>
          <w:p w14:paraId="6EFCD0E5"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Summary of results</w:t>
            </w:r>
          </w:p>
          <w:p w14:paraId="73E6D122" w14:textId="77777777" w:rsidR="00B1006E" w:rsidRPr="00D275F9" w:rsidRDefault="00B1006E" w:rsidP="00662D94">
            <w:pPr>
              <w:rPr>
                <w:rFonts w:asciiTheme="minorHAnsi" w:hAnsiTheme="minorHAnsi" w:cstheme="minorHAnsi"/>
                <w:sz w:val="20"/>
                <w:szCs w:val="20"/>
              </w:rPr>
            </w:pPr>
          </w:p>
        </w:tc>
      </w:tr>
      <w:tr w:rsidR="00B1006E" w:rsidRPr="00D275F9" w14:paraId="06F7DB40" w14:textId="77777777" w:rsidTr="00662D94">
        <w:tc>
          <w:tcPr>
            <w:tcW w:w="1843" w:type="dxa"/>
          </w:tcPr>
          <w:p w14:paraId="743413B7" w14:textId="77777777" w:rsidR="00B1006E" w:rsidRPr="00D275F9" w:rsidRDefault="00B1006E" w:rsidP="00662D94">
            <w:pPr>
              <w:rPr>
                <w:rFonts w:asciiTheme="minorHAnsi" w:hAnsiTheme="minorHAnsi" w:cstheme="minorHAnsi"/>
                <w:sz w:val="20"/>
                <w:szCs w:val="20"/>
              </w:rPr>
            </w:pPr>
            <w:proofErr w:type="spellStart"/>
            <w:r w:rsidRPr="00D275F9">
              <w:rPr>
                <w:rFonts w:asciiTheme="minorHAnsi" w:hAnsiTheme="minorHAnsi" w:cstheme="minorHAnsi"/>
                <w:sz w:val="20"/>
                <w:szCs w:val="20"/>
              </w:rPr>
              <w:t>Akinsola</w:t>
            </w:r>
            <w:proofErr w:type="spellEnd"/>
            <w:r w:rsidRPr="00D275F9">
              <w:rPr>
                <w:rFonts w:asciiTheme="minorHAnsi" w:hAnsiTheme="minorHAnsi" w:cstheme="minorHAnsi"/>
                <w:sz w:val="20"/>
                <w:szCs w:val="20"/>
              </w:rPr>
              <w:t xml:space="preserve"> et al. </w:t>
            </w:r>
            <w:r w:rsidRPr="00D275F9">
              <w:rPr>
                <w:rFonts w:asciiTheme="minorHAnsi" w:hAnsiTheme="minorHAnsi" w:cstheme="minorHAnsi"/>
                <w:sz w:val="20"/>
                <w:szCs w:val="20"/>
              </w:rPr>
              <w:fldChar w:fldCharType="begin"/>
            </w:r>
            <w:r w:rsidRPr="00D275F9">
              <w:rPr>
                <w:rFonts w:asciiTheme="minorHAnsi" w:hAnsiTheme="minorHAnsi" w:cstheme="minorHAnsi"/>
                <w:sz w:val="20"/>
                <w:szCs w:val="20"/>
              </w:rPr>
              <w:instrText xml:space="preserve"> ADDIN ZOTERO_ITEM CSL_CITATION {"citationID":"SB1rKlU1","properties":{"formattedCitation":"[1]","plainCitation":"[1]","noteIndex":0},"citationItems":[{"id":5444,"uris":["http://zotero.org/groups/2688840/items/YFTV36BD"],"itemData":{"id":5444,"type":"article-journal","abstract":"BACKGROUND: Maintenance intravenous fluids (IVFs) are commonly used in the hospital setting. Hypotonic IVFs are commonly used in pediatrics despite concerns about high incidence of hyponatremia. We aimed to increase isotonic maintenance IVF use in children admitted from the emergency department (ED) from a baseline of 20% in 2018 to &gt;80% by December 2019.\nMETHODS: We included patients aged 28 days to 18 years receiving maintenance IVFs (rate &gt;10 mL/hour) at the time of admission. Patients with active chronic medical problems were excluded. Interventions included institutional discussions on isotonic IVF based on literature review, education on isotonic IVF use per the American Academy of Pediatrics guideline (isotonic IVF use with appropriate potassium chloride and dextrose), electronic medical record changes to encourage isotonic IVF use, and group practice review with individual physician audit and feedback. Balancing measures were the frequency of serum electrolyte checks within 24 hours of ED admission and occurrence of hypernatremia. Data were analyzed by using statistical process control charts.\nRESULTS: Isotonic maintenance IVF use improved, with special cause observed twice; the 80% goal was met and sustained. No difference was noted in serum electrolyte checks within 24 hours of admission (P &gt; .05). There was no increase in occurrence of hypernatremia among patients who received isotonic IVF compared with those who received hypotonic IVF (P &gt; .05).\nCONCLUSIONS: The application of improvement methods resulted in improved isotonic IVF use in ED patients admitted to the inpatient setting. Institutional readiness for change at the time of the American Academy of Pediatrics guideline release and hardwiring of preferred fluids via electronic medical record changes were critical to success.","container-title":"Pediatrics","DOI":"10.1542/peds.2020-022947","ISSN":"0031-4005, 1098-4275","issue":"1","language":"en","page":"e2020022947","source":"DOI.org (Crossref)","title":"Improving Isotonic Maintenance Intravenous Fluid Use in the Emergency Department","volume":"148","author":[{"family":"Akinsola","given":"Bolanle"},{"family":"Cheng","given":"John"},{"family":"Iyer","given":"Srikant B."},{"family":"Jain","given":"Shabnam"}],"issued":{"date-parts":[["2021",7,1]]}}}],"schema":"https://github.com/citation-style-language/schema/raw/master/csl-citation.json"} </w:instrText>
            </w:r>
            <w:r w:rsidRPr="00D275F9">
              <w:rPr>
                <w:rFonts w:asciiTheme="minorHAnsi" w:hAnsiTheme="minorHAnsi" w:cstheme="minorHAnsi"/>
                <w:sz w:val="20"/>
                <w:szCs w:val="20"/>
              </w:rPr>
              <w:fldChar w:fldCharType="separate"/>
            </w:r>
            <w:r w:rsidRPr="00D275F9">
              <w:rPr>
                <w:rFonts w:asciiTheme="minorHAnsi" w:hAnsiTheme="minorHAnsi" w:cstheme="minorHAnsi"/>
                <w:sz w:val="20"/>
                <w:szCs w:val="20"/>
              </w:rPr>
              <w:t>[1]</w:t>
            </w:r>
            <w:r w:rsidRPr="00D275F9">
              <w:rPr>
                <w:rFonts w:asciiTheme="minorHAnsi" w:hAnsiTheme="minorHAnsi" w:cstheme="minorHAnsi"/>
                <w:sz w:val="20"/>
                <w:szCs w:val="20"/>
              </w:rPr>
              <w:fldChar w:fldCharType="end"/>
            </w:r>
          </w:p>
          <w:p w14:paraId="0CE5424E"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2021</w:t>
            </w:r>
          </w:p>
        </w:tc>
        <w:tc>
          <w:tcPr>
            <w:tcW w:w="2977" w:type="dxa"/>
          </w:tcPr>
          <w:p w14:paraId="522D5053" w14:textId="77777777" w:rsidR="00B1006E" w:rsidRPr="00D275F9" w:rsidRDefault="00B1006E" w:rsidP="00662D94">
            <w:pPr>
              <w:rPr>
                <w:rFonts w:asciiTheme="minorHAnsi" w:hAnsiTheme="minorHAnsi" w:cstheme="minorHAnsi"/>
                <w:sz w:val="20"/>
                <w:szCs w:val="20"/>
                <w:u w:val="single"/>
              </w:rPr>
            </w:pPr>
            <w:r w:rsidRPr="00D275F9">
              <w:rPr>
                <w:rFonts w:asciiTheme="minorHAnsi" w:hAnsiTheme="minorHAnsi" w:cstheme="minorHAnsi"/>
                <w:sz w:val="20"/>
                <w:szCs w:val="20"/>
                <w:u w:val="single"/>
              </w:rPr>
              <w:t>PICO 2</w:t>
            </w:r>
          </w:p>
          <w:p w14:paraId="2F6F5D84"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Subgroup analysis comparing  intra-venous maintenance fluid therapy (IV</w:t>
            </w:r>
            <w:r>
              <w:rPr>
                <w:rFonts w:asciiTheme="minorHAnsi" w:hAnsiTheme="minorHAnsi" w:cstheme="minorHAnsi"/>
                <w:sz w:val="20"/>
                <w:szCs w:val="20"/>
              </w:rPr>
              <w:t>-</w:t>
            </w:r>
            <w:r w:rsidRPr="00D275F9">
              <w:rPr>
                <w:rFonts w:asciiTheme="minorHAnsi" w:hAnsiTheme="minorHAnsi" w:cstheme="minorHAnsi"/>
                <w:sz w:val="20"/>
                <w:szCs w:val="20"/>
              </w:rPr>
              <w:t>MFT) with isotonic fluids to hypotonic fluids</w:t>
            </w:r>
          </w:p>
          <w:p w14:paraId="5E6350DE" w14:textId="77777777" w:rsidR="00B1006E" w:rsidRPr="00D275F9" w:rsidRDefault="00B1006E" w:rsidP="00662D94">
            <w:pPr>
              <w:rPr>
                <w:rFonts w:asciiTheme="minorHAnsi" w:hAnsiTheme="minorHAnsi" w:cstheme="minorHAnsi"/>
                <w:sz w:val="20"/>
                <w:szCs w:val="20"/>
              </w:rPr>
            </w:pPr>
          </w:p>
        </w:tc>
        <w:tc>
          <w:tcPr>
            <w:tcW w:w="2693" w:type="dxa"/>
          </w:tcPr>
          <w:p w14:paraId="23222C2B"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 xml:space="preserve">Quality improvement project; </w:t>
            </w:r>
          </w:p>
          <w:p w14:paraId="71052717"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retrospective chart review</w:t>
            </w:r>
          </w:p>
          <w:p w14:paraId="6DB98368"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Multicentre</w:t>
            </w:r>
          </w:p>
          <w:p w14:paraId="00F315E9"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United states of America (USA)</w:t>
            </w:r>
          </w:p>
          <w:p w14:paraId="089C3921"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From January 2018 to December 2019</w:t>
            </w:r>
          </w:p>
        </w:tc>
        <w:tc>
          <w:tcPr>
            <w:tcW w:w="2552" w:type="dxa"/>
          </w:tcPr>
          <w:p w14:paraId="6C486447"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655 children from 28 days to 18 years of age from January to December 2019, receiving IVMFT among 10040 children admitted to Emergency Department during the study period</w:t>
            </w:r>
          </w:p>
        </w:tc>
        <w:tc>
          <w:tcPr>
            <w:tcW w:w="5670" w:type="dxa"/>
          </w:tcPr>
          <w:p w14:paraId="303BF377"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No difference in the occurrence of hypernatremia (7.4% (31 of 418 vs 6.7% (16 of 237) (p&gt;0.05).</w:t>
            </w:r>
          </w:p>
        </w:tc>
      </w:tr>
      <w:tr w:rsidR="00B1006E" w:rsidRPr="00D275F9" w14:paraId="0563ED61" w14:textId="77777777" w:rsidTr="00662D94">
        <w:tc>
          <w:tcPr>
            <w:tcW w:w="1843" w:type="dxa"/>
          </w:tcPr>
          <w:p w14:paraId="6DA2D082"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Al-</w:t>
            </w:r>
            <w:proofErr w:type="spellStart"/>
            <w:r w:rsidRPr="00D275F9">
              <w:rPr>
                <w:rFonts w:asciiTheme="minorHAnsi" w:hAnsiTheme="minorHAnsi" w:cstheme="minorHAnsi"/>
                <w:sz w:val="20"/>
                <w:szCs w:val="20"/>
              </w:rPr>
              <w:t>Eyadhi</w:t>
            </w:r>
            <w:proofErr w:type="spellEnd"/>
            <w:r w:rsidRPr="00D275F9">
              <w:rPr>
                <w:rFonts w:asciiTheme="minorHAnsi" w:hAnsiTheme="minorHAnsi" w:cstheme="minorHAnsi"/>
                <w:sz w:val="20"/>
                <w:szCs w:val="20"/>
              </w:rPr>
              <w:t xml:space="preserve"> et al. </w:t>
            </w:r>
            <w:r w:rsidRPr="00D275F9">
              <w:rPr>
                <w:rFonts w:asciiTheme="minorHAnsi" w:hAnsiTheme="minorHAnsi" w:cstheme="minorHAnsi"/>
                <w:sz w:val="20"/>
                <w:szCs w:val="20"/>
              </w:rPr>
              <w:fldChar w:fldCharType="begin"/>
            </w:r>
            <w:r w:rsidRPr="00D275F9">
              <w:rPr>
                <w:rFonts w:asciiTheme="minorHAnsi" w:hAnsiTheme="minorHAnsi" w:cstheme="minorHAnsi"/>
                <w:sz w:val="20"/>
                <w:szCs w:val="20"/>
              </w:rPr>
              <w:instrText xml:space="preserve"> ADDIN ZOTERO_ITEM CSL_CITATION {"citationID":"yqDIR1LV","properties":{"formattedCitation":"[2]","plainCitation":"[2]","noteIndex":0},"citationItems":[{"id":5442,"uris":["http://zotero.org/groups/2688840/items/E39TALIG"],"itemData":{"id":5442,"type":"article-journal","abstract":"Introduction: Net fluid balance and its role in sepsis-related mortality is not clear; studies suggest that aggressive fluid resuscitation can help in treatment, whereas others consider it is associated with poor outcomes. This study aimed to clarify the possible association of initial 24 hours' fluid balance with poor outcomes in pediatric patients with sepsis.\nMethods: Retrospective data analysis included pediatric patients admitted with suspected or proven sepsis or septic shock to pediatric intensive care unit (PICU) of a tertiary care teaching hospital in Saudi Arabia.\nResults: The study included 47 patients; 13 (28%) died, and mortality rate was significant in children with neurologic failure (P &lt; 0.02), mechanical ventilation within 24 hours of admission (P &lt; 0.03), leukopenia (P &lt; 0.02), abnormal international normalized ratio (P &lt; 0.02), initial blood lactate levels higher than 5 mmol/L (P &lt; 0.02), or positive fluid balance at 24 hours of admission to the PICU (P &lt; 0.001).\nConclusion: Among children with sepsis and/or septic shock, there is significant association between mortality and initial high blood lactate levels and positive fluid balance at 24 hours from admission to the PICU.","container-title":"Pediatric Emergency Care","DOI":"10.1097/PEC.0000000000002520","ISSN":"1535-1815, 0749-5161","issue":"3","journalAbbreviation":"Pediatr Emer Care","language":"en","page":"e1112-e1117","source":"DOI.org (Crossref)","title":"Initial Fluid Balance Associated Outcomes in Children With Severe Sepsis and Septic Shock","volume":"38","author":[{"family":"Al-Eyadhy","given":"Ayman"},{"family":"Hasan","given":"Gamal"},{"family":"Temsah","given":"Mohamad-Hani"},{"family":"Alseneidi","given":"Sara"},{"family":"Alalwan","given":"Malak"},{"family":"Alali","given":"Fatimah"},{"family":"Alhaboob","given":"Ali"},{"family":"Alabdulhafid","given":"Majed"},{"family":"Alsohime","given":"Fahad"},{"family":"Almaziad","given":"Mohamed"},{"family":"Somily","given":"Ali Mohammed"}],"issued":{"date-parts":[["2022",3]]}}}],"schema":"https://github.com/citation-style-language/schema/raw/master/csl-citation.json"} </w:instrText>
            </w:r>
            <w:r w:rsidRPr="00D275F9">
              <w:rPr>
                <w:rFonts w:asciiTheme="minorHAnsi" w:hAnsiTheme="minorHAnsi" w:cstheme="minorHAnsi"/>
                <w:sz w:val="20"/>
                <w:szCs w:val="20"/>
              </w:rPr>
              <w:fldChar w:fldCharType="separate"/>
            </w:r>
            <w:r w:rsidRPr="00D275F9">
              <w:rPr>
                <w:rFonts w:asciiTheme="minorHAnsi" w:hAnsiTheme="minorHAnsi" w:cstheme="minorHAnsi"/>
                <w:sz w:val="20"/>
                <w:szCs w:val="20"/>
              </w:rPr>
              <w:t>[2]</w:t>
            </w:r>
            <w:r w:rsidRPr="00D275F9">
              <w:rPr>
                <w:rFonts w:asciiTheme="minorHAnsi" w:hAnsiTheme="minorHAnsi" w:cstheme="minorHAnsi"/>
                <w:sz w:val="20"/>
                <w:szCs w:val="20"/>
              </w:rPr>
              <w:fldChar w:fldCharType="end"/>
            </w:r>
          </w:p>
          <w:p w14:paraId="1A25F627"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2022</w:t>
            </w:r>
          </w:p>
        </w:tc>
        <w:tc>
          <w:tcPr>
            <w:tcW w:w="2977" w:type="dxa"/>
          </w:tcPr>
          <w:p w14:paraId="3D60F170" w14:textId="77777777" w:rsidR="00B1006E" w:rsidRPr="00D275F9" w:rsidRDefault="00B1006E" w:rsidP="00662D94">
            <w:pPr>
              <w:rPr>
                <w:rFonts w:asciiTheme="minorHAnsi" w:hAnsiTheme="minorHAnsi" w:cstheme="minorHAnsi"/>
                <w:sz w:val="20"/>
                <w:szCs w:val="20"/>
                <w:u w:val="single"/>
              </w:rPr>
            </w:pPr>
            <w:r w:rsidRPr="00D275F9">
              <w:rPr>
                <w:rFonts w:asciiTheme="minorHAnsi" w:hAnsiTheme="minorHAnsi" w:cstheme="minorHAnsi"/>
                <w:sz w:val="20"/>
                <w:szCs w:val="20"/>
                <w:u w:val="single"/>
              </w:rPr>
              <w:t>PICO 5</w:t>
            </w:r>
          </w:p>
          <w:p w14:paraId="4B1B232A"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Association of fluid balance in first 24 hours and mortality</w:t>
            </w:r>
          </w:p>
        </w:tc>
        <w:tc>
          <w:tcPr>
            <w:tcW w:w="2693" w:type="dxa"/>
          </w:tcPr>
          <w:p w14:paraId="6B20D50D"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 xml:space="preserve">Retrospective cohort </w:t>
            </w:r>
          </w:p>
          <w:p w14:paraId="659A48E9"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Single centre</w:t>
            </w:r>
          </w:p>
          <w:p w14:paraId="6AEBEFC7"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Saudi Arabia</w:t>
            </w:r>
          </w:p>
          <w:p w14:paraId="785A9D06"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From January 2014 to</w:t>
            </w:r>
          </w:p>
          <w:p w14:paraId="4746F992"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March 2016</w:t>
            </w:r>
          </w:p>
        </w:tc>
        <w:tc>
          <w:tcPr>
            <w:tcW w:w="2552" w:type="dxa"/>
          </w:tcPr>
          <w:p w14:paraId="08E142C4"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47 critically ill children under 14 years of age with sepsis and septic shock</w:t>
            </w:r>
          </w:p>
        </w:tc>
        <w:tc>
          <w:tcPr>
            <w:tcW w:w="5670" w:type="dxa"/>
          </w:tcPr>
          <w:p w14:paraId="44CAFBD2"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The net fluid balance at 24 hours of admission to PICU was significantly more important in the non-survivor group (p&lt;0.001)</w:t>
            </w:r>
          </w:p>
          <w:p w14:paraId="3A2B7DFB" w14:textId="77777777" w:rsidR="00B1006E" w:rsidRPr="00D275F9" w:rsidRDefault="00B1006E" w:rsidP="00662D94">
            <w:pPr>
              <w:autoSpaceDE w:val="0"/>
              <w:autoSpaceDN w:val="0"/>
              <w:adjustRightInd w:val="0"/>
              <w:rPr>
                <w:rFonts w:asciiTheme="minorHAnsi" w:hAnsiTheme="minorHAnsi" w:cstheme="minorHAnsi"/>
                <w:sz w:val="20"/>
                <w:szCs w:val="20"/>
                <w:lang w:val="en-US" w:eastAsia="fr-FR"/>
              </w:rPr>
            </w:pPr>
            <w:r w:rsidRPr="00D275F9">
              <w:rPr>
                <w:rFonts w:asciiTheme="minorHAnsi" w:hAnsiTheme="minorHAnsi" w:cstheme="minorHAnsi"/>
                <w:sz w:val="20"/>
                <w:szCs w:val="20"/>
                <w:lang w:val="en-US" w:eastAsia="fr-FR"/>
              </w:rPr>
              <w:t>Significant positive correlation between a positive fluid balance at</w:t>
            </w:r>
          </w:p>
          <w:p w14:paraId="318CE618" w14:textId="77777777" w:rsidR="00B1006E" w:rsidRPr="00D275F9" w:rsidRDefault="00B1006E" w:rsidP="00662D94">
            <w:pPr>
              <w:rPr>
                <w:rFonts w:asciiTheme="minorHAnsi" w:hAnsiTheme="minorHAnsi" w:cstheme="minorHAnsi"/>
                <w:sz w:val="20"/>
                <w:szCs w:val="20"/>
                <w:lang w:val="en-US"/>
              </w:rPr>
            </w:pPr>
            <w:r w:rsidRPr="00D275F9">
              <w:rPr>
                <w:rFonts w:asciiTheme="minorHAnsi" w:hAnsiTheme="minorHAnsi" w:cstheme="minorHAnsi"/>
                <w:sz w:val="20"/>
                <w:szCs w:val="20"/>
                <w:lang w:val="en-US" w:eastAsia="fr-FR"/>
              </w:rPr>
              <w:t>24 hours of PICU admission and mortality.</w:t>
            </w:r>
          </w:p>
        </w:tc>
      </w:tr>
      <w:tr w:rsidR="00B1006E" w:rsidRPr="00D275F9" w14:paraId="6DE203F3" w14:textId="77777777" w:rsidTr="00662D94">
        <w:tc>
          <w:tcPr>
            <w:tcW w:w="1843" w:type="dxa"/>
          </w:tcPr>
          <w:p w14:paraId="659660BA"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 xml:space="preserve">Anderson et al. </w:t>
            </w:r>
            <w:r w:rsidRPr="00D275F9">
              <w:rPr>
                <w:rFonts w:asciiTheme="minorHAnsi" w:hAnsiTheme="minorHAnsi" w:cstheme="minorHAnsi"/>
                <w:sz w:val="20"/>
                <w:szCs w:val="20"/>
              </w:rPr>
              <w:fldChar w:fldCharType="begin"/>
            </w:r>
            <w:r w:rsidRPr="00D275F9">
              <w:rPr>
                <w:rFonts w:asciiTheme="minorHAnsi" w:hAnsiTheme="minorHAnsi" w:cstheme="minorHAnsi"/>
                <w:sz w:val="20"/>
                <w:szCs w:val="20"/>
              </w:rPr>
              <w:instrText xml:space="preserve"> ADDIN ZOTERO_ITEM CSL_CITATION {"citationID":"YUkrjtq0","properties":{"formattedCitation":"[3]","plainCitation":"[3]","noteIndex":0},"citationItems":[{"id":5440,"uris":["http://zotero.org/groups/2688840/items/6ENGMU56"],"itemData":{"id":5440,"type":"article-journal","abstract":"Background: Pediatric patients undergoing heart transplant have a number of factors predisposing them to become fluid-overloaded, including capillary leak syndrome. Capillary leak and FO are associated with organ injury and may influence both shortand long-term outcomes. This study aimed to 1) determine the extent, timing, and predictors of post-operative FO and 2) investigate the association of FO with clinically important outcomes.\nMethods: Between 2000 and 2012, 70 children less than 6 years old had a heart transplant at our institution. This was a secondary analysis of data from an ongoing prospective cohort study.\nResults: FO, defined as cumulative fluid balance greater than 10% of body weight in the first 5 post-operative days, occurred in 16/70 patients (23%); 7 of these had more than 20% FO. Shorter donor ischemic time and longer cardiopulmonary bypass time were independently associated with increased risk of FO. FO &gt;20% was a statistically significant independent predictor of mortality (P = .005), ventilation time, and PICU length of stay. There was no statistically significant association between identified neurodevelopment domains and FO.\nConclusions: Our single-center experience demonstrates that FO was common after pediatric heart transplant and was associated with worse clinical outcomes. FO is a potentially modifiable factor, and research is needed to better determine risk factors and whether intervention to reduce FO can improve outcomes in pediatric heart transplant patients.","container-title":"Pediatric Transplantation","DOI":"10.1111/petr.13897","ISSN":"1397-3142, 1399-3046","issue":"3","journalAbbreviation":"Pediatr Transplant","language":"en","source":"DOI.org (Crossref)","title":"Post‐operative fluid overload as a predictor of hospital and long‐term outcomes in a pediatric heart transplant population","URL":"https://onlinelibrary.wiley.com/doi/10.1111/petr.13897","volume":"25","author":[{"family":"Anderson","given":"Nicole M."},{"family":"Bond","given":"Gwen Y."},{"family":"Joffe","given":"Ari R."},{"family":"MacDonald","given":"Christine"},{"family":"Robertson","given":"Charlene"},{"family":"Urschel","given":"Simon"},{"family":"Morgan","given":"Catherine J."},{"literal":"the Western Canadian Complex Pediatric Therapies Program Follow‐up Group"}],"accessed":{"date-parts":[["2022",7,16]]},"issued":{"date-parts":[["2021",5]]}}}],"schema":"https://github.com/citation-style-language/schema/raw/master/csl-citation.json"} </w:instrText>
            </w:r>
            <w:r w:rsidRPr="00D275F9">
              <w:rPr>
                <w:rFonts w:asciiTheme="minorHAnsi" w:hAnsiTheme="minorHAnsi" w:cstheme="minorHAnsi"/>
                <w:sz w:val="20"/>
                <w:szCs w:val="20"/>
              </w:rPr>
              <w:fldChar w:fldCharType="separate"/>
            </w:r>
            <w:r w:rsidRPr="00D275F9">
              <w:rPr>
                <w:rFonts w:asciiTheme="minorHAnsi" w:hAnsiTheme="minorHAnsi" w:cstheme="minorHAnsi"/>
                <w:sz w:val="20"/>
                <w:szCs w:val="20"/>
              </w:rPr>
              <w:t>[3]</w:t>
            </w:r>
            <w:r w:rsidRPr="00D275F9">
              <w:rPr>
                <w:rFonts w:asciiTheme="minorHAnsi" w:hAnsiTheme="minorHAnsi" w:cstheme="minorHAnsi"/>
                <w:sz w:val="20"/>
                <w:szCs w:val="20"/>
              </w:rPr>
              <w:fldChar w:fldCharType="end"/>
            </w:r>
          </w:p>
          <w:p w14:paraId="5509AC24"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2021</w:t>
            </w:r>
          </w:p>
        </w:tc>
        <w:tc>
          <w:tcPr>
            <w:tcW w:w="2977" w:type="dxa"/>
          </w:tcPr>
          <w:p w14:paraId="6F1DC27B" w14:textId="77777777" w:rsidR="00B1006E" w:rsidRPr="00D275F9" w:rsidRDefault="00B1006E" w:rsidP="00662D94">
            <w:pPr>
              <w:rPr>
                <w:rFonts w:asciiTheme="minorHAnsi" w:hAnsiTheme="minorHAnsi" w:cstheme="minorHAnsi"/>
                <w:sz w:val="20"/>
                <w:szCs w:val="20"/>
                <w:u w:val="single"/>
              </w:rPr>
            </w:pPr>
            <w:r w:rsidRPr="00D275F9">
              <w:rPr>
                <w:rFonts w:asciiTheme="minorHAnsi" w:hAnsiTheme="minorHAnsi" w:cstheme="minorHAnsi"/>
                <w:sz w:val="20"/>
                <w:szCs w:val="20"/>
                <w:u w:val="single"/>
              </w:rPr>
              <w:t>PICO 5</w:t>
            </w:r>
          </w:p>
          <w:p w14:paraId="63BAEDFB"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 xml:space="preserve">Association of fluid overload with clinically important outcomes. </w:t>
            </w:r>
          </w:p>
        </w:tc>
        <w:tc>
          <w:tcPr>
            <w:tcW w:w="2693" w:type="dxa"/>
          </w:tcPr>
          <w:p w14:paraId="1548956C"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Secondary analysis of data  from ongoing prospective cohort study</w:t>
            </w:r>
          </w:p>
          <w:p w14:paraId="1C98FE8B"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Single centre</w:t>
            </w:r>
          </w:p>
          <w:p w14:paraId="3469D7B7"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Canada</w:t>
            </w:r>
          </w:p>
          <w:p w14:paraId="5B854A51"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From 2000 and 2012</w:t>
            </w:r>
          </w:p>
        </w:tc>
        <w:tc>
          <w:tcPr>
            <w:tcW w:w="2552" w:type="dxa"/>
          </w:tcPr>
          <w:p w14:paraId="2380E02A"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70 children under 6 years of age with Chronic Heart Disease undergoing heart transplant</w:t>
            </w:r>
          </w:p>
        </w:tc>
        <w:tc>
          <w:tcPr>
            <w:tcW w:w="5670" w:type="dxa"/>
          </w:tcPr>
          <w:p w14:paraId="222483D3"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Severe fluid overload, greater than 20% of fluid accumulation, was a statistically significant independent predictor of mortality (</w:t>
            </w:r>
            <w:proofErr w:type="spellStart"/>
            <w:r w:rsidRPr="00D275F9">
              <w:rPr>
                <w:rFonts w:asciiTheme="minorHAnsi" w:hAnsiTheme="minorHAnsi" w:cstheme="minorHAnsi"/>
                <w:sz w:val="20"/>
                <w:szCs w:val="20"/>
              </w:rPr>
              <w:t>aOR</w:t>
            </w:r>
            <w:proofErr w:type="spellEnd"/>
            <w:r w:rsidRPr="00D275F9">
              <w:rPr>
                <w:rFonts w:asciiTheme="minorHAnsi" w:hAnsiTheme="minorHAnsi" w:cstheme="minorHAnsi"/>
                <w:sz w:val="20"/>
                <w:szCs w:val="20"/>
              </w:rPr>
              <w:t>, 15 (95% CI, 2.26 to 99.6), P = 0.005), greater length of ventilation (increase of 138% (95% CI, 52% to 224%), P = .002) and greater PICU stay (Increase of 106%, (95% CI</w:t>
            </w:r>
            <w:proofErr w:type="gramStart"/>
            <w:r w:rsidRPr="00D275F9">
              <w:rPr>
                <w:rFonts w:asciiTheme="minorHAnsi" w:hAnsiTheme="minorHAnsi" w:cstheme="minorHAnsi"/>
                <w:sz w:val="20"/>
                <w:szCs w:val="20"/>
              </w:rPr>
              <w:t>,24</w:t>
            </w:r>
            <w:proofErr w:type="gramEnd"/>
            <w:r w:rsidRPr="00D275F9">
              <w:rPr>
                <w:rFonts w:asciiTheme="minorHAnsi" w:hAnsiTheme="minorHAnsi" w:cstheme="minorHAnsi"/>
                <w:sz w:val="20"/>
                <w:szCs w:val="20"/>
              </w:rPr>
              <w:t>% to 189%), P = 0.013).</w:t>
            </w:r>
          </w:p>
        </w:tc>
      </w:tr>
      <w:tr w:rsidR="00B1006E" w:rsidRPr="00D275F9" w14:paraId="7A799088" w14:textId="77777777" w:rsidTr="00662D94">
        <w:tc>
          <w:tcPr>
            <w:tcW w:w="1843" w:type="dxa"/>
          </w:tcPr>
          <w:p w14:paraId="12BE7A5D"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 xml:space="preserve">Anton-Martin et al. </w:t>
            </w:r>
            <w:r w:rsidRPr="00D275F9">
              <w:rPr>
                <w:rFonts w:asciiTheme="minorHAnsi" w:hAnsiTheme="minorHAnsi" w:cstheme="minorHAnsi"/>
                <w:sz w:val="20"/>
                <w:szCs w:val="20"/>
              </w:rPr>
              <w:fldChar w:fldCharType="begin"/>
            </w:r>
            <w:r w:rsidRPr="00D275F9">
              <w:rPr>
                <w:rFonts w:asciiTheme="minorHAnsi" w:hAnsiTheme="minorHAnsi" w:cstheme="minorHAnsi"/>
                <w:sz w:val="20"/>
                <w:szCs w:val="20"/>
              </w:rPr>
              <w:instrText xml:space="preserve"> ADDIN ZOTERO_ITEM CSL_CITATION {"citationID":"GGJFYeYE","properties":{"formattedCitation":"[4]","plainCitation":"[4]","noteIndex":0},"citationItems":[{"id":5438,"uris":["http://zotero.org/groups/2688840/items/FNGL5988"],"itemData":{"id":5438,"type":"article-journal","container-title":"ASAIO Journal","DOI":"10.1097/MAT.0000000000001167","ISSN":"1058-2916","issue":"1","language":"en","page":"84-90","source":"DOI.org (Crossref)","title":"Early Fluid Accumulation and Intensive Care Unit Mortality in Children Receiving Extracorporeal Membrane Oxygenation","volume":"67","author":[{"family":"Anton-Martin","given":"Pilar"},{"family":"Quigley","given":"Raymond"},{"family":"Dhar","given":"Archana"},{"family":"Bhaskar","given":"Priya"},{"family":"Modem","given":"Vinai"}],"issued":{"date-parts":[["2021",1]]}}}],"schema":"https://github.com/citation-style-language/schema/raw/master/csl-citation.json"} </w:instrText>
            </w:r>
            <w:r w:rsidRPr="00D275F9">
              <w:rPr>
                <w:rFonts w:asciiTheme="minorHAnsi" w:hAnsiTheme="minorHAnsi" w:cstheme="minorHAnsi"/>
                <w:sz w:val="20"/>
                <w:szCs w:val="20"/>
              </w:rPr>
              <w:fldChar w:fldCharType="separate"/>
            </w:r>
            <w:r w:rsidRPr="00D275F9">
              <w:rPr>
                <w:rFonts w:asciiTheme="minorHAnsi" w:hAnsiTheme="minorHAnsi" w:cstheme="minorHAnsi"/>
                <w:sz w:val="20"/>
                <w:szCs w:val="20"/>
              </w:rPr>
              <w:t>[4]</w:t>
            </w:r>
            <w:r w:rsidRPr="00D275F9">
              <w:rPr>
                <w:rFonts w:asciiTheme="minorHAnsi" w:hAnsiTheme="minorHAnsi" w:cstheme="minorHAnsi"/>
                <w:sz w:val="20"/>
                <w:szCs w:val="20"/>
              </w:rPr>
              <w:fldChar w:fldCharType="end"/>
            </w:r>
          </w:p>
          <w:p w14:paraId="306909A5"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2021</w:t>
            </w:r>
          </w:p>
        </w:tc>
        <w:tc>
          <w:tcPr>
            <w:tcW w:w="2977" w:type="dxa"/>
          </w:tcPr>
          <w:p w14:paraId="48A3B9D6" w14:textId="77777777" w:rsidR="00B1006E" w:rsidRPr="00D275F9" w:rsidRDefault="00B1006E" w:rsidP="00662D94">
            <w:pPr>
              <w:rPr>
                <w:rFonts w:asciiTheme="minorHAnsi" w:hAnsiTheme="minorHAnsi" w:cstheme="minorHAnsi"/>
                <w:sz w:val="20"/>
                <w:szCs w:val="20"/>
                <w:u w:val="single"/>
              </w:rPr>
            </w:pPr>
            <w:r w:rsidRPr="00D275F9">
              <w:rPr>
                <w:rFonts w:asciiTheme="minorHAnsi" w:hAnsiTheme="minorHAnsi" w:cstheme="minorHAnsi"/>
                <w:sz w:val="20"/>
                <w:szCs w:val="20"/>
                <w:u w:val="single"/>
              </w:rPr>
              <w:t>PICO 5</w:t>
            </w:r>
          </w:p>
          <w:p w14:paraId="4C1D17BD"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Evaluation of the impact of early fluid accumulation on mortality in children on extracorporeal membrane oxygenation (ECMO)</w:t>
            </w:r>
          </w:p>
        </w:tc>
        <w:tc>
          <w:tcPr>
            <w:tcW w:w="2693" w:type="dxa"/>
          </w:tcPr>
          <w:p w14:paraId="13249510"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Retrospective cohort study</w:t>
            </w:r>
          </w:p>
          <w:p w14:paraId="7D7753C3"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Single centre</w:t>
            </w:r>
          </w:p>
          <w:p w14:paraId="65D54E95"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USA</w:t>
            </w:r>
          </w:p>
          <w:p w14:paraId="433495F3"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From January 2010 to December 2012</w:t>
            </w:r>
          </w:p>
        </w:tc>
        <w:tc>
          <w:tcPr>
            <w:tcW w:w="2552" w:type="dxa"/>
          </w:tcPr>
          <w:p w14:paraId="536973BA"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96 critically ill children in the PICU, 46 (48%) were on continuous renal replacement</w:t>
            </w:r>
          </w:p>
          <w:p w14:paraId="0F89885B"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 xml:space="preserve">therapy </w:t>
            </w:r>
            <w:r>
              <w:rPr>
                <w:rFonts w:asciiTheme="minorHAnsi" w:hAnsiTheme="minorHAnsi" w:cstheme="minorHAnsi"/>
                <w:sz w:val="20"/>
                <w:szCs w:val="20"/>
              </w:rPr>
              <w:t xml:space="preserve">or </w:t>
            </w:r>
            <w:r w:rsidRPr="00D275F9">
              <w:rPr>
                <w:rFonts w:asciiTheme="minorHAnsi" w:hAnsiTheme="minorHAnsi" w:cstheme="minorHAnsi"/>
                <w:sz w:val="20"/>
                <w:szCs w:val="20"/>
              </w:rPr>
              <w:t>ECMO</w:t>
            </w:r>
          </w:p>
          <w:p w14:paraId="2A40C01C" w14:textId="77777777" w:rsidR="00B1006E" w:rsidRPr="00D275F9" w:rsidRDefault="00B1006E" w:rsidP="00662D94">
            <w:pPr>
              <w:rPr>
                <w:rFonts w:asciiTheme="minorHAnsi" w:hAnsiTheme="minorHAnsi" w:cstheme="minorHAnsi"/>
                <w:sz w:val="20"/>
                <w:szCs w:val="20"/>
              </w:rPr>
            </w:pPr>
          </w:p>
        </w:tc>
        <w:tc>
          <w:tcPr>
            <w:tcW w:w="5670" w:type="dxa"/>
          </w:tcPr>
          <w:p w14:paraId="1116BCBB"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 xml:space="preserve">Non-survivors have significantly higher proportions of fluid accumulation on ECMO </w:t>
            </w:r>
            <w:r>
              <w:rPr>
                <w:rFonts w:asciiTheme="minorHAnsi" w:hAnsiTheme="minorHAnsi" w:cstheme="minorHAnsi"/>
                <w:sz w:val="20"/>
                <w:szCs w:val="20"/>
              </w:rPr>
              <w:t xml:space="preserve">at </w:t>
            </w:r>
            <w:r w:rsidRPr="00D275F9">
              <w:rPr>
                <w:rFonts w:asciiTheme="minorHAnsi" w:hAnsiTheme="minorHAnsi" w:cstheme="minorHAnsi"/>
                <w:sz w:val="20"/>
                <w:szCs w:val="20"/>
              </w:rPr>
              <w:t xml:space="preserve">day 1 (9% vs. 1% p=0.05) compared with survivors. </w:t>
            </w:r>
          </w:p>
          <w:p w14:paraId="3052FB25"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Multivariable logistic regression analysis adjusted for propensity score demonstrated that fluid accumulation on ECMO day 1 is significantly associate</w:t>
            </w:r>
            <w:r>
              <w:rPr>
                <w:rFonts w:asciiTheme="minorHAnsi" w:hAnsiTheme="minorHAnsi" w:cstheme="minorHAnsi"/>
                <w:sz w:val="20"/>
                <w:szCs w:val="20"/>
              </w:rPr>
              <w:t>d</w:t>
            </w:r>
            <w:r w:rsidRPr="00D275F9">
              <w:rPr>
                <w:rFonts w:asciiTheme="minorHAnsi" w:hAnsiTheme="minorHAnsi" w:cstheme="minorHAnsi"/>
                <w:sz w:val="20"/>
                <w:szCs w:val="20"/>
              </w:rPr>
              <w:t xml:space="preserve"> with PICU mortality (OR; 1.07, p=0.04)</w:t>
            </w:r>
          </w:p>
        </w:tc>
      </w:tr>
      <w:tr w:rsidR="00B1006E" w:rsidRPr="00D275F9" w14:paraId="29C1630C" w14:textId="77777777" w:rsidTr="00662D94">
        <w:tc>
          <w:tcPr>
            <w:tcW w:w="1843" w:type="dxa"/>
          </w:tcPr>
          <w:p w14:paraId="24AAA64C" w14:textId="77777777" w:rsidR="00B1006E" w:rsidRPr="00D275F9" w:rsidRDefault="00B1006E" w:rsidP="00662D94">
            <w:pPr>
              <w:rPr>
                <w:rFonts w:asciiTheme="minorHAnsi" w:hAnsiTheme="minorHAnsi" w:cstheme="minorHAnsi"/>
                <w:sz w:val="20"/>
                <w:szCs w:val="20"/>
              </w:rPr>
            </w:pPr>
            <w:proofErr w:type="spellStart"/>
            <w:r w:rsidRPr="00D275F9">
              <w:rPr>
                <w:rFonts w:asciiTheme="minorHAnsi" w:hAnsiTheme="minorHAnsi" w:cstheme="minorHAnsi"/>
                <w:sz w:val="20"/>
                <w:szCs w:val="20"/>
              </w:rPr>
              <w:t>Barhight</w:t>
            </w:r>
            <w:proofErr w:type="spellEnd"/>
            <w:r w:rsidRPr="00D275F9">
              <w:rPr>
                <w:rFonts w:asciiTheme="minorHAnsi" w:hAnsiTheme="minorHAnsi" w:cstheme="minorHAnsi"/>
                <w:sz w:val="20"/>
                <w:szCs w:val="20"/>
              </w:rPr>
              <w:t xml:space="preserve"> et al. </w:t>
            </w:r>
            <w:r w:rsidRPr="00D275F9">
              <w:rPr>
                <w:rFonts w:asciiTheme="minorHAnsi" w:hAnsiTheme="minorHAnsi" w:cstheme="minorHAnsi"/>
                <w:sz w:val="20"/>
                <w:szCs w:val="20"/>
              </w:rPr>
              <w:fldChar w:fldCharType="begin"/>
            </w:r>
            <w:r w:rsidRPr="00D275F9">
              <w:rPr>
                <w:rFonts w:asciiTheme="minorHAnsi" w:hAnsiTheme="minorHAnsi" w:cstheme="minorHAnsi"/>
                <w:sz w:val="20"/>
                <w:szCs w:val="20"/>
              </w:rPr>
              <w:instrText xml:space="preserve"> ADDIN ZOTERO_ITEM CSL_CITATION {"citationID":"aTB9g323","properties":{"formattedCitation":"[5]","plainCitation":"[5]","noteIndex":0},"citationItems":[{"id":5436,"uris":["http://zotero.org/groups/2688840/items/CUVXKH76"],"itemData":{"id":5436,"type":"article-journal","abstract":"Background:  Hyperchloremia and chloride load have been associated with worse clinical outcomes in critically ill patients. We sought to evaluate the electrolyte profile and clinical outcomes associated with a unit-wide transition from saline to balanced fluids for resuscitation and maintenance fluids in a pediatric intensive care unit (PICU).\nMethods:  A before and after analysis of all patients admitted to the PICU in a large, urban, academic hospital between August 2018 and March 2020. The transition from the use of saline to the use of balanced fluids for both resuscitation and maintenance fluid as standard care occurred in June 2019. The primary outcome was day 3 acute kidney injury (AKI). The secondary outcomes included mortality, ventilator-free days (VFDs), need for renal replace</w:instrText>
            </w:r>
            <w:r w:rsidRPr="00D275F9">
              <w:rPr>
                <w:rFonts w:ascii="Cambria Math" w:hAnsi="Cambria Math" w:cs="Cambria Math"/>
                <w:sz w:val="20"/>
                <w:szCs w:val="20"/>
              </w:rPr>
              <w:instrText>‑</w:instrText>
            </w:r>
            <w:r w:rsidRPr="00D275F9">
              <w:rPr>
                <w:rFonts w:asciiTheme="minorHAnsi" w:hAnsiTheme="minorHAnsi" w:cstheme="minorHAnsi"/>
                <w:sz w:val="20"/>
                <w:szCs w:val="20"/>
              </w:rPr>
              <w:instrText>ment therapy (RRT), hospital length of stay (LOS), and electrolyte abnormalities.\nResults:  Overall, 2863 patients (47% female) with a day 3 AKI rate of 12.9% (n = 130) and a mortality rate of 2.8% (n = 79) were included. After adjusting for confounders (age, PRISM III, mechanical ventilation, and immunocompro</w:instrText>
            </w:r>
            <w:r w:rsidRPr="00D275F9">
              <w:rPr>
                <w:rFonts w:ascii="Cambria Math" w:hAnsi="Cambria Math" w:cs="Cambria Math"/>
                <w:sz w:val="20"/>
                <w:szCs w:val="20"/>
              </w:rPr>
              <w:instrText>‑</w:instrText>
            </w:r>
            <w:r w:rsidRPr="00D275F9">
              <w:rPr>
                <w:rFonts w:asciiTheme="minorHAnsi" w:hAnsiTheme="minorHAnsi" w:cstheme="minorHAnsi"/>
                <w:sz w:val="20"/>
                <w:szCs w:val="20"/>
              </w:rPr>
              <w:instrText>mised state, septic shock), there were no significant differences in the odds of day 3 AKI (pre 13%, post 12.5%; adjusted odds ratio [aOR] 0.96, 95%CI 0.65–1.42). There were no differences in the secondary outcomes. The post-intervention period had fewer patients with hyperchloremia (pre 15.5% vs. post 10.4%, p =  &lt; 0.0001) and hyperkalemia (pre 3.2% vs. post 1.4%, p = 0.02) and more patients with hypochloremia (pre 9.5% vs. post 14.4%, p =  &lt; 0.0001) and hypoka</w:instrText>
            </w:r>
            <w:r w:rsidRPr="00D275F9">
              <w:rPr>
                <w:rFonts w:ascii="Cambria Math" w:hAnsi="Cambria Math" w:cs="Cambria Math"/>
                <w:sz w:val="20"/>
                <w:szCs w:val="20"/>
              </w:rPr>
              <w:instrText>‑</w:instrText>
            </w:r>
            <w:r w:rsidRPr="00D275F9">
              <w:rPr>
                <w:rFonts w:asciiTheme="minorHAnsi" w:hAnsiTheme="minorHAnsi" w:cstheme="minorHAnsi"/>
                <w:sz w:val="20"/>
                <w:szCs w:val="20"/>
              </w:rPr>
              <w:instrText>lemia (pre 38.2% vs. post 47.2%, p =  &lt; 0.0001). In reference to the normochloremic cohort, the hypochloremic cohort had an increase in day 3 AKI, need for RRT, hyperchloremia, and hyperkalemia, and a decrease in hypokalemia; and the hyperchloremic cohort had an increase in VFD and a decrease in hospital LOS.\nConclusions:  Following a unit-wide implementation of balanced fluids as standard care, there were no differences in rates of day 3 AKI or other clinical outcomes. However, there were lower rates of hyperkalemia and hyperchloremia and higher rates of hypokalemia and hypochloremia. Further evaluation of the effect of balanced fluids and the clini</w:instrText>
            </w:r>
            <w:r w:rsidRPr="00D275F9">
              <w:rPr>
                <w:rFonts w:ascii="Cambria Math" w:hAnsi="Cambria Math" w:cs="Cambria Math"/>
                <w:sz w:val="20"/>
                <w:szCs w:val="20"/>
              </w:rPr>
              <w:instrText>‑</w:instrText>
            </w:r>
            <w:r w:rsidRPr="00D275F9">
              <w:rPr>
                <w:rFonts w:asciiTheme="minorHAnsi" w:hAnsiTheme="minorHAnsi" w:cstheme="minorHAnsi"/>
                <w:sz w:val="20"/>
                <w:szCs w:val="20"/>
              </w:rPr>
              <w:instrText xml:space="preserve">cal significance of electrolyte abnormalities in critically ill children is needed.","container-title":"Critical Care","DOI":"10.1186/s13054-021-03705-3","ISSN":"1364-8535","issue":"1","journalAbbreviation":"Crit Care","language":"en","page":"266","source":"DOI.org (Crossref)","title":"Association between the use of balanced fluids and outcomes in critically ill children: a before and after study","title-short":"Association between the use of balanced fluids and outcomes in critically ill children","volume":"25","author":[{"family":"Barhight","given":"Matthew F."},{"family":"Nelson","given":"Delphine"},{"family":"Moran","given":"Thomas"},{"family":"Christiano","given":"Jessica"},{"family":"Sanchez-Pinto","given":"L. Nelson"}],"issued":{"date-parts":[["2021",12]]}}}],"schema":"https://github.com/citation-style-language/schema/raw/master/csl-citation.json"} </w:instrText>
            </w:r>
            <w:r w:rsidRPr="00D275F9">
              <w:rPr>
                <w:rFonts w:asciiTheme="minorHAnsi" w:hAnsiTheme="minorHAnsi" w:cstheme="minorHAnsi"/>
                <w:sz w:val="20"/>
                <w:szCs w:val="20"/>
              </w:rPr>
              <w:fldChar w:fldCharType="separate"/>
            </w:r>
            <w:r w:rsidRPr="00D275F9">
              <w:rPr>
                <w:rFonts w:asciiTheme="minorHAnsi" w:hAnsiTheme="minorHAnsi" w:cstheme="minorHAnsi"/>
                <w:sz w:val="20"/>
                <w:szCs w:val="20"/>
              </w:rPr>
              <w:t>[5]</w:t>
            </w:r>
            <w:r w:rsidRPr="00D275F9">
              <w:rPr>
                <w:rFonts w:asciiTheme="minorHAnsi" w:hAnsiTheme="minorHAnsi" w:cstheme="minorHAnsi"/>
                <w:sz w:val="20"/>
                <w:szCs w:val="20"/>
              </w:rPr>
              <w:fldChar w:fldCharType="end"/>
            </w:r>
          </w:p>
          <w:p w14:paraId="41BA72DF"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2021</w:t>
            </w:r>
          </w:p>
        </w:tc>
        <w:tc>
          <w:tcPr>
            <w:tcW w:w="2977" w:type="dxa"/>
          </w:tcPr>
          <w:p w14:paraId="28D5B6DF" w14:textId="77777777" w:rsidR="00B1006E" w:rsidRPr="00D275F9" w:rsidRDefault="00B1006E" w:rsidP="00662D94">
            <w:pPr>
              <w:rPr>
                <w:rFonts w:asciiTheme="minorHAnsi" w:hAnsiTheme="minorHAnsi" w:cstheme="minorHAnsi"/>
                <w:sz w:val="20"/>
                <w:szCs w:val="20"/>
                <w:u w:val="single"/>
              </w:rPr>
            </w:pPr>
            <w:r w:rsidRPr="00D275F9">
              <w:rPr>
                <w:rFonts w:asciiTheme="minorHAnsi" w:hAnsiTheme="minorHAnsi" w:cstheme="minorHAnsi"/>
                <w:sz w:val="20"/>
                <w:szCs w:val="20"/>
                <w:u w:val="single"/>
              </w:rPr>
              <w:t>PICO 3</w:t>
            </w:r>
          </w:p>
          <w:p w14:paraId="29D54508"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Comparison between saline and balanced fluids, used for both IVMFT and resuscitation fluid</w:t>
            </w:r>
          </w:p>
        </w:tc>
        <w:tc>
          <w:tcPr>
            <w:tcW w:w="2693" w:type="dxa"/>
          </w:tcPr>
          <w:p w14:paraId="75C60A56"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Before and after study</w:t>
            </w:r>
          </w:p>
          <w:p w14:paraId="49877B8E"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Multicentre</w:t>
            </w:r>
          </w:p>
          <w:p w14:paraId="6D9BC93B"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USA</w:t>
            </w:r>
          </w:p>
          <w:p w14:paraId="0C83C3B0"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From August 2018 to March 2020</w:t>
            </w:r>
          </w:p>
        </w:tc>
        <w:tc>
          <w:tcPr>
            <w:tcW w:w="2552" w:type="dxa"/>
          </w:tcPr>
          <w:p w14:paraId="35F6F61A"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 xml:space="preserve">2863 critically ill children </w:t>
            </w:r>
          </w:p>
        </w:tc>
        <w:tc>
          <w:tcPr>
            <w:tcW w:w="5670" w:type="dxa"/>
          </w:tcPr>
          <w:p w14:paraId="5E4C2201"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 xml:space="preserve">Following a unit wide implementation of balanced fluid as standard care, there was no difference in rates of day 3 </w:t>
            </w:r>
            <w:r>
              <w:rPr>
                <w:rFonts w:asciiTheme="minorHAnsi" w:hAnsiTheme="minorHAnsi" w:cstheme="minorHAnsi"/>
                <w:sz w:val="20"/>
                <w:szCs w:val="20"/>
              </w:rPr>
              <w:t>acute kidney injury</w:t>
            </w:r>
            <w:r w:rsidRPr="00D275F9">
              <w:rPr>
                <w:rFonts w:asciiTheme="minorHAnsi" w:hAnsiTheme="minorHAnsi" w:cstheme="minorHAnsi"/>
                <w:sz w:val="20"/>
                <w:szCs w:val="20"/>
              </w:rPr>
              <w:t xml:space="preserve"> or mortality, ventilator-free days, need for renal replacement</w:t>
            </w:r>
            <w:r>
              <w:rPr>
                <w:rFonts w:asciiTheme="minorHAnsi" w:hAnsiTheme="minorHAnsi" w:cstheme="minorHAnsi"/>
                <w:sz w:val="20"/>
                <w:szCs w:val="20"/>
              </w:rPr>
              <w:t xml:space="preserve"> t</w:t>
            </w:r>
            <w:r w:rsidRPr="00D275F9">
              <w:rPr>
                <w:rFonts w:asciiTheme="minorHAnsi" w:hAnsiTheme="minorHAnsi" w:cstheme="minorHAnsi"/>
                <w:sz w:val="20"/>
                <w:szCs w:val="20"/>
              </w:rPr>
              <w:t>herapy, hospital length of stay, and electrolyte abnormalities</w:t>
            </w:r>
          </w:p>
        </w:tc>
      </w:tr>
      <w:tr w:rsidR="00B1006E" w:rsidRPr="00D275F9" w14:paraId="7FAE3BAB" w14:textId="77777777" w:rsidTr="00662D94">
        <w:tc>
          <w:tcPr>
            <w:tcW w:w="1843" w:type="dxa"/>
          </w:tcPr>
          <w:p w14:paraId="7B017F4C" w14:textId="77777777" w:rsidR="00B1006E" w:rsidRPr="00D275F9" w:rsidRDefault="00B1006E" w:rsidP="00662D94">
            <w:pPr>
              <w:rPr>
                <w:rFonts w:asciiTheme="minorHAnsi" w:hAnsiTheme="minorHAnsi" w:cstheme="minorHAnsi"/>
                <w:sz w:val="20"/>
                <w:szCs w:val="20"/>
              </w:rPr>
            </w:pPr>
            <w:proofErr w:type="spellStart"/>
            <w:r w:rsidRPr="00D275F9">
              <w:rPr>
                <w:rFonts w:asciiTheme="minorHAnsi" w:hAnsiTheme="minorHAnsi" w:cstheme="minorHAnsi"/>
                <w:sz w:val="20"/>
                <w:szCs w:val="20"/>
              </w:rPr>
              <w:t>Barhight</w:t>
            </w:r>
            <w:proofErr w:type="spellEnd"/>
            <w:r w:rsidRPr="00D275F9">
              <w:rPr>
                <w:rFonts w:asciiTheme="minorHAnsi" w:hAnsiTheme="minorHAnsi" w:cstheme="minorHAnsi"/>
                <w:sz w:val="20"/>
                <w:szCs w:val="20"/>
              </w:rPr>
              <w:t xml:space="preserve"> et al. </w:t>
            </w:r>
            <w:r w:rsidRPr="00D275F9">
              <w:rPr>
                <w:rFonts w:asciiTheme="minorHAnsi" w:hAnsiTheme="minorHAnsi" w:cstheme="minorHAnsi"/>
                <w:sz w:val="20"/>
                <w:szCs w:val="20"/>
              </w:rPr>
              <w:fldChar w:fldCharType="begin"/>
            </w:r>
            <w:r w:rsidRPr="00D275F9">
              <w:rPr>
                <w:rFonts w:asciiTheme="minorHAnsi" w:hAnsiTheme="minorHAnsi" w:cstheme="minorHAnsi"/>
                <w:sz w:val="20"/>
                <w:szCs w:val="20"/>
              </w:rPr>
              <w:instrText xml:space="preserve"> ADDIN ZOTERO_ITEM CSL_CITATION {"citationID":"URLtH9P5","properties":{"formattedCitation":"[6]","plainCitation":"[6]","noteIndex":0},"citationItems":[{"id":5434,"uris":["http://zotero.org/groups/2688840/items/UTUZYE4H"],"itemData":{"id":5434,"type":"article-journal","abstract":"BACKGROUND: Large volumes of non-resuscitation ﬂuids are often administered to critically ill children. We hypothesize that excess maintenance ﬂuid is a signiﬁcant contributor to non-resuscitation ﬂuid and that non-resuscitation ﬂuid administered beyond hydration requirements is associated with worse clinical outcomes in critically ill children.\nMETHODS: We evaluated all patients admitted to two large urban pediatric intensive care units (PICU) between January 2010–August 2016 and January 2010–August 2018, respectively, who survived and remained in the hospital for at least 3 days following PICU admission. The primary outcome was in-hospital mortality. Association of excess ﬂuid with outcomes was adjusted for confounders (age, Pediatric Risk of Mortality III score, study site, day 3 acute kidney injury, PICU era, resuscitation volume, and volume output) using multivariable regression.\nRESULTS: We evaluated 14,483 patients; 52% received non-resuscitation ﬂuid in excess of hydration requirements. Nonresuscitation ﬂuid in excess of hydration requirements was associated with higher in-hospital mortality after adjustment for confounders (adjusted odds ratio 1.01 per 10 mL/kg in excess ﬂuid, 95% conﬁdence interval: 1.002–1.02).\nCONCLUSIONS: Non-resuscitation ﬂuid in excess of hydration requirements is associated with increased mortality in critically ill children. Excess maintenance ﬂuid is a modiﬁable contributor to this ﬂuid volume. Strategies to reduce excess maintenance ﬂuids warrant further study.","container-title":"Pediatric Research","DOI":"10.1038/s41390-021-01456-z","ISSN":"0031-3998, 1530-0447","issue":"1","journalAbbreviation":"Pediatr Res","language":"en","page":"235-240","source":"DOI.org (Crossref)","title":"Non-resuscitation fluid in excess of hydration requirements is associated with higher mortality in critically ill children","volume":"91","author":[{"family":"Barhight","given":"Matthew F."},{"family":"Nelson","given":"Delphine"},{"family":"Chong","given":"Grace"},{"family":"Basu","given":"Rajit K."},{"family":"Sanchez-Pinto","given":"L. Nelson"}],"issued":{"date-parts":[["2022",1]]}}}],"schema":"https://github.com/citation-style-language/schema/raw/master/csl-citation.json"} </w:instrText>
            </w:r>
            <w:r w:rsidRPr="00D275F9">
              <w:rPr>
                <w:rFonts w:asciiTheme="minorHAnsi" w:hAnsiTheme="minorHAnsi" w:cstheme="minorHAnsi"/>
                <w:sz w:val="20"/>
                <w:szCs w:val="20"/>
              </w:rPr>
              <w:fldChar w:fldCharType="separate"/>
            </w:r>
            <w:r w:rsidRPr="00D275F9">
              <w:rPr>
                <w:rFonts w:asciiTheme="minorHAnsi" w:hAnsiTheme="minorHAnsi" w:cstheme="minorHAnsi"/>
                <w:sz w:val="20"/>
                <w:szCs w:val="20"/>
              </w:rPr>
              <w:t>[6]</w:t>
            </w:r>
            <w:r w:rsidRPr="00D275F9">
              <w:rPr>
                <w:rFonts w:asciiTheme="minorHAnsi" w:hAnsiTheme="minorHAnsi" w:cstheme="minorHAnsi"/>
                <w:sz w:val="20"/>
                <w:szCs w:val="20"/>
              </w:rPr>
              <w:fldChar w:fldCharType="end"/>
            </w:r>
          </w:p>
          <w:p w14:paraId="037D92CE"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2022</w:t>
            </w:r>
          </w:p>
        </w:tc>
        <w:tc>
          <w:tcPr>
            <w:tcW w:w="2977" w:type="dxa"/>
          </w:tcPr>
          <w:p w14:paraId="0375969F" w14:textId="77777777" w:rsidR="00B1006E" w:rsidRPr="00D275F9" w:rsidRDefault="00B1006E" w:rsidP="00662D94">
            <w:pPr>
              <w:rPr>
                <w:rFonts w:asciiTheme="minorHAnsi" w:hAnsiTheme="minorHAnsi" w:cstheme="minorHAnsi"/>
                <w:sz w:val="20"/>
                <w:szCs w:val="20"/>
                <w:u w:val="single"/>
              </w:rPr>
            </w:pPr>
            <w:r w:rsidRPr="00D275F9">
              <w:rPr>
                <w:rFonts w:asciiTheme="minorHAnsi" w:hAnsiTheme="minorHAnsi" w:cstheme="minorHAnsi"/>
                <w:sz w:val="20"/>
                <w:szCs w:val="20"/>
                <w:u w:val="single"/>
              </w:rPr>
              <w:t>PICO 5</w:t>
            </w:r>
          </w:p>
          <w:p w14:paraId="51200490"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 xml:space="preserve">Association of non-resuscitation fluid in excess of hydration </w:t>
            </w:r>
            <w:r w:rsidRPr="00D275F9">
              <w:rPr>
                <w:rFonts w:asciiTheme="minorHAnsi" w:hAnsiTheme="minorHAnsi" w:cstheme="minorHAnsi"/>
                <w:sz w:val="20"/>
                <w:szCs w:val="20"/>
              </w:rPr>
              <w:lastRenderedPageBreak/>
              <w:t>requirement with hospital mortality/ ventilator free days.</w:t>
            </w:r>
          </w:p>
        </w:tc>
        <w:tc>
          <w:tcPr>
            <w:tcW w:w="2693" w:type="dxa"/>
          </w:tcPr>
          <w:p w14:paraId="545BE7FF"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lastRenderedPageBreak/>
              <w:t>Retrospective cohort study</w:t>
            </w:r>
          </w:p>
          <w:p w14:paraId="64DFF9C0"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Multicentre</w:t>
            </w:r>
          </w:p>
          <w:p w14:paraId="7F7D2BF7"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USA</w:t>
            </w:r>
          </w:p>
          <w:p w14:paraId="000C8E2F"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lastRenderedPageBreak/>
              <w:t>From January 2010 to August 2018,</w:t>
            </w:r>
          </w:p>
        </w:tc>
        <w:tc>
          <w:tcPr>
            <w:tcW w:w="2552" w:type="dxa"/>
          </w:tcPr>
          <w:p w14:paraId="7CB74077"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lastRenderedPageBreak/>
              <w:t>14483 critically ill children</w:t>
            </w:r>
          </w:p>
        </w:tc>
        <w:tc>
          <w:tcPr>
            <w:tcW w:w="5670" w:type="dxa"/>
          </w:tcPr>
          <w:p w14:paraId="1D31198F"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 xml:space="preserve">Non-resuscitation fluid in excess was associated with higher in hospital mortality after adjustment for confounders. </w:t>
            </w:r>
          </w:p>
        </w:tc>
      </w:tr>
      <w:tr w:rsidR="00B1006E" w:rsidRPr="00D275F9" w14:paraId="2F5FAA00" w14:textId="77777777" w:rsidTr="00662D94">
        <w:tc>
          <w:tcPr>
            <w:tcW w:w="1843" w:type="dxa"/>
          </w:tcPr>
          <w:p w14:paraId="5A33FC37"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 xml:space="preserve">Black et al. </w:t>
            </w:r>
            <w:r w:rsidRPr="00D275F9">
              <w:rPr>
                <w:rFonts w:asciiTheme="minorHAnsi" w:hAnsiTheme="minorHAnsi" w:cstheme="minorHAnsi"/>
                <w:sz w:val="20"/>
                <w:szCs w:val="20"/>
              </w:rPr>
              <w:fldChar w:fldCharType="begin"/>
            </w:r>
            <w:r w:rsidRPr="00D275F9">
              <w:rPr>
                <w:rFonts w:asciiTheme="minorHAnsi" w:hAnsiTheme="minorHAnsi" w:cstheme="minorHAnsi"/>
                <w:sz w:val="20"/>
                <w:szCs w:val="20"/>
              </w:rPr>
              <w:instrText xml:space="preserve"> ADDIN ZOTERO_ITEM CSL_CITATION {"citationID":"PmTBaxen","properties":{"formattedCitation":"[7]","plainCitation":"[7]","noteIndex":0},"citationItems":[{"id":5401,"uris":["http://zotero.org/groups/2688840/items/FIXVHSTV"],"itemData":{"id":5401,"type":"article-journal","abstract":"OBJECTIVES: Fluid overload is associated with worse outcomes in adult and pediatric acute respiratory distress syndrome. However, the timecourse of fluid overload and its relationship to outcome has not been described. We aimed to determine the relationship between the timing of fluid overload and outcomes over the first 7 days after acute respiratory distress syndrome onset in children. DESIGN: Retrospective cohort study. Celeste G. Black, MD1 Neal J. Thomas, MD, MSc2 Nadir Yehya, MD, MSCE3 SETTING: Single tertiary care PICU. PATIENTS: Intubated children with acute respiratory distress syndrome between 2011 and 2019. INTERVENTIONS: None.\nMEASUREMENTS AND MAIN RESULTS: Daily and cumulative total fluid intake, total output, urine output, and fluid balance were collected for each 24-hour period from days 1 to 7 after acute respiratory distress syndrome onset. We tested the association between daily cumulative fluid metrics with PICU mortality and probability of extubation by 28 days using multivariable logistic and competing risk regression, respectively. In a subset of children, plasma was collected on day 1 and day 3 of acute respiratory distress syndrome and angiopoietin-2 quantified. Of 723 children with acute respiratory distress syndrome, 132 died (18%). In unadjusted analysis, nonsurvivors had higher cumulative fluid balance starting on day 3. In multivariable analysis, a positive cumulative fluid balance on days 5 through 7 was associated with increased mortality. Higher cumulative fluid balance on days 4 to 7 was associated with lower probability of extubation. Elevated angiopoietin-2 on day 1 predicted early (within 3 d) fluid overload greater than or equal to 10%, and elevated angiopoietin-2 on day 3 predicted late (between days 4 and 7) fluid overload.\nCONCLUSIONS: Fluid overload after day 4 of acute respiratory distress syndrome, but not before, was associated with worse outcomes. Higher angiopoietin-2 predicted subsequent fluid overload. Our results suggest that future interventions aimed at managing fluid overload may have differential efficacy depending on when in the time-course of acute respiratory distress syndrome they are initiated.","container-title":"Pediatric Critical Care Medicine","DOI":"10.1097/PCC.0000000000002765","ISSN":"1529-7535","language":"en","source":"DOI.org (Crossref)","title":"Timing and Clinical Significance of Fluid Overload in Pediatric Acute Respiratory Distress Syndrome","URL":"https://journals.lww.com/10.1097/PCC.0000000000002765","volume":"Publish Ahead of Print","author":[{"family":"Black","given":"Celeste G."},{"family":"Thomas","given":"Neal J."},{"family":"Yehya","given":"Nadir"}],"accessed":{"date-parts":[["2022",7,16]]},"issued":{"date-parts":[["2021",5,10]]}}}],"schema":"https://github.com/citation-style-language/schema/raw/master/csl-citation.json"} </w:instrText>
            </w:r>
            <w:r w:rsidRPr="00D275F9">
              <w:rPr>
                <w:rFonts w:asciiTheme="minorHAnsi" w:hAnsiTheme="minorHAnsi" w:cstheme="minorHAnsi"/>
                <w:sz w:val="20"/>
                <w:szCs w:val="20"/>
              </w:rPr>
              <w:fldChar w:fldCharType="separate"/>
            </w:r>
            <w:r w:rsidRPr="00D275F9">
              <w:rPr>
                <w:rFonts w:asciiTheme="minorHAnsi" w:hAnsiTheme="minorHAnsi" w:cstheme="minorHAnsi"/>
                <w:sz w:val="20"/>
                <w:szCs w:val="20"/>
              </w:rPr>
              <w:t>[7]</w:t>
            </w:r>
            <w:r w:rsidRPr="00D275F9">
              <w:rPr>
                <w:rFonts w:asciiTheme="minorHAnsi" w:hAnsiTheme="minorHAnsi" w:cstheme="minorHAnsi"/>
                <w:sz w:val="20"/>
                <w:szCs w:val="20"/>
              </w:rPr>
              <w:fldChar w:fldCharType="end"/>
            </w:r>
          </w:p>
          <w:p w14:paraId="175FB5CE"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2021</w:t>
            </w:r>
          </w:p>
        </w:tc>
        <w:tc>
          <w:tcPr>
            <w:tcW w:w="2977" w:type="dxa"/>
          </w:tcPr>
          <w:p w14:paraId="4DCE61EC" w14:textId="77777777" w:rsidR="00B1006E" w:rsidRPr="00D275F9" w:rsidRDefault="00B1006E" w:rsidP="00662D94">
            <w:pPr>
              <w:rPr>
                <w:rFonts w:asciiTheme="minorHAnsi" w:hAnsiTheme="minorHAnsi" w:cstheme="minorHAnsi"/>
                <w:sz w:val="20"/>
                <w:szCs w:val="20"/>
                <w:u w:val="single"/>
              </w:rPr>
            </w:pPr>
            <w:r w:rsidRPr="00D275F9">
              <w:rPr>
                <w:rFonts w:asciiTheme="minorHAnsi" w:hAnsiTheme="minorHAnsi" w:cstheme="minorHAnsi"/>
                <w:sz w:val="20"/>
                <w:szCs w:val="20"/>
                <w:u w:val="single"/>
              </w:rPr>
              <w:t xml:space="preserve">PICO 5 </w:t>
            </w:r>
          </w:p>
          <w:p w14:paraId="018F7C85"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Evaluation of the relationship between the timing of fluid overload and outcomes (mortality and ventilator-free days)</w:t>
            </w:r>
          </w:p>
        </w:tc>
        <w:tc>
          <w:tcPr>
            <w:tcW w:w="2693" w:type="dxa"/>
          </w:tcPr>
          <w:p w14:paraId="78A8AF5D"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Prospective cohort with post-hoc analysis</w:t>
            </w:r>
          </w:p>
          <w:p w14:paraId="7A5C73B3"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Single centre</w:t>
            </w:r>
          </w:p>
          <w:p w14:paraId="47CF9B94"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USA</w:t>
            </w:r>
          </w:p>
          <w:p w14:paraId="029058DB"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From 2011 and 2019.</w:t>
            </w:r>
          </w:p>
        </w:tc>
        <w:tc>
          <w:tcPr>
            <w:tcW w:w="2552" w:type="dxa"/>
          </w:tcPr>
          <w:p w14:paraId="76AD8619" w14:textId="77777777" w:rsidR="00B1006E" w:rsidRPr="00D275F9" w:rsidRDefault="00B1006E" w:rsidP="00662D94">
            <w:pPr>
              <w:spacing w:after="240"/>
              <w:rPr>
                <w:rFonts w:asciiTheme="minorHAnsi" w:hAnsiTheme="minorHAnsi" w:cstheme="minorHAnsi"/>
                <w:sz w:val="20"/>
                <w:szCs w:val="20"/>
              </w:rPr>
            </w:pPr>
            <w:r w:rsidRPr="00D275F9">
              <w:rPr>
                <w:rFonts w:asciiTheme="minorHAnsi" w:hAnsiTheme="minorHAnsi" w:cstheme="minorHAnsi"/>
                <w:sz w:val="20"/>
                <w:szCs w:val="20"/>
              </w:rPr>
              <w:t>723 critically ill children with (p)ARDS</w:t>
            </w:r>
          </w:p>
          <w:p w14:paraId="79FE644B"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Subset of children analysed for Angiopietin-2</w:t>
            </w:r>
          </w:p>
        </w:tc>
        <w:tc>
          <w:tcPr>
            <w:tcW w:w="5670" w:type="dxa"/>
          </w:tcPr>
          <w:p w14:paraId="2F5A81B7"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 xml:space="preserve">Later (&gt;day 4) fluid overload rather than earlier (first 3 days) was associated with increased PICU mortality and fewer ventilator free days. </w:t>
            </w:r>
          </w:p>
          <w:p w14:paraId="3E2F15AF"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 xml:space="preserve">Angiopoietin-2 predicted subsequent fluid overload on both day 1 and day 3 </w:t>
            </w:r>
          </w:p>
        </w:tc>
      </w:tr>
      <w:tr w:rsidR="00B1006E" w:rsidRPr="00D275F9" w14:paraId="334ACD59" w14:textId="77777777" w:rsidTr="00662D94">
        <w:tc>
          <w:tcPr>
            <w:tcW w:w="1843" w:type="dxa"/>
          </w:tcPr>
          <w:p w14:paraId="04098A29" w14:textId="77777777" w:rsidR="00B1006E" w:rsidRPr="00D275F9" w:rsidRDefault="00B1006E" w:rsidP="00662D94">
            <w:pPr>
              <w:rPr>
                <w:rFonts w:asciiTheme="minorHAnsi" w:hAnsiTheme="minorHAnsi" w:cstheme="minorHAnsi"/>
                <w:sz w:val="20"/>
                <w:szCs w:val="20"/>
              </w:rPr>
            </w:pPr>
            <w:proofErr w:type="spellStart"/>
            <w:r w:rsidRPr="00D275F9">
              <w:rPr>
                <w:rFonts w:asciiTheme="minorHAnsi" w:hAnsiTheme="minorHAnsi" w:cstheme="minorHAnsi"/>
                <w:sz w:val="20"/>
                <w:szCs w:val="20"/>
              </w:rPr>
              <w:t>Gaartman</w:t>
            </w:r>
            <w:proofErr w:type="spellEnd"/>
            <w:r w:rsidRPr="00D275F9">
              <w:rPr>
                <w:rFonts w:asciiTheme="minorHAnsi" w:hAnsiTheme="minorHAnsi" w:cstheme="minorHAnsi"/>
                <w:sz w:val="20"/>
                <w:szCs w:val="20"/>
              </w:rPr>
              <w:t xml:space="preserve"> et al. </w:t>
            </w:r>
            <w:r w:rsidRPr="00D275F9">
              <w:rPr>
                <w:rFonts w:asciiTheme="minorHAnsi" w:hAnsiTheme="minorHAnsi" w:cstheme="minorHAnsi"/>
                <w:sz w:val="20"/>
                <w:szCs w:val="20"/>
              </w:rPr>
              <w:fldChar w:fldCharType="begin"/>
            </w:r>
            <w:r w:rsidRPr="00D275F9">
              <w:rPr>
                <w:rFonts w:asciiTheme="minorHAnsi" w:hAnsiTheme="minorHAnsi" w:cstheme="minorHAnsi"/>
                <w:sz w:val="20"/>
                <w:szCs w:val="20"/>
              </w:rPr>
              <w:instrText xml:space="preserve"> ADDIN ZOTERO_ITEM CSL_CITATION {"citationID":"YU1Idr9q","properties":{"formattedCitation":"[8]","plainCitation":"[8]","noteIndex":0},"citationItems":[{"id":5428,"uris":["http://zotero.org/groups/2688840/items/E9VR4BNH"],"itemData":{"id":5428,"type":"article-journal","abstract":"Intravenous ﬂuid therapy (IV-FT) is routinely used in the treatment of vasoocclusive crises (VOCs), as dehydration possibly promotes and sustains erythrocyte sickling. Patients with sickle cell disease (SCD) are at risk of developing diastolic dysfunction and ﬂuid overload due to IV-FT. However, data on the adverse effects of IV-FT for VOC is sparse. We aimed to evaluate the incidence and risk factors of ﬂuid overload due to IV-FT in patients with SCD. Consecutive hospitalisations for VOC treated with IV-FT between September 2016 and September 2018 were retrospectively analysed. The median (interquartile range) age was 25Á0 (18Á3–33Á8) years and 65% had a severe genotype (HbSS/HbSb0-thal). Fluid overload occurred in 21% of 100 patients. Hospital stay was longer in patients with ﬂuid overload (6Á0 vs. 4Á0 days, P = 0Á037). A positive history of ﬂuid overload (P = 0Á017), lactate dehydrogenase level (P = 0Á011), and top-up transfusion during admission (P = 0Á005) were independently associated with ﬂuid overload occurrence. IV-FT was not reduced in 86% of patients despite a previous history of ﬂuid overload. Fluid overload is frequently encountered during IV-FT for VOC. IV-FT is often not adjusted despite a positive history of ﬂuid overload or when top-up transfusion is indicated, emphasising the need for more awareness of this complication and a personalised approach.","container-title":"British Journal of Haematology","DOI":"10.1111/bjh.17696","ISSN":"0007-1048, 1365-2141","issue":"5","journalAbbreviation":"Br. J. Haematol.","language":"en","page":"899-907","source":"DOI.org (Crossref)","title":"Fluid overload due to intravenous fluid therapy for vaso‐occlusive crisis in sickle cell disease: incidence and risk factors","title-short":"Fluid overload due to intravenous fluid therapy for vaso‐occlusive crisis in sickle cell disease","volume":"194","author":[{"family":"Gaartman","given":"Aafke E."},{"family":"Sayedi","given":"Ajab K."},{"family":"Gerritsma","given":"Jorn J."},{"family":"Back","given":"Tim R."},{"family":"Tuijn","given":"Charlotte F."},{"family":"Tang","given":"Man Wai"},{"family":"Heijboer","given":"Harriët"},{"family":"Heer","given":"Koen"},{"family":"Biemond","given":"Bart J."},{"family":"Nur","given":"Erfan"}],"issued":{"date-parts":[["2021",9]]}}}],"schema":"https://github.com/citation-style-language/schema/raw/master/csl-citation.json"} </w:instrText>
            </w:r>
            <w:r w:rsidRPr="00D275F9">
              <w:rPr>
                <w:rFonts w:asciiTheme="minorHAnsi" w:hAnsiTheme="minorHAnsi" w:cstheme="minorHAnsi"/>
                <w:sz w:val="20"/>
                <w:szCs w:val="20"/>
              </w:rPr>
              <w:fldChar w:fldCharType="separate"/>
            </w:r>
            <w:r w:rsidRPr="00D275F9">
              <w:rPr>
                <w:rFonts w:asciiTheme="minorHAnsi" w:hAnsiTheme="minorHAnsi" w:cstheme="minorHAnsi"/>
                <w:sz w:val="20"/>
                <w:szCs w:val="20"/>
              </w:rPr>
              <w:t>[8]</w:t>
            </w:r>
            <w:r w:rsidRPr="00D275F9">
              <w:rPr>
                <w:rFonts w:asciiTheme="minorHAnsi" w:hAnsiTheme="minorHAnsi" w:cstheme="minorHAnsi"/>
                <w:sz w:val="20"/>
                <w:szCs w:val="20"/>
              </w:rPr>
              <w:fldChar w:fldCharType="end"/>
            </w:r>
          </w:p>
          <w:p w14:paraId="7D05F74B"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2021</w:t>
            </w:r>
          </w:p>
        </w:tc>
        <w:tc>
          <w:tcPr>
            <w:tcW w:w="2977" w:type="dxa"/>
          </w:tcPr>
          <w:p w14:paraId="68ED057C" w14:textId="77777777" w:rsidR="00B1006E" w:rsidRPr="00D275F9" w:rsidRDefault="00B1006E" w:rsidP="00662D94">
            <w:pPr>
              <w:rPr>
                <w:rFonts w:asciiTheme="minorHAnsi" w:hAnsiTheme="minorHAnsi" w:cstheme="minorHAnsi"/>
                <w:sz w:val="20"/>
                <w:szCs w:val="20"/>
                <w:u w:val="single"/>
              </w:rPr>
            </w:pPr>
            <w:r w:rsidRPr="00D275F9">
              <w:rPr>
                <w:rFonts w:asciiTheme="minorHAnsi" w:hAnsiTheme="minorHAnsi" w:cstheme="minorHAnsi"/>
                <w:sz w:val="20"/>
                <w:szCs w:val="20"/>
                <w:u w:val="single"/>
              </w:rPr>
              <w:t xml:space="preserve">PICO 5 </w:t>
            </w:r>
          </w:p>
          <w:p w14:paraId="67F84F05"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Evaluation of the incidence and risk factors of fluid overload due to IV-MFT</w:t>
            </w:r>
          </w:p>
        </w:tc>
        <w:tc>
          <w:tcPr>
            <w:tcW w:w="2693" w:type="dxa"/>
          </w:tcPr>
          <w:p w14:paraId="3BFC5F03"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retrospective study</w:t>
            </w:r>
          </w:p>
          <w:p w14:paraId="5BD5DB04"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Multicentre</w:t>
            </w:r>
          </w:p>
          <w:p w14:paraId="36401BFE"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The Netherlands</w:t>
            </w:r>
          </w:p>
          <w:p w14:paraId="547EBC8F"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From September 2016 to September 2018</w:t>
            </w:r>
          </w:p>
        </w:tc>
        <w:tc>
          <w:tcPr>
            <w:tcW w:w="2552" w:type="dxa"/>
          </w:tcPr>
          <w:p w14:paraId="1D149943"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 xml:space="preserve">184 </w:t>
            </w:r>
            <w:proofErr w:type="spellStart"/>
            <w:r w:rsidRPr="00D275F9">
              <w:rPr>
                <w:rFonts w:asciiTheme="minorHAnsi" w:hAnsiTheme="minorHAnsi" w:cstheme="minorHAnsi"/>
                <w:sz w:val="20"/>
                <w:szCs w:val="20"/>
              </w:rPr>
              <w:t>vaso</w:t>
            </w:r>
            <w:proofErr w:type="spellEnd"/>
            <w:r w:rsidRPr="00D275F9">
              <w:rPr>
                <w:rFonts w:asciiTheme="minorHAnsi" w:hAnsiTheme="minorHAnsi" w:cstheme="minorHAnsi"/>
                <w:sz w:val="20"/>
                <w:szCs w:val="20"/>
              </w:rPr>
              <w:t xml:space="preserve">-occlusive crisis in 80 adult and 46 </w:t>
            </w:r>
            <w:proofErr w:type="spellStart"/>
            <w:r w:rsidRPr="00D275F9">
              <w:rPr>
                <w:rFonts w:asciiTheme="minorHAnsi" w:hAnsiTheme="minorHAnsi" w:cstheme="minorHAnsi"/>
                <w:sz w:val="20"/>
                <w:szCs w:val="20"/>
              </w:rPr>
              <w:t>vaso</w:t>
            </w:r>
            <w:proofErr w:type="spellEnd"/>
            <w:r w:rsidRPr="00D275F9">
              <w:rPr>
                <w:rFonts w:asciiTheme="minorHAnsi" w:hAnsiTheme="minorHAnsi" w:cstheme="minorHAnsi"/>
                <w:sz w:val="20"/>
                <w:szCs w:val="20"/>
              </w:rPr>
              <w:t>-occlusive crisis in 20 paediatric patients with Sickle cell anaemia treated with per guideline intravenous fluid therapy</w:t>
            </w:r>
          </w:p>
        </w:tc>
        <w:tc>
          <w:tcPr>
            <w:tcW w:w="5670" w:type="dxa"/>
          </w:tcPr>
          <w:p w14:paraId="3A48549D"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 xml:space="preserve">Fluid overload occurred in 21% of all patients </w:t>
            </w:r>
          </w:p>
          <w:p w14:paraId="03E2EA7F"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Fluid overload was associated with a significantly longer duration of hospital stay (median (IQR) of 6,0 (4–10) versus 4,0 (3–6) days (P = 0,037)</w:t>
            </w:r>
          </w:p>
        </w:tc>
      </w:tr>
      <w:tr w:rsidR="00B1006E" w:rsidRPr="00D275F9" w14:paraId="38F492CA" w14:textId="77777777" w:rsidTr="00662D94">
        <w:tc>
          <w:tcPr>
            <w:tcW w:w="1843" w:type="dxa"/>
          </w:tcPr>
          <w:p w14:paraId="57B4A68C"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 xml:space="preserve">Glaser et al. </w:t>
            </w:r>
            <w:r w:rsidRPr="00D275F9">
              <w:rPr>
                <w:rFonts w:asciiTheme="minorHAnsi" w:hAnsiTheme="minorHAnsi" w:cstheme="minorHAnsi"/>
                <w:sz w:val="20"/>
                <w:szCs w:val="20"/>
              </w:rPr>
              <w:fldChar w:fldCharType="begin"/>
            </w:r>
            <w:r w:rsidRPr="00D275F9">
              <w:rPr>
                <w:rFonts w:asciiTheme="minorHAnsi" w:hAnsiTheme="minorHAnsi" w:cstheme="minorHAnsi"/>
                <w:sz w:val="20"/>
                <w:szCs w:val="20"/>
              </w:rPr>
              <w:instrText xml:space="preserve"> ADDIN ZOTERO_ITEM CSL_CITATION {"citationID":"F9DZJYv6","properties":{"formattedCitation":"[9]","plainCitation":"[9]","noteIndex":0},"citationItems":[{"id":5426,"uris":["http://zotero.org/groups/2688840/items/F7LVN75T"],"itemData":{"id":5426,"type":"article-journal","abstract":"OBJECTIVES: Diabetic ketoacidosis (DKA) is typically characterized by low or low-normal serum sodium concentrations, which rise as hyperglycemia resolves. In retrospective studies, researchers found associations between declines in sodium concentrations during DKA and cerebral injury. We prospectively investigated determinants of sodium concentration changes and associations with mental status alterations during DKA. abstract\nMETHODS: Using data from the Pediatric Emergency Care Applied Research Network Fluid Therapies Under Investigation in Diabetic Ketoacidosis Trial, we compared children who had declines in glucose-corrected sodium concentrations with those who had rising or stable concentrations. Children were randomly assigned to 1 of 4 intravenous fluid protocols that differed in infusion rate and sodium content. Data from the first 4, 8, and 12 hours of treatment were analyzed for 1251, 1086, and 877 episodes, respectively.\nRESULTS: In multivariable analyses, declines in glucose-corrected sodium concentrations were associated with higher sodium and chloride concentrations at presentation and with previously diagnosed diabetes. Treatment with 0.45% (vs 0.9%) sodium chloride fluids was also associated with declines in sodium concentration; however, higher rates of fluid infusion were associated with declines in sodium concentration only at 12 hours. Frequencies of abnormal Glasgow Coma Scale scores and clinical diagnoses of cerebral injury were similar in patients with and without declines in glucose-corrected sodium concentrations.\nCONCLUSIONS: Changes in glucose-corrected sodium concentrations during DKA treatment are influenced by the balance of free-water loss versus sodium loss at presentation and the sodium content of intravenous fluids. Declines in glucose-corrected sodium concentrations are not associated with mental status changes during treatment.","container-title":"Pediatrics","DOI":"10.1542/peds.2021-050243","ISSN":"0031-4005, 1098-4275","issue":"3","language":"en","page":"e2021050243","source":"DOI.org (Crossref)","title":"Serum Sodium Concentration and Mental Status in Children With Diabetic Ketoacidosis","volume":"148","author":[{"family":"Glaser","given":"Nicole S."},{"family":"Stoner","given":"Michael J."},{"family":"Garro","given":"Aris"},{"family":"Baird","given":"Scott"},{"family":"Myers","given":"Sage R."},{"family":"Rewers","given":"Arleta"},{"family":"Brown","given":"Kathleen M."},{"family":"Trainor","given":"Jennifer L."},{"family":"Quayle","given":"Kimberly S."},{"family":"McManemy","given":"Julie K."},{"family":"DePiero","given":"Andrew D."},{"family":"Nigrovic","given":"Lise E."},{"family":"Tzimenatos","given":"Leah"},{"family":"Schunk","given":"Jeff E."},{"family":"Olsen","given":"Cody S."},{"family":"Casper","given":"T. Charles"},{"family":"Ghetti","given":"Simona"},{"family":"Kuppermann","given":"Nathan"}],"issued":{"date-parts":[["2021",9,1]]}}}],"schema":"https://github.com/citation-style-language/schema/raw/master/csl-citation.json"} </w:instrText>
            </w:r>
            <w:r w:rsidRPr="00D275F9">
              <w:rPr>
                <w:rFonts w:asciiTheme="minorHAnsi" w:hAnsiTheme="minorHAnsi" w:cstheme="minorHAnsi"/>
                <w:sz w:val="20"/>
                <w:szCs w:val="20"/>
              </w:rPr>
              <w:fldChar w:fldCharType="separate"/>
            </w:r>
            <w:r w:rsidRPr="00D275F9">
              <w:rPr>
                <w:rFonts w:asciiTheme="minorHAnsi" w:hAnsiTheme="minorHAnsi" w:cstheme="minorHAnsi"/>
                <w:sz w:val="20"/>
                <w:szCs w:val="20"/>
              </w:rPr>
              <w:t>[9]</w:t>
            </w:r>
            <w:r w:rsidRPr="00D275F9">
              <w:rPr>
                <w:rFonts w:asciiTheme="minorHAnsi" w:hAnsiTheme="minorHAnsi" w:cstheme="minorHAnsi"/>
                <w:sz w:val="20"/>
                <w:szCs w:val="20"/>
              </w:rPr>
              <w:fldChar w:fldCharType="end"/>
            </w:r>
          </w:p>
          <w:p w14:paraId="4866332F"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2021</w:t>
            </w:r>
          </w:p>
        </w:tc>
        <w:tc>
          <w:tcPr>
            <w:tcW w:w="2977" w:type="dxa"/>
          </w:tcPr>
          <w:p w14:paraId="13C66240" w14:textId="77777777" w:rsidR="00B1006E" w:rsidRPr="00D275F9" w:rsidRDefault="00B1006E" w:rsidP="00662D94">
            <w:pPr>
              <w:rPr>
                <w:rFonts w:asciiTheme="minorHAnsi" w:hAnsiTheme="minorHAnsi" w:cstheme="minorHAnsi"/>
                <w:sz w:val="20"/>
                <w:szCs w:val="20"/>
                <w:u w:val="single"/>
              </w:rPr>
            </w:pPr>
            <w:r w:rsidRPr="00D275F9">
              <w:rPr>
                <w:rFonts w:asciiTheme="minorHAnsi" w:hAnsiTheme="minorHAnsi" w:cstheme="minorHAnsi"/>
                <w:sz w:val="20"/>
                <w:szCs w:val="20"/>
                <w:u w:val="single"/>
              </w:rPr>
              <w:t xml:space="preserve">PICO 2 </w:t>
            </w:r>
          </w:p>
          <w:p w14:paraId="3CB3F25D"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 xml:space="preserve">Comparison between IV-MFT with isotonic fluids (sodium chloride solutions 0.9%) to hypotonic fluids (0.45%) </w:t>
            </w:r>
          </w:p>
          <w:p w14:paraId="5E65ADB4" w14:textId="77777777" w:rsidR="00B1006E" w:rsidRPr="00D275F9" w:rsidRDefault="00B1006E" w:rsidP="00662D94">
            <w:pPr>
              <w:rPr>
                <w:rFonts w:asciiTheme="minorHAnsi" w:hAnsiTheme="minorHAnsi" w:cstheme="minorHAnsi"/>
                <w:sz w:val="20"/>
                <w:szCs w:val="20"/>
              </w:rPr>
            </w:pPr>
          </w:p>
          <w:p w14:paraId="7DC5BD03"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Identification of factors influencing changes in serum sodium concentrations and their association with mental status changes and risk of cerebral injury.</w:t>
            </w:r>
          </w:p>
        </w:tc>
        <w:tc>
          <w:tcPr>
            <w:tcW w:w="2693" w:type="dxa"/>
          </w:tcPr>
          <w:p w14:paraId="25F10823"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 xml:space="preserve">RCT </w:t>
            </w:r>
          </w:p>
          <w:p w14:paraId="2AD1FDDC"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post hoc analysis</w:t>
            </w:r>
          </w:p>
          <w:p w14:paraId="55049DEA"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Multicentre</w:t>
            </w:r>
          </w:p>
          <w:p w14:paraId="2D2AEE4E"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USA</w:t>
            </w:r>
          </w:p>
          <w:p w14:paraId="6304E712"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From February 2011</w:t>
            </w:r>
          </w:p>
          <w:p w14:paraId="4E219B58"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to September 2016</w:t>
            </w:r>
          </w:p>
        </w:tc>
        <w:tc>
          <w:tcPr>
            <w:tcW w:w="2552" w:type="dxa"/>
          </w:tcPr>
          <w:p w14:paraId="7A5157D5"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1251 episodes of Diabetic  Ketoacidosis in children from PECARN FLUID Trial</w:t>
            </w:r>
          </w:p>
          <w:p w14:paraId="1DA3708E" w14:textId="77777777" w:rsidR="00B1006E" w:rsidRPr="00D275F9" w:rsidRDefault="00B1006E" w:rsidP="00662D94">
            <w:pPr>
              <w:rPr>
                <w:rFonts w:asciiTheme="minorHAnsi" w:hAnsiTheme="minorHAnsi" w:cstheme="minorHAnsi"/>
                <w:sz w:val="20"/>
                <w:szCs w:val="20"/>
              </w:rPr>
            </w:pPr>
          </w:p>
        </w:tc>
        <w:tc>
          <w:tcPr>
            <w:tcW w:w="5670" w:type="dxa"/>
          </w:tcPr>
          <w:p w14:paraId="2221B9E6"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 xml:space="preserve">Assignment to the 0.45% </w:t>
            </w:r>
            <w:proofErr w:type="spellStart"/>
            <w:r w:rsidRPr="00D275F9">
              <w:rPr>
                <w:rFonts w:asciiTheme="minorHAnsi" w:hAnsiTheme="minorHAnsi" w:cstheme="minorHAnsi"/>
                <w:sz w:val="20"/>
                <w:szCs w:val="20"/>
              </w:rPr>
              <w:t>NaCl</w:t>
            </w:r>
            <w:proofErr w:type="spellEnd"/>
            <w:r w:rsidRPr="00D275F9">
              <w:rPr>
                <w:rFonts w:asciiTheme="minorHAnsi" w:hAnsiTheme="minorHAnsi" w:cstheme="minorHAnsi"/>
                <w:sz w:val="20"/>
                <w:szCs w:val="20"/>
              </w:rPr>
              <w:t xml:space="preserve"> treatment arms was significantly associated with declines in glucose corrected sodium concentrations at all-time points.</w:t>
            </w:r>
          </w:p>
          <w:p w14:paraId="02E57CE2" w14:textId="77777777" w:rsidR="00B1006E" w:rsidRPr="00D275F9" w:rsidRDefault="00B1006E" w:rsidP="00662D94">
            <w:pPr>
              <w:rPr>
                <w:rFonts w:asciiTheme="minorHAnsi" w:hAnsiTheme="minorHAnsi" w:cstheme="minorHAnsi"/>
                <w:sz w:val="20"/>
                <w:szCs w:val="20"/>
              </w:rPr>
            </w:pPr>
          </w:p>
        </w:tc>
      </w:tr>
      <w:tr w:rsidR="00B1006E" w:rsidRPr="00D275F9" w14:paraId="2F64AB76" w14:textId="77777777" w:rsidTr="00662D94">
        <w:tc>
          <w:tcPr>
            <w:tcW w:w="1843" w:type="dxa"/>
          </w:tcPr>
          <w:p w14:paraId="19B01B11" w14:textId="77777777" w:rsidR="00B1006E" w:rsidRPr="00D275F9" w:rsidRDefault="00B1006E" w:rsidP="00662D94">
            <w:pPr>
              <w:rPr>
                <w:rFonts w:asciiTheme="minorHAnsi" w:hAnsiTheme="minorHAnsi" w:cstheme="minorHAnsi"/>
                <w:sz w:val="20"/>
                <w:szCs w:val="20"/>
              </w:rPr>
            </w:pPr>
            <w:proofErr w:type="spellStart"/>
            <w:r w:rsidRPr="00D275F9">
              <w:rPr>
                <w:rFonts w:asciiTheme="minorHAnsi" w:hAnsiTheme="minorHAnsi" w:cstheme="minorHAnsi"/>
                <w:sz w:val="20"/>
                <w:szCs w:val="20"/>
              </w:rPr>
              <w:t>Gorga</w:t>
            </w:r>
            <w:proofErr w:type="spellEnd"/>
            <w:r w:rsidRPr="00D275F9">
              <w:rPr>
                <w:rFonts w:asciiTheme="minorHAnsi" w:hAnsiTheme="minorHAnsi" w:cstheme="minorHAnsi"/>
                <w:sz w:val="20"/>
                <w:szCs w:val="20"/>
              </w:rPr>
              <w:t xml:space="preserve"> et al. </w:t>
            </w:r>
            <w:r w:rsidRPr="00D275F9">
              <w:rPr>
                <w:rFonts w:asciiTheme="minorHAnsi" w:hAnsiTheme="minorHAnsi" w:cstheme="minorHAnsi"/>
                <w:sz w:val="20"/>
                <w:szCs w:val="20"/>
              </w:rPr>
              <w:fldChar w:fldCharType="begin"/>
            </w:r>
            <w:r w:rsidRPr="00D275F9">
              <w:rPr>
                <w:rFonts w:asciiTheme="minorHAnsi" w:hAnsiTheme="minorHAnsi" w:cstheme="minorHAnsi"/>
                <w:sz w:val="20"/>
                <w:szCs w:val="20"/>
              </w:rPr>
              <w:instrText xml:space="preserve"> ADDIN ZOTERO_ITEM CSL_CITATION {"citationID":"ooIQRhRw","properties":{"formattedCitation":"[10]","plainCitation":"[10]","noteIndex":0},"citationItems":[{"id":5424,"uris":["http://zotero.org/groups/2688840/items/AAAB23Y2"],"itemData":{"id":5424,"type":"article-journal","abstract":"Background:  Fluid overload and acute kidney injury are common and associated with poor outcomes among critically ill children. The prodrome of renal angina stratifies patients by risk for severe acute kidney injury, but the predictive discrimination for fluid overload is unknown.\nMethods:  Post-hoc analysis of patients admitted to a tertiary care pediatric intensive care unit (PICU). The primary outcome was the performance of renal angina fulfillment on day of ICU admission to predict fluid overload ≥15% on Day 3.\nResults:  77/139 children (55%) fulfilled renal angina (RA+). After adjusting for covariates, RA+ was associated with increased odds of fluid overload on Day 3 (adjusted odds ratio (aOR) 5.1, 95% CI 1.23–21.2, p = 0.025, versus RA-). RAresulted in a 90% negative predictive value for fluid overload on Day 3. Median fluid overload was significantly higher in RA+ patients with severe acute kidney injury compared to RA+ patients without severe acute kidney injury (% fluid overload on Day 3: 8.8% vs. 0.73%, p = 0.002).\nConclusion:  Among critically ill children, fulfillment of renal angina was associated with increased odds of fluid overload versus the absence of renal angina and a higher fluid overload among patients who developed acute kidney injury. Renal angina directed risk classification may identify patients at highest risk for fluid accumulation. Expanded study in larger populations is warranted.","container-title":"BMC Nephrology","DOI":"10.1186/s12882-021-02540-6","ISSN":"1471-2369","issue":"1","journalAbbreviation":"BMC Nephrol","language":"en","page":"336","source":"DOI.org (Crossref)","title":"Renal angina index predicts fluid overload in critically ill children: an observational cohort study","title-short":"Renal angina index predicts fluid overload in critically ill children","volume":"22","author":[{"family":"Gorga","given":"Stephen M."},{"family":"Carlton","given":"Erin F."},{"family":"Kohne","given":"Joseph G."},{"family":"Barbaro","given":"Ryan P."},{"family":"Basu","given":"Rajit K."}],"issued":{"date-parts":[["2021",12]]}}}],"schema":"https://github.com/citation-style-language/schema/raw/master/csl-citation.json"} </w:instrText>
            </w:r>
            <w:r w:rsidRPr="00D275F9">
              <w:rPr>
                <w:rFonts w:asciiTheme="minorHAnsi" w:hAnsiTheme="minorHAnsi" w:cstheme="minorHAnsi"/>
                <w:sz w:val="20"/>
                <w:szCs w:val="20"/>
              </w:rPr>
              <w:fldChar w:fldCharType="separate"/>
            </w:r>
            <w:r w:rsidRPr="00D275F9">
              <w:rPr>
                <w:rFonts w:asciiTheme="minorHAnsi" w:hAnsiTheme="minorHAnsi" w:cstheme="minorHAnsi"/>
                <w:sz w:val="20"/>
                <w:szCs w:val="20"/>
              </w:rPr>
              <w:t>[10]</w:t>
            </w:r>
            <w:r w:rsidRPr="00D275F9">
              <w:rPr>
                <w:rFonts w:asciiTheme="minorHAnsi" w:hAnsiTheme="minorHAnsi" w:cstheme="minorHAnsi"/>
                <w:sz w:val="20"/>
                <w:szCs w:val="20"/>
              </w:rPr>
              <w:fldChar w:fldCharType="end"/>
            </w:r>
          </w:p>
          <w:p w14:paraId="140B10D4"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2021</w:t>
            </w:r>
          </w:p>
        </w:tc>
        <w:tc>
          <w:tcPr>
            <w:tcW w:w="2977" w:type="dxa"/>
          </w:tcPr>
          <w:p w14:paraId="07914A98" w14:textId="77777777" w:rsidR="00B1006E" w:rsidRPr="00D275F9" w:rsidRDefault="00B1006E" w:rsidP="00662D94">
            <w:pPr>
              <w:rPr>
                <w:rFonts w:asciiTheme="minorHAnsi" w:hAnsiTheme="minorHAnsi" w:cstheme="minorHAnsi"/>
                <w:sz w:val="20"/>
                <w:szCs w:val="20"/>
                <w:u w:val="single"/>
              </w:rPr>
            </w:pPr>
            <w:r w:rsidRPr="00D275F9">
              <w:rPr>
                <w:rFonts w:asciiTheme="minorHAnsi" w:hAnsiTheme="minorHAnsi" w:cstheme="minorHAnsi"/>
                <w:sz w:val="20"/>
                <w:szCs w:val="20"/>
                <w:u w:val="single"/>
              </w:rPr>
              <w:t>PICO 5</w:t>
            </w:r>
          </w:p>
          <w:p w14:paraId="6BE757D2"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Studying the ability of Renal Angina Index at day 1 to identify significant fluid overload at day 3.</w:t>
            </w:r>
          </w:p>
        </w:tc>
        <w:tc>
          <w:tcPr>
            <w:tcW w:w="2693" w:type="dxa"/>
          </w:tcPr>
          <w:p w14:paraId="252112BE"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prospective observational study</w:t>
            </w:r>
          </w:p>
          <w:p w14:paraId="00D8DBD1"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post-hoc analysis</w:t>
            </w:r>
          </w:p>
          <w:p w14:paraId="1A759DC5"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Single centre</w:t>
            </w:r>
          </w:p>
          <w:p w14:paraId="2D3254ED"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USA</w:t>
            </w:r>
          </w:p>
          <w:p w14:paraId="7EF0DC93"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from March 2017 to August 2018</w:t>
            </w:r>
          </w:p>
        </w:tc>
        <w:tc>
          <w:tcPr>
            <w:tcW w:w="2552" w:type="dxa"/>
          </w:tcPr>
          <w:p w14:paraId="794AFF1A"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139 children</w:t>
            </w:r>
          </w:p>
          <w:p w14:paraId="4D298F3E"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Critically ill with an expected length of stay of more than 2 days</w:t>
            </w:r>
          </w:p>
        </w:tc>
        <w:tc>
          <w:tcPr>
            <w:tcW w:w="5670" w:type="dxa"/>
          </w:tcPr>
          <w:p w14:paraId="4E690EAC"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The Renal Angina Index can identify patients at risk for severe AKI and may identify those at risk for fluid overload.</w:t>
            </w:r>
          </w:p>
        </w:tc>
      </w:tr>
      <w:tr w:rsidR="00B1006E" w:rsidRPr="00D275F9" w14:paraId="7BEC1C0A" w14:textId="77777777" w:rsidTr="00662D94">
        <w:tc>
          <w:tcPr>
            <w:tcW w:w="1843" w:type="dxa"/>
          </w:tcPr>
          <w:p w14:paraId="44129294"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 xml:space="preserve">Hayes et al. </w:t>
            </w:r>
            <w:r w:rsidRPr="00D275F9">
              <w:rPr>
                <w:rFonts w:asciiTheme="minorHAnsi" w:hAnsiTheme="minorHAnsi" w:cstheme="minorHAnsi"/>
                <w:sz w:val="20"/>
                <w:szCs w:val="20"/>
              </w:rPr>
              <w:fldChar w:fldCharType="begin"/>
            </w:r>
            <w:r w:rsidRPr="00D275F9">
              <w:rPr>
                <w:rFonts w:asciiTheme="minorHAnsi" w:hAnsiTheme="minorHAnsi" w:cstheme="minorHAnsi"/>
                <w:sz w:val="20"/>
                <w:szCs w:val="20"/>
              </w:rPr>
              <w:instrText xml:space="preserve"> ADDIN ZOTERO_ITEM CSL_CITATION {"citationID":"5i2tdqjV","properties":{"formattedCitation":"[11]","plainCitation":"[11]","noteIndex":0},"citationItems":[{"id":5420,"uris":["http://zotero.org/groups/2688840/items/57EAJ4YG"],"itemData":{"id":5420,"type":"article-journal","abstract":"Introduction\n              Acute electrolyte and acid–base imbalance is experienced by many children following kidney transplantation. When severe, this can lead to complications including seizures, cerebral oedema and death. Relatively large volumes of intravenous fluid are administered to children perioperatively in order to establish perfusion to the donor kidney, the majority of which are from living and deceased adult donors. Hypotonic intravenous fluid is commonly used in the post-transplant period due to clinicians’ concerns about the sodium, chloride and potassium content of isotonic alternatives when administered in large volumes.\n              Plasma-Lyte 148 is an isotonic, balanced intravenous fluid that contains sodium, chloride, potassium and magnesium with concentrations equivalent to those of plasma. There is a physiological basis to expect that Plasma-Lyte 148 will reduce the incidence of clinically significant electrolyte and acid–base abnormalities in children following kidney transplantation compared with current practice.\n              The aim of the PLUTO trial is to determine whether the incidence of clinically significantly abnormal plasma electrolyte levels in paediatric kidney transplant recipients will be different with the use of Plasma-Lyte-148 compared to intravenous fluid currently administered.\n            \n            \n              Methods and analysis\n              PLUTO is a pragmatic, open-label, randomised controlled trial comparing Plasma-Lyte 148 to current care in paediatric kidney transplant recipients, conducted in nine UK paediatric kidney transplant centres.\n              A total of 144 children receiving kidney transplants will be randomised to receive either Plasma-Lyte 148 (the intervention) intraoperatively and postoperatively, or current fluid. Apart from intravenous fluid composition, all participants will receive standard clinical transplant care.\n              The primary outcome measure is acute hyponatraemia in the first 72 hours post-transplant, defined as laboratory plasma sodium concentration of &lt;135 mmol/L. Secondary outcomes include symptoms of acute hyponatraemia, other electrolyte and acid–base imbalances and transplant kidney function.\n              The primary outcome will be analysed using a logistic regression model adjusting for donor type (living vs deceased donor), patient weight (&lt;20 kg vs ≥20 kg pretransplant) and transplant centre as a random effect.\n            \n            \n              Ethics and dissemination\n              The trial received Health Research Authority approval on 20 January 2020. Findings will be presented to academic groups via national and international conferences and peer-reviewed journals. The patient and public involvement group will play an important part in disseminating the study findings to the public domain.\n            \n            \n              Trial registration numbers\n              2019-003025-22 and 16586164.","container-title":"BMJ Open","DOI":"10.1136/bmjopen-2021-055595","ISSN":"2044-6055, 2044-6055","issue":"3","journalAbbreviation":"BMJ Open","language":"en","page":"e055595","source":"DOI.org (Crossref)","title":"Multicentre randomised controlled trial: protocol for Plasma-Lyte Usage and Assessment of Kidney Transplant Outcomes in Children (PLUTO)","title-short":"Multicentre randomised controlled trial","volume":"12","author":[{"family":"Hayes","given":"Wesley"},{"family":"Laing","given":"Emma"},{"family":"Foley","given":"Claire"},{"family":"Pankhurst","given":"Laura"},{"family":"Thomas","given":"Helen"},{"family":"Hume-Smith","given":"Helen"},{"family":"Marks","given":"Stephen"},{"family":"Kessaris","given":"Nicos"},{"family":"Bryant","given":"William A"},{"family":"Spiridou","given":"Anastassia"},{"family":"Wray","given":"Jo"},{"family":"Peters","given":"Mark J"}],"issued":{"date-parts":[["2022",3]]}}}],"schema":"https://github.com/citation-style-language/schema/raw/master/csl-citation.json"} </w:instrText>
            </w:r>
            <w:r w:rsidRPr="00D275F9">
              <w:rPr>
                <w:rFonts w:asciiTheme="minorHAnsi" w:hAnsiTheme="minorHAnsi" w:cstheme="minorHAnsi"/>
                <w:sz w:val="20"/>
                <w:szCs w:val="20"/>
              </w:rPr>
              <w:fldChar w:fldCharType="separate"/>
            </w:r>
            <w:r w:rsidRPr="00D275F9">
              <w:rPr>
                <w:rFonts w:asciiTheme="minorHAnsi" w:hAnsiTheme="minorHAnsi" w:cstheme="minorHAnsi"/>
                <w:sz w:val="20"/>
                <w:szCs w:val="20"/>
              </w:rPr>
              <w:t>[11]</w:t>
            </w:r>
            <w:r w:rsidRPr="00D275F9">
              <w:rPr>
                <w:rFonts w:asciiTheme="minorHAnsi" w:hAnsiTheme="minorHAnsi" w:cstheme="minorHAnsi"/>
                <w:sz w:val="20"/>
                <w:szCs w:val="20"/>
              </w:rPr>
              <w:fldChar w:fldCharType="end"/>
            </w:r>
          </w:p>
          <w:p w14:paraId="178E00E6" w14:textId="77777777" w:rsidR="00B1006E"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2022</w:t>
            </w:r>
          </w:p>
          <w:p w14:paraId="3DC535D2" w14:textId="77777777" w:rsidR="00B1006E" w:rsidRPr="00D275F9" w:rsidRDefault="00B1006E" w:rsidP="00662D94">
            <w:pPr>
              <w:rPr>
                <w:rFonts w:asciiTheme="minorHAnsi" w:hAnsiTheme="minorHAnsi" w:cstheme="minorHAnsi"/>
                <w:sz w:val="20"/>
                <w:szCs w:val="20"/>
              </w:rPr>
            </w:pPr>
            <w:r>
              <w:rPr>
                <w:rFonts w:asciiTheme="minorHAnsi" w:hAnsiTheme="minorHAnsi" w:cstheme="minorHAnsi"/>
                <w:sz w:val="20"/>
                <w:szCs w:val="20"/>
              </w:rPr>
              <w:lastRenderedPageBreak/>
              <w:t>§</w:t>
            </w:r>
          </w:p>
        </w:tc>
        <w:tc>
          <w:tcPr>
            <w:tcW w:w="2977" w:type="dxa"/>
          </w:tcPr>
          <w:p w14:paraId="51AE90F4" w14:textId="77777777" w:rsidR="00B1006E" w:rsidRPr="00D275F9" w:rsidRDefault="00B1006E" w:rsidP="00662D94">
            <w:pPr>
              <w:rPr>
                <w:rFonts w:asciiTheme="minorHAnsi" w:hAnsiTheme="minorHAnsi" w:cstheme="minorHAnsi"/>
                <w:sz w:val="20"/>
                <w:szCs w:val="20"/>
                <w:u w:val="single"/>
              </w:rPr>
            </w:pPr>
            <w:r w:rsidRPr="00D275F9">
              <w:rPr>
                <w:rFonts w:asciiTheme="minorHAnsi" w:hAnsiTheme="minorHAnsi" w:cstheme="minorHAnsi"/>
                <w:sz w:val="20"/>
                <w:szCs w:val="20"/>
                <w:u w:val="single"/>
              </w:rPr>
              <w:lastRenderedPageBreak/>
              <w:t xml:space="preserve">PICO 3 </w:t>
            </w:r>
          </w:p>
          <w:p w14:paraId="30FBCE69" w14:textId="77777777" w:rsidR="00B1006E" w:rsidRPr="00D275F9" w:rsidRDefault="00B1006E" w:rsidP="00662D94">
            <w:pPr>
              <w:rPr>
                <w:rFonts w:asciiTheme="minorHAnsi" w:hAnsiTheme="minorHAnsi" w:cstheme="minorHAnsi"/>
                <w:sz w:val="20"/>
                <w:szCs w:val="20"/>
                <w:u w:val="single"/>
              </w:rPr>
            </w:pPr>
            <w:r w:rsidRPr="00D275F9">
              <w:rPr>
                <w:rFonts w:asciiTheme="minorHAnsi" w:hAnsiTheme="minorHAnsi" w:cstheme="minorHAnsi"/>
                <w:sz w:val="20"/>
                <w:szCs w:val="20"/>
              </w:rPr>
              <w:lastRenderedPageBreak/>
              <w:t>Comparison between IV-MFT with Plasma-</w:t>
            </w:r>
            <w:proofErr w:type="spellStart"/>
            <w:r w:rsidRPr="00D275F9">
              <w:rPr>
                <w:rFonts w:asciiTheme="minorHAnsi" w:hAnsiTheme="minorHAnsi" w:cstheme="minorHAnsi"/>
                <w:sz w:val="20"/>
                <w:szCs w:val="20"/>
              </w:rPr>
              <w:t>Lyte</w:t>
            </w:r>
            <w:proofErr w:type="spellEnd"/>
            <w:r w:rsidRPr="00D275F9">
              <w:rPr>
                <w:rFonts w:asciiTheme="minorHAnsi" w:hAnsiTheme="minorHAnsi" w:cstheme="minorHAnsi"/>
                <w:sz w:val="20"/>
                <w:szCs w:val="20"/>
              </w:rPr>
              <w:t xml:space="preserve"> to Standard care in </w:t>
            </w:r>
            <w:proofErr w:type="spellStart"/>
            <w:r w:rsidRPr="00D275F9">
              <w:rPr>
                <w:rFonts w:asciiTheme="minorHAnsi" w:hAnsiTheme="minorHAnsi" w:cstheme="minorHAnsi"/>
                <w:sz w:val="20"/>
                <w:szCs w:val="20"/>
              </w:rPr>
              <w:t>pediatric</w:t>
            </w:r>
            <w:proofErr w:type="spellEnd"/>
            <w:r w:rsidRPr="00D275F9">
              <w:rPr>
                <w:rFonts w:asciiTheme="minorHAnsi" w:hAnsiTheme="minorHAnsi" w:cstheme="minorHAnsi"/>
                <w:sz w:val="20"/>
                <w:szCs w:val="20"/>
              </w:rPr>
              <w:t xml:space="preserve"> kidney transplant recipients </w:t>
            </w:r>
          </w:p>
        </w:tc>
        <w:tc>
          <w:tcPr>
            <w:tcW w:w="2693" w:type="dxa"/>
          </w:tcPr>
          <w:p w14:paraId="472A6FF4" w14:textId="77777777" w:rsidR="00B1006E" w:rsidRPr="00C15932" w:rsidRDefault="00B1006E" w:rsidP="00662D94">
            <w:pPr>
              <w:rPr>
                <w:rFonts w:asciiTheme="minorHAnsi" w:hAnsiTheme="minorHAnsi" w:cstheme="minorHAnsi"/>
                <w:sz w:val="20"/>
                <w:szCs w:val="20"/>
                <w:lang w:val="fr-FR"/>
              </w:rPr>
            </w:pPr>
            <w:r w:rsidRPr="00C15932">
              <w:rPr>
                <w:rFonts w:asciiTheme="minorHAnsi" w:hAnsiTheme="minorHAnsi" w:cstheme="minorHAnsi"/>
                <w:sz w:val="20"/>
                <w:szCs w:val="20"/>
                <w:lang w:val="fr-FR"/>
              </w:rPr>
              <w:lastRenderedPageBreak/>
              <w:t>RCT (</w:t>
            </w:r>
            <w:proofErr w:type="spellStart"/>
            <w:r w:rsidRPr="00C15932">
              <w:rPr>
                <w:rFonts w:asciiTheme="minorHAnsi" w:hAnsiTheme="minorHAnsi" w:cstheme="minorHAnsi"/>
                <w:sz w:val="20"/>
                <w:szCs w:val="20"/>
                <w:lang w:val="fr-FR"/>
              </w:rPr>
              <w:t>protocol</w:t>
            </w:r>
            <w:proofErr w:type="spellEnd"/>
            <w:r w:rsidRPr="00C15932">
              <w:rPr>
                <w:rFonts w:asciiTheme="minorHAnsi" w:hAnsiTheme="minorHAnsi" w:cstheme="minorHAnsi"/>
                <w:sz w:val="20"/>
                <w:szCs w:val="20"/>
                <w:lang w:val="fr-FR"/>
              </w:rPr>
              <w:t xml:space="preserve"> publication)</w:t>
            </w:r>
          </w:p>
          <w:p w14:paraId="4215CD5D" w14:textId="77777777" w:rsidR="00B1006E" w:rsidRPr="00C15932" w:rsidRDefault="00B1006E" w:rsidP="00662D94">
            <w:pPr>
              <w:rPr>
                <w:rFonts w:asciiTheme="minorHAnsi" w:hAnsiTheme="minorHAnsi" w:cstheme="minorHAnsi"/>
                <w:sz w:val="20"/>
                <w:szCs w:val="20"/>
                <w:lang w:val="fr-FR"/>
              </w:rPr>
            </w:pPr>
            <w:proofErr w:type="spellStart"/>
            <w:r w:rsidRPr="00C15932">
              <w:rPr>
                <w:rFonts w:asciiTheme="minorHAnsi" w:hAnsiTheme="minorHAnsi" w:cstheme="minorHAnsi"/>
                <w:sz w:val="20"/>
                <w:szCs w:val="20"/>
                <w:lang w:val="fr-FR"/>
              </w:rPr>
              <w:t>Multicentre</w:t>
            </w:r>
            <w:proofErr w:type="spellEnd"/>
          </w:p>
          <w:p w14:paraId="59744DF0" w14:textId="77777777" w:rsidR="00B1006E" w:rsidRPr="00C15932" w:rsidRDefault="00B1006E" w:rsidP="00662D94">
            <w:pPr>
              <w:rPr>
                <w:rFonts w:asciiTheme="minorHAnsi" w:hAnsiTheme="minorHAnsi" w:cstheme="minorHAnsi"/>
                <w:sz w:val="20"/>
                <w:szCs w:val="20"/>
                <w:lang w:val="fr-FR"/>
              </w:rPr>
            </w:pPr>
            <w:r w:rsidRPr="00C15932">
              <w:rPr>
                <w:rFonts w:asciiTheme="minorHAnsi" w:hAnsiTheme="minorHAnsi" w:cstheme="minorHAnsi"/>
                <w:sz w:val="20"/>
                <w:szCs w:val="20"/>
                <w:lang w:val="fr-FR"/>
              </w:rPr>
              <w:lastRenderedPageBreak/>
              <w:t>UK</w:t>
            </w:r>
          </w:p>
        </w:tc>
        <w:tc>
          <w:tcPr>
            <w:tcW w:w="2552" w:type="dxa"/>
          </w:tcPr>
          <w:p w14:paraId="5DDED244"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lastRenderedPageBreak/>
              <w:t xml:space="preserve">144 </w:t>
            </w:r>
            <w:proofErr w:type="spellStart"/>
            <w:r w:rsidRPr="00D275F9">
              <w:rPr>
                <w:rFonts w:asciiTheme="minorHAnsi" w:hAnsiTheme="minorHAnsi" w:cstheme="minorHAnsi"/>
                <w:sz w:val="20"/>
                <w:szCs w:val="20"/>
              </w:rPr>
              <w:t>pediatric</w:t>
            </w:r>
            <w:proofErr w:type="spellEnd"/>
            <w:r w:rsidRPr="00D275F9">
              <w:rPr>
                <w:rFonts w:asciiTheme="minorHAnsi" w:hAnsiTheme="minorHAnsi" w:cstheme="minorHAnsi"/>
                <w:sz w:val="20"/>
                <w:szCs w:val="20"/>
              </w:rPr>
              <w:t xml:space="preserve"> kidney transplant recipients</w:t>
            </w:r>
          </w:p>
        </w:tc>
        <w:tc>
          <w:tcPr>
            <w:tcW w:w="5670" w:type="dxa"/>
          </w:tcPr>
          <w:p w14:paraId="483571FD" w14:textId="77777777" w:rsidR="00B1006E" w:rsidRPr="00D275F9" w:rsidRDefault="00B1006E" w:rsidP="00662D94">
            <w:pPr>
              <w:rPr>
                <w:rFonts w:asciiTheme="minorHAnsi" w:hAnsiTheme="minorHAnsi" w:cstheme="minorHAnsi"/>
                <w:sz w:val="20"/>
                <w:szCs w:val="20"/>
              </w:rPr>
            </w:pPr>
            <w:r>
              <w:rPr>
                <w:rFonts w:asciiTheme="minorHAnsi" w:hAnsiTheme="minorHAnsi" w:cstheme="minorHAnsi"/>
                <w:sz w:val="20"/>
                <w:szCs w:val="20"/>
              </w:rPr>
              <w:t>Ongoing trial:</w:t>
            </w:r>
            <w:r w:rsidRPr="00D275F9">
              <w:rPr>
                <w:rFonts w:asciiTheme="minorHAnsi" w:hAnsiTheme="minorHAnsi" w:cstheme="minorHAnsi"/>
                <w:sz w:val="20"/>
                <w:szCs w:val="20"/>
              </w:rPr>
              <w:t xml:space="preserve"> (completion Oct 2022)</w:t>
            </w:r>
          </w:p>
          <w:p w14:paraId="4562D758"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lastRenderedPageBreak/>
              <w:t>Primary outcome:  acute hyponatraemia within the first 72 hours post-transplant</w:t>
            </w:r>
          </w:p>
        </w:tc>
      </w:tr>
      <w:tr w:rsidR="00B1006E" w:rsidRPr="00D275F9" w14:paraId="6DEEBE87" w14:textId="77777777" w:rsidTr="00662D94">
        <w:trPr>
          <w:trHeight w:val="1186"/>
        </w:trPr>
        <w:tc>
          <w:tcPr>
            <w:tcW w:w="1843" w:type="dxa"/>
          </w:tcPr>
          <w:p w14:paraId="2BFC9A01" w14:textId="77777777" w:rsidR="00B1006E" w:rsidRPr="00D275F9" w:rsidRDefault="00B1006E" w:rsidP="00662D94">
            <w:pPr>
              <w:rPr>
                <w:rFonts w:asciiTheme="minorHAnsi" w:hAnsiTheme="minorHAnsi" w:cstheme="minorHAnsi"/>
                <w:sz w:val="20"/>
                <w:szCs w:val="20"/>
              </w:rPr>
            </w:pPr>
            <w:proofErr w:type="spellStart"/>
            <w:r w:rsidRPr="00D275F9">
              <w:rPr>
                <w:rFonts w:asciiTheme="minorHAnsi" w:hAnsiTheme="minorHAnsi" w:cstheme="minorHAnsi"/>
                <w:sz w:val="20"/>
                <w:szCs w:val="20"/>
              </w:rPr>
              <w:lastRenderedPageBreak/>
              <w:t>Lehtiranta</w:t>
            </w:r>
            <w:proofErr w:type="spellEnd"/>
            <w:r w:rsidRPr="00D275F9">
              <w:rPr>
                <w:rFonts w:asciiTheme="minorHAnsi" w:hAnsiTheme="minorHAnsi" w:cstheme="minorHAnsi"/>
                <w:sz w:val="20"/>
                <w:szCs w:val="20"/>
              </w:rPr>
              <w:t xml:space="preserve"> et al. </w:t>
            </w:r>
            <w:r w:rsidRPr="00D275F9">
              <w:rPr>
                <w:rFonts w:asciiTheme="minorHAnsi" w:hAnsiTheme="minorHAnsi" w:cstheme="minorHAnsi"/>
                <w:sz w:val="20"/>
                <w:szCs w:val="20"/>
              </w:rPr>
              <w:fldChar w:fldCharType="begin"/>
            </w:r>
            <w:r w:rsidRPr="00D275F9">
              <w:rPr>
                <w:rFonts w:asciiTheme="minorHAnsi" w:hAnsiTheme="minorHAnsi" w:cstheme="minorHAnsi"/>
                <w:sz w:val="20"/>
                <w:szCs w:val="20"/>
              </w:rPr>
              <w:instrText xml:space="preserve"> ADDIN ZOTERO_ITEM CSL_CITATION {"citationID":"EFLNCzsW","properties":{"formattedCitation":"[12]","plainCitation":"[12]","noteIndex":0},"citationItems":[{"id":4895,"uris":["http://zotero.org/groups/2688840/items/VRSNNJFV"],"itemData":{"id":4895,"type":"article-journal","abstract":"The use of isotonic fluid therapy is currently recommended in children, but there is limited evidence of optimal fluid therapy in acutely ill children.To evaluate the risk for electrolyte disorders, including hyponatremia, hypernatremia, and hypokalemia, and the risk of fluid retention in acutely ill children receiving commercially available plasmalike isotonic fluid therapy.This unblinded, randomized clinical pragmatic trial was conducted at the pediatric emergency department of Oulu University Hospital, Finland, from October 3, 2016, through April 15, 2019. Eligible study subjects (N = 614) were between 6 months and 12 years of age, required hospitalization due to an acute illness, and needed intravenous fluid therapy. Exclusion criteria included a plasma sodium concentration of less than 130 mmol/L or greater than 150 mmol/L on admission; a plasma potassium concentration of less than 3.0 mmol/L on admission; clinical need of fluid therapy with 10% glucose solution; a history of diabetes, diabetic ketoacidosis, or diabetes insipidus; a need for renal replacement therapy; severe liver disease; pediatric cancer requiring protocol-determined chemotherapy hydration; and inborn errors of metabolism. All outcomes and samples size were prespecified except those clearly marked as exploratory post hoc analyses. All analyses were intention to treat.Acutely ill children were randomized to receive commercially available plasmalike isotonic fluid therapy (140 mmol/L of sodium and 5 mmol/L potassium in 5% dextrose) or moderately hypotonic fluid therapy (80 mmol/L sodium and 20 mmol/L potassium in 5% dextrose).The primary outcome was the proportion of children with any clinically significant electrolyte disorder, defined as hypokalemia less than 3.5 mmol/L, hypernatremia greater than 148 mmol/L, or hyponatremia less than 132 mmol/L during hospitalization due to acute illness. The main secondary outcomes were the proportion of children with severe hypokalemia and weight change.There were 614 total study subjects (mean [SD] age, 4.0 [3.1] years; 315 children were boys [51%] and all 614 were Finnish speaking [100%]). Clinically significant electrolyte disorder was more common in children receiving plasmalike isotonic fluid therapy (61 of 308 patients [20%]) compared with those receiving moderately hypotonic fluid therapy (9 of 306 patients [2.9%]; 95% CI of the difference, 12%-22%; P &amp;lt; .001). The risk of developing electrolyte disorder was 6.7-fold greater in children receiving isotonic fluid therapy. Hypokalemia developed in 57 patients (19%) and hypernatremia developed in 4 patients (1.3%) receiving plasmalike isotonic fluid therapy. Weight change was greater in children receiving isotonic, plasmalike fluid therapy compared with those receiving mildly hypotonic fluids (mean weight gain, 279 vs 195 g; 95% CI, 16-154 g; P = .02).In this randomized clinical trial, commercially available plasmalike isotonic fluid therapy markedly increased the risk for clinically significant electrolyte disorders, mostly due to hypokalemia, in acutely ill children compared with previously widely used moderately hypotonic fluid therapy containing 20 mmol/L of potassium.ClinicalTrials.gov identifier: NCT02926989","container-title":"JAMA Pediatrics","DOI":"10.1001/jamapediatrics.2020.3383","ISSN":"2168-6203","issue":"1","journalAbbreviation":"JAMA Pediatrics","page":"28-35","source":"Silverchair","title":"Risk of Electrolyte Disorders in Acutely Ill Children Receiving Commercially Available Plasmalike Isotonic Fluids: A Randomized Clinical Trial","title-short":"Risk of Electrolyte Disorders in Acutely Ill Children Receiving Commercially Available Plasmalike Isotonic Fluids","volume":"175","author":[{"family":"Lehtiranta","given":"Saara"},{"family":"Honkila","given":"Minna"},{"family":"Kallio","given":"Merja"},{"family":"Paalanne","given":"Niko"},{"family":"Peltoniemi","given":"Outi"},{"family":"Pokka","given":"Tytti"},{"family":"Renko","given":"Marjo"},{"family":"Tapiainen","given":"Terhi"}],"issued":{"date-parts":[["2021",1,1]]}}}],"schema":"https://github.com/citation-style-language/schema/raw/master/csl-citation.json"} </w:instrText>
            </w:r>
            <w:r w:rsidRPr="00D275F9">
              <w:rPr>
                <w:rFonts w:asciiTheme="minorHAnsi" w:hAnsiTheme="minorHAnsi" w:cstheme="minorHAnsi"/>
                <w:sz w:val="20"/>
                <w:szCs w:val="20"/>
              </w:rPr>
              <w:fldChar w:fldCharType="separate"/>
            </w:r>
            <w:r w:rsidRPr="00D275F9">
              <w:rPr>
                <w:rFonts w:asciiTheme="minorHAnsi" w:hAnsiTheme="minorHAnsi" w:cstheme="minorHAnsi"/>
                <w:sz w:val="20"/>
                <w:szCs w:val="20"/>
              </w:rPr>
              <w:t>[12]</w:t>
            </w:r>
            <w:r w:rsidRPr="00D275F9">
              <w:rPr>
                <w:rFonts w:asciiTheme="minorHAnsi" w:hAnsiTheme="minorHAnsi" w:cstheme="minorHAnsi"/>
                <w:sz w:val="20"/>
                <w:szCs w:val="20"/>
              </w:rPr>
              <w:fldChar w:fldCharType="end"/>
            </w:r>
          </w:p>
          <w:p w14:paraId="14ACE145"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2021</w:t>
            </w:r>
          </w:p>
        </w:tc>
        <w:tc>
          <w:tcPr>
            <w:tcW w:w="2977" w:type="dxa"/>
          </w:tcPr>
          <w:p w14:paraId="474AE3CA" w14:textId="77777777" w:rsidR="00B1006E" w:rsidRPr="00D275F9" w:rsidRDefault="00B1006E" w:rsidP="00662D94">
            <w:pPr>
              <w:spacing w:line="256" w:lineRule="auto"/>
              <w:rPr>
                <w:rFonts w:asciiTheme="minorHAnsi" w:hAnsiTheme="minorHAnsi" w:cstheme="minorHAnsi"/>
                <w:sz w:val="20"/>
                <w:szCs w:val="20"/>
                <w:u w:val="single"/>
              </w:rPr>
            </w:pPr>
            <w:r w:rsidRPr="00D275F9">
              <w:rPr>
                <w:rFonts w:asciiTheme="minorHAnsi" w:hAnsiTheme="minorHAnsi" w:cstheme="minorHAnsi"/>
                <w:sz w:val="20"/>
                <w:szCs w:val="20"/>
                <w:u w:val="single"/>
              </w:rPr>
              <w:t>PICO 2, PICO 4</w:t>
            </w:r>
          </w:p>
          <w:p w14:paraId="1F11A06A" w14:textId="77777777" w:rsidR="00B1006E" w:rsidRPr="00D275F9" w:rsidRDefault="00B1006E" w:rsidP="00662D94">
            <w:pPr>
              <w:rPr>
                <w:rFonts w:asciiTheme="minorHAnsi" w:hAnsiTheme="minorHAnsi" w:cstheme="minorHAnsi"/>
                <w:sz w:val="20"/>
                <w:szCs w:val="20"/>
                <w:u w:val="single"/>
              </w:rPr>
            </w:pPr>
            <w:r w:rsidRPr="00D275F9">
              <w:rPr>
                <w:rFonts w:asciiTheme="minorHAnsi" w:hAnsiTheme="minorHAnsi" w:cstheme="minorHAnsi"/>
                <w:sz w:val="20"/>
                <w:szCs w:val="20"/>
              </w:rPr>
              <w:t xml:space="preserve">Comparison between IV-MFT with a commercially available isotonic fluid therapy (140 </w:t>
            </w:r>
            <w:proofErr w:type="spellStart"/>
            <w:r w:rsidRPr="00D275F9">
              <w:rPr>
                <w:rFonts w:asciiTheme="minorHAnsi" w:hAnsiTheme="minorHAnsi" w:cstheme="minorHAnsi"/>
                <w:sz w:val="20"/>
                <w:szCs w:val="20"/>
              </w:rPr>
              <w:t>mmol</w:t>
            </w:r>
            <w:proofErr w:type="spellEnd"/>
            <w:r w:rsidRPr="00D275F9">
              <w:rPr>
                <w:rFonts w:asciiTheme="minorHAnsi" w:hAnsiTheme="minorHAnsi" w:cstheme="minorHAnsi"/>
                <w:sz w:val="20"/>
                <w:szCs w:val="20"/>
              </w:rPr>
              <w:t xml:space="preserve">/L of sodium and 5 </w:t>
            </w:r>
            <w:proofErr w:type="spellStart"/>
            <w:r w:rsidRPr="00D275F9">
              <w:rPr>
                <w:rFonts w:asciiTheme="minorHAnsi" w:hAnsiTheme="minorHAnsi" w:cstheme="minorHAnsi"/>
                <w:sz w:val="20"/>
                <w:szCs w:val="20"/>
              </w:rPr>
              <w:t>mmol</w:t>
            </w:r>
            <w:proofErr w:type="spellEnd"/>
            <w:r w:rsidRPr="00D275F9">
              <w:rPr>
                <w:rFonts w:asciiTheme="minorHAnsi" w:hAnsiTheme="minorHAnsi" w:cstheme="minorHAnsi"/>
                <w:sz w:val="20"/>
                <w:szCs w:val="20"/>
              </w:rPr>
              <w:t xml:space="preserve">/L potassium in 5% dextrose) vs moderately hypotonic fluid therapy (80 </w:t>
            </w:r>
            <w:proofErr w:type="spellStart"/>
            <w:r w:rsidRPr="00D275F9">
              <w:rPr>
                <w:rFonts w:asciiTheme="minorHAnsi" w:hAnsiTheme="minorHAnsi" w:cstheme="minorHAnsi"/>
                <w:sz w:val="20"/>
                <w:szCs w:val="20"/>
              </w:rPr>
              <w:t>mmol</w:t>
            </w:r>
            <w:proofErr w:type="spellEnd"/>
            <w:r w:rsidRPr="00D275F9">
              <w:rPr>
                <w:rFonts w:asciiTheme="minorHAnsi" w:hAnsiTheme="minorHAnsi" w:cstheme="minorHAnsi"/>
                <w:sz w:val="20"/>
                <w:szCs w:val="20"/>
              </w:rPr>
              <w:t xml:space="preserve">/L sodium and 20 </w:t>
            </w:r>
            <w:proofErr w:type="spellStart"/>
            <w:r w:rsidRPr="00D275F9">
              <w:rPr>
                <w:rFonts w:asciiTheme="minorHAnsi" w:hAnsiTheme="minorHAnsi" w:cstheme="minorHAnsi"/>
                <w:sz w:val="20"/>
                <w:szCs w:val="20"/>
              </w:rPr>
              <w:t>mmol</w:t>
            </w:r>
            <w:proofErr w:type="spellEnd"/>
            <w:r w:rsidRPr="00D275F9">
              <w:rPr>
                <w:rFonts w:asciiTheme="minorHAnsi" w:hAnsiTheme="minorHAnsi" w:cstheme="minorHAnsi"/>
                <w:sz w:val="20"/>
                <w:szCs w:val="20"/>
              </w:rPr>
              <w:t>/L potassium in 5%dextrose).</w:t>
            </w:r>
          </w:p>
        </w:tc>
        <w:tc>
          <w:tcPr>
            <w:tcW w:w="2693" w:type="dxa"/>
          </w:tcPr>
          <w:p w14:paraId="0243C8CB" w14:textId="77777777" w:rsidR="00B1006E" w:rsidRPr="00D275F9" w:rsidRDefault="00B1006E" w:rsidP="00662D94">
            <w:pPr>
              <w:rPr>
                <w:rFonts w:asciiTheme="minorHAnsi" w:hAnsiTheme="minorHAnsi" w:cstheme="minorHAnsi"/>
                <w:sz w:val="20"/>
                <w:szCs w:val="20"/>
              </w:rPr>
            </w:pPr>
            <w:proofErr w:type="spellStart"/>
            <w:r w:rsidRPr="00D275F9">
              <w:rPr>
                <w:rFonts w:asciiTheme="minorHAnsi" w:hAnsiTheme="minorHAnsi" w:cstheme="minorHAnsi"/>
                <w:sz w:val="20"/>
                <w:szCs w:val="20"/>
              </w:rPr>
              <w:t>Unblinded</w:t>
            </w:r>
            <w:proofErr w:type="spellEnd"/>
            <w:r w:rsidRPr="00D275F9">
              <w:rPr>
                <w:rFonts w:asciiTheme="minorHAnsi" w:hAnsiTheme="minorHAnsi" w:cstheme="minorHAnsi"/>
                <w:sz w:val="20"/>
                <w:szCs w:val="20"/>
              </w:rPr>
              <w:t xml:space="preserve"> RCT</w:t>
            </w:r>
          </w:p>
          <w:p w14:paraId="7D7AD5C1"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Single centre</w:t>
            </w:r>
          </w:p>
          <w:p w14:paraId="6C674E4A"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Finland</w:t>
            </w:r>
          </w:p>
          <w:p w14:paraId="5233637E" w14:textId="77777777" w:rsidR="00B1006E" w:rsidRPr="00D275F9" w:rsidRDefault="00B1006E" w:rsidP="00662D94">
            <w:pPr>
              <w:rPr>
                <w:rFonts w:asciiTheme="minorHAnsi" w:hAnsiTheme="minorHAnsi" w:cstheme="minorHAnsi"/>
                <w:sz w:val="20"/>
                <w:szCs w:val="20"/>
                <w:lang w:val="en-US"/>
              </w:rPr>
            </w:pPr>
            <w:r w:rsidRPr="00D275F9">
              <w:rPr>
                <w:rFonts w:asciiTheme="minorHAnsi" w:hAnsiTheme="minorHAnsi" w:cstheme="minorHAnsi"/>
                <w:sz w:val="20"/>
                <w:szCs w:val="20"/>
              </w:rPr>
              <w:t>From October 2016 to April 2019</w:t>
            </w:r>
          </w:p>
        </w:tc>
        <w:tc>
          <w:tcPr>
            <w:tcW w:w="2552" w:type="dxa"/>
          </w:tcPr>
          <w:p w14:paraId="187CC74C"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 xml:space="preserve">614 children from 6 months to 12 year-old with acute illness requiring intravenous fluids </w:t>
            </w:r>
          </w:p>
        </w:tc>
        <w:tc>
          <w:tcPr>
            <w:tcW w:w="5670" w:type="dxa"/>
          </w:tcPr>
          <w:p w14:paraId="05F65F04" w14:textId="77777777" w:rsidR="00B1006E" w:rsidRPr="00D275F9" w:rsidRDefault="00B1006E" w:rsidP="00662D94">
            <w:pPr>
              <w:spacing w:line="276" w:lineRule="auto"/>
              <w:rPr>
                <w:rFonts w:asciiTheme="minorHAnsi" w:hAnsiTheme="minorHAnsi" w:cstheme="minorHAnsi"/>
                <w:sz w:val="20"/>
                <w:szCs w:val="20"/>
              </w:rPr>
            </w:pPr>
            <w:r w:rsidRPr="00D275F9">
              <w:rPr>
                <w:rFonts w:asciiTheme="minorHAnsi" w:hAnsiTheme="minorHAnsi" w:cstheme="minorHAnsi"/>
                <w:sz w:val="20"/>
                <w:szCs w:val="20"/>
              </w:rPr>
              <w:t>children receiving isotonic fluid therapy had more clinically significant electrolyte disorders (61 of 308 ( 20%) vs (9 of</w:t>
            </w:r>
          </w:p>
          <w:p w14:paraId="57A7DCF7" w14:textId="77777777" w:rsidR="00B1006E" w:rsidRPr="00D275F9" w:rsidRDefault="00B1006E" w:rsidP="00662D94">
            <w:pPr>
              <w:spacing w:line="276" w:lineRule="auto"/>
              <w:rPr>
                <w:rFonts w:asciiTheme="minorHAnsi" w:hAnsiTheme="minorHAnsi" w:cstheme="minorHAnsi"/>
                <w:sz w:val="20"/>
                <w:szCs w:val="20"/>
              </w:rPr>
            </w:pPr>
            <w:r w:rsidRPr="00D275F9">
              <w:rPr>
                <w:rFonts w:asciiTheme="minorHAnsi" w:hAnsiTheme="minorHAnsi" w:cstheme="minorHAnsi"/>
                <w:sz w:val="20"/>
                <w:szCs w:val="20"/>
              </w:rPr>
              <w:t xml:space="preserve">306 (2.9%); P &lt; .001), more </w:t>
            </w:r>
            <w:proofErr w:type="spellStart"/>
            <w:r w:rsidRPr="00D275F9">
              <w:rPr>
                <w:rFonts w:asciiTheme="minorHAnsi" w:hAnsiTheme="minorHAnsi" w:cstheme="minorHAnsi"/>
                <w:sz w:val="20"/>
                <w:szCs w:val="20"/>
              </w:rPr>
              <w:t>hypokalemia</w:t>
            </w:r>
            <w:proofErr w:type="spellEnd"/>
            <w:r w:rsidRPr="00D275F9">
              <w:rPr>
                <w:rFonts w:asciiTheme="minorHAnsi" w:hAnsiTheme="minorHAnsi" w:cstheme="minorHAnsi"/>
                <w:sz w:val="20"/>
                <w:szCs w:val="20"/>
              </w:rPr>
              <w:t xml:space="preserve"> (&lt; 3.5 </w:t>
            </w:r>
            <w:proofErr w:type="spellStart"/>
            <w:r w:rsidRPr="00D275F9">
              <w:rPr>
                <w:rFonts w:asciiTheme="minorHAnsi" w:hAnsiTheme="minorHAnsi" w:cstheme="minorHAnsi"/>
                <w:sz w:val="20"/>
                <w:szCs w:val="20"/>
              </w:rPr>
              <w:t>mmol</w:t>
            </w:r>
            <w:proofErr w:type="spellEnd"/>
            <w:r w:rsidRPr="00D275F9">
              <w:rPr>
                <w:rFonts w:asciiTheme="minorHAnsi" w:hAnsiTheme="minorHAnsi" w:cstheme="minorHAnsi"/>
                <w:sz w:val="20"/>
                <w:szCs w:val="20"/>
              </w:rPr>
              <w:t xml:space="preserve">/L) (57 (19%) vs 9 (2.9%); (P &lt; .001), more Hypernatremia (&gt; 148 </w:t>
            </w:r>
            <w:proofErr w:type="spellStart"/>
            <w:r w:rsidRPr="00D275F9">
              <w:rPr>
                <w:rFonts w:asciiTheme="minorHAnsi" w:hAnsiTheme="minorHAnsi" w:cstheme="minorHAnsi"/>
                <w:sz w:val="20"/>
                <w:szCs w:val="20"/>
              </w:rPr>
              <w:t>mmol</w:t>
            </w:r>
            <w:proofErr w:type="spellEnd"/>
            <w:r w:rsidRPr="00D275F9">
              <w:rPr>
                <w:rFonts w:asciiTheme="minorHAnsi" w:hAnsiTheme="minorHAnsi" w:cstheme="minorHAnsi"/>
                <w:sz w:val="20"/>
                <w:szCs w:val="20"/>
              </w:rPr>
              <w:t xml:space="preserve">/L) (4 (1.3%) vs 0) and a greater weight gain (279 g vs 195g, (95%CI of the difference, 16-154g; P = 0.02). </w:t>
            </w:r>
          </w:p>
          <w:p w14:paraId="5DD4D8A1" w14:textId="77777777" w:rsidR="00B1006E" w:rsidRPr="00D275F9" w:rsidRDefault="00B1006E" w:rsidP="00662D94">
            <w:pPr>
              <w:spacing w:line="276" w:lineRule="auto"/>
              <w:rPr>
                <w:rFonts w:asciiTheme="minorHAnsi" w:hAnsiTheme="minorHAnsi" w:cstheme="minorHAnsi"/>
                <w:sz w:val="20"/>
                <w:szCs w:val="20"/>
              </w:rPr>
            </w:pPr>
            <w:r w:rsidRPr="00D275F9">
              <w:rPr>
                <w:rFonts w:asciiTheme="minorHAnsi" w:hAnsiTheme="minorHAnsi" w:cstheme="minorHAnsi"/>
                <w:sz w:val="20"/>
                <w:szCs w:val="20"/>
              </w:rPr>
              <w:t xml:space="preserve"> None of the patients developed severe hyponatremia</w:t>
            </w:r>
          </w:p>
          <w:p w14:paraId="49877DB7"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 xml:space="preserve">(sodium &lt;132 </w:t>
            </w:r>
            <w:proofErr w:type="spellStart"/>
            <w:r w:rsidRPr="00D275F9">
              <w:rPr>
                <w:rFonts w:asciiTheme="minorHAnsi" w:hAnsiTheme="minorHAnsi" w:cstheme="minorHAnsi"/>
                <w:sz w:val="20"/>
                <w:szCs w:val="20"/>
              </w:rPr>
              <w:t>mmol</w:t>
            </w:r>
            <w:proofErr w:type="spellEnd"/>
            <w:r w:rsidRPr="00D275F9">
              <w:rPr>
                <w:rFonts w:asciiTheme="minorHAnsi" w:hAnsiTheme="minorHAnsi" w:cstheme="minorHAnsi"/>
                <w:sz w:val="20"/>
                <w:szCs w:val="20"/>
              </w:rPr>
              <w:t>/L)</w:t>
            </w:r>
          </w:p>
        </w:tc>
      </w:tr>
      <w:tr w:rsidR="00B1006E" w:rsidRPr="00D275F9" w14:paraId="2D776EDA" w14:textId="77777777" w:rsidTr="00662D94">
        <w:trPr>
          <w:trHeight w:val="1186"/>
        </w:trPr>
        <w:tc>
          <w:tcPr>
            <w:tcW w:w="1843" w:type="dxa"/>
          </w:tcPr>
          <w:p w14:paraId="7B103434" w14:textId="77777777" w:rsidR="00B1006E" w:rsidRPr="00D275F9" w:rsidRDefault="00B1006E" w:rsidP="00662D94">
            <w:pPr>
              <w:rPr>
                <w:rFonts w:asciiTheme="minorHAnsi" w:hAnsiTheme="minorHAnsi" w:cstheme="minorHAnsi"/>
                <w:sz w:val="20"/>
                <w:szCs w:val="20"/>
                <w:highlight w:val="yellow"/>
              </w:rPr>
            </w:pPr>
            <w:proofErr w:type="spellStart"/>
            <w:r w:rsidRPr="00D275F9">
              <w:rPr>
                <w:rFonts w:asciiTheme="minorHAnsi" w:hAnsiTheme="minorHAnsi" w:cstheme="minorHAnsi"/>
                <w:sz w:val="20"/>
                <w:szCs w:val="20"/>
              </w:rPr>
              <w:t>Lehtiranta</w:t>
            </w:r>
            <w:proofErr w:type="spellEnd"/>
            <w:r w:rsidRPr="00D275F9">
              <w:rPr>
                <w:rFonts w:asciiTheme="minorHAnsi" w:hAnsiTheme="minorHAnsi" w:cstheme="minorHAnsi"/>
                <w:sz w:val="20"/>
                <w:szCs w:val="20"/>
              </w:rPr>
              <w:t xml:space="preserve"> et al.</w:t>
            </w:r>
            <w:r w:rsidRPr="00D275F9">
              <w:rPr>
                <w:rFonts w:asciiTheme="minorHAnsi" w:hAnsiTheme="minorHAnsi" w:cstheme="minorHAnsi"/>
                <w:sz w:val="20"/>
                <w:szCs w:val="20"/>
              </w:rPr>
              <w:fldChar w:fldCharType="begin"/>
            </w:r>
            <w:r w:rsidRPr="00D275F9">
              <w:rPr>
                <w:rFonts w:asciiTheme="minorHAnsi" w:hAnsiTheme="minorHAnsi" w:cstheme="minorHAnsi"/>
                <w:sz w:val="20"/>
                <w:szCs w:val="20"/>
              </w:rPr>
              <w:instrText xml:space="preserve"> ADDIN ZOTERO_ITEM CSL_CITATION {"citationID":"uQbW22Vz","properties":{"formattedCitation":"[13]","plainCitation":"[13]","noteIndex":0},"citationItems":[{"id":5399,"uris":["http://zotero.org/groups/2688840/items/STMPBS9T"],"itemData":{"id":5399,"type":"article-journal","abstract":"Background  Hypotonic fluids have been associated with hospital-acquired hyponatremia. The incidence of life-threatening severe hyponatremia associated with hypotonic fluids has not been evaluated.\nMethods  This was a population-based cohort study of 46,518 acutely ill children 15 years of age or under who visited the pediatric emergency department (ED) at Oulu University Hospital, Finland, between 2007 and 2017. We retrieved all electrolyte measurements from the comprehensive electronic laboratory system and reviewed medical records for all patients with severe hyponatremia.\nResults  The overall occurrence of severe hyponatremia (serum sodium &lt; 125 mmol/L) was found in 27 out of 46,518 acutely ill children (0.06%, 95% confidence interval 0.04–0.08%). After admission, severe hyponatremia developed in seven of 6,984 children receiving moderately hypotonic fluid therapy (0.1%, 95% confidence interval 0.04–0.2%), usually within 8 h of admission. All children who developed severe hyponatremia during hospitalization were severely ill.\nConclusion  In this register-based cohort study of children presenting to the ED, severe hyponatremia developed in one of 998 acutely ill children receiving moderately hypotonic fluid therapy.","container-title":"Pediatric Nephrology","DOI":"10.1007/s00467-021-05227-0","ISSN":"0931-041X, 1432-198X","issue":"2","journalAbbreviation":"Pediatr Nephrol","language":"en","page":"443-448","source":"DOI.org (Crossref)","title":"Severe hospital-acquired hyponatremia in acutely ill children receiving moderately hypotonic fluids","volume":"37","author":[{"family":"Lehtiranta","given":"Saara"},{"family":"Honkila","given":"Minna"},{"family":"Kallio","given":"Merja"},{"family":"Halt","given":"Kimmo"},{"family":"Paalanne","given":"Niko"},{"family":"Pokka","given":"Tytti"},{"family":"Tapiainen","given":"Terhi"}],"issued":{"date-parts":[["2022",2]]}}}],"schema":"https://github.com/citation-style-language/schema/raw/master/csl-citation.json"} </w:instrText>
            </w:r>
            <w:r w:rsidRPr="00D275F9">
              <w:rPr>
                <w:rFonts w:asciiTheme="minorHAnsi" w:hAnsiTheme="minorHAnsi" w:cstheme="minorHAnsi"/>
                <w:sz w:val="20"/>
                <w:szCs w:val="20"/>
              </w:rPr>
              <w:fldChar w:fldCharType="separate"/>
            </w:r>
            <w:r w:rsidRPr="00D275F9">
              <w:rPr>
                <w:rFonts w:asciiTheme="minorHAnsi" w:hAnsiTheme="minorHAnsi" w:cstheme="minorHAnsi"/>
                <w:sz w:val="20"/>
                <w:szCs w:val="20"/>
              </w:rPr>
              <w:t>[13]</w:t>
            </w:r>
            <w:r w:rsidRPr="00D275F9">
              <w:rPr>
                <w:rFonts w:asciiTheme="minorHAnsi" w:hAnsiTheme="minorHAnsi" w:cstheme="minorHAnsi"/>
                <w:sz w:val="20"/>
                <w:szCs w:val="20"/>
              </w:rPr>
              <w:fldChar w:fldCharType="end"/>
            </w:r>
            <w:r w:rsidRPr="00D275F9">
              <w:rPr>
                <w:rFonts w:asciiTheme="minorHAnsi" w:hAnsiTheme="minorHAnsi" w:cstheme="minorHAnsi"/>
                <w:sz w:val="20"/>
                <w:szCs w:val="20"/>
              </w:rPr>
              <w:t xml:space="preserve"> 2022</w:t>
            </w:r>
          </w:p>
        </w:tc>
        <w:tc>
          <w:tcPr>
            <w:tcW w:w="2977" w:type="dxa"/>
          </w:tcPr>
          <w:p w14:paraId="37AFB623" w14:textId="77777777" w:rsidR="00B1006E" w:rsidRPr="00D275F9" w:rsidRDefault="00B1006E" w:rsidP="00662D94">
            <w:pPr>
              <w:rPr>
                <w:rFonts w:asciiTheme="minorHAnsi" w:hAnsiTheme="minorHAnsi" w:cstheme="minorHAnsi"/>
                <w:sz w:val="20"/>
                <w:szCs w:val="20"/>
                <w:u w:val="single"/>
              </w:rPr>
            </w:pPr>
            <w:r w:rsidRPr="00D275F9">
              <w:rPr>
                <w:rFonts w:asciiTheme="minorHAnsi" w:hAnsiTheme="minorHAnsi" w:cstheme="minorHAnsi"/>
                <w:sz w:val="20"/>
                <w:szCs w:val="20"/>
                <w:u w:val="single"/>
              </w:rPr>
              <w:t>PICO 2</w:t>
            </w:r>
          </w:p>
          <w:p w14:paraId="6AEB314E"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Evaluation of the incidence of severe hyponatremia associated with hypotonic fluids</w:t>
            </w:r>
          </w:p>
          <w:p w14:paraId="5BCF804F" w14:textId="77777777" w:rsidR="00B1006E" w:rsidRPr="00D275F9" w:rsidRDefault="00B1006E" w:rsidP="00662D94">
            <w:pPr>
              <w:rPr>
                <w:rFonts w:asciiTheme="minorHAnsi" w:hAnsiTheme="minorHAnsi" w:cstheme="minorHAnsi"/>
                <w:sz w:val="20"/>
                <w:szCs w:val="20"/>
              </w:rPr>
            </w:pPr>
          </w:p>
        </w:tc>
        <w:tc>
          <w:tcPr>
            <w:tcW w:w="2693" w:type="dxa"/>
          </w:tcPr>
          <w:p w14:paraId="427A4405" w14:textId="77777777" w:rsidR="00B1006E" w:rsidRPr="00D275F9" w:rsidRDefault="00B1006E" w:rsidP="00662D94">
            <w:pPr>
              <w:spacing w:line="259" w:lineRule="auto"/>
              <w:rPr>
                <w:rFonts w:asciiTheme="minorHAnsi" w:hAnsiTheme="minorHAnsi" w:cstheme="minorHAnsi"/>
                <w:sz w:val="20"/>
                <w:szCs w:val="20"/>
                <w:lang w:val="en-US"/>
              </w:rPr>
            </w:pPr>
            <w:r w:rsidRPr="00D275F9">
              <w:rPr>
                <w:rFonts w:asciiTheme="minorHAnsi" w:hAnsiTheme="minorHAnsi" w:cstheme="minorHAnsi"/>
                <w:sz w:val="20"/>
                <w:szCs w:val="20"/>
                <w:lang w:val="en-US"/>
              </w:rPr>
              <w:t>Retrospective cohort</w:t>
            </w:r>
          </w:p>
          <w:p w14:paraId="67904E2E" w14:textId="77777777" w:rsidR="00B1006E" w:rsidRPr="00D275F9" w:rsidRDefault="00B1006E" w:rsidP="00662D94">
            <w:pPr>
              <w:spacing w:line="259" w:lineRule="auto"/>
              <w:rPr>
                <w:rFonts w:asciiTheme="minorHAnsi" w:hAnsiTheme="minorHAnsi" w:cstheme="minorHAnsi"/>
                <w:sz w:val="20"/>
                <w:szCs w:val="20"/>
                <w:lang w:val="en-US"/>
              </w:rPr>
            </w:pPr>
            <w:r w:rsidRPr="00D275F9">
              <w:rPr>
                <w:rFonts w:asciiTheme="minorHAnsi" w:hAnsiTheme="minorHAnsi" w:cstheme="minorHAnsi"/>
                <w:sz w:val="20"/>
                <w:szCs w:val="20"/>
                <w:lang w:val="en-US"/>
              </w:rPr>
              <w:t xml:space="preserve">Single </w:t>
            </w:r>
            <w:proofErr w:type="spellStart"/>
            <w:r w:rsidRPr="00D275F9">
              <w:rPr>
                <w:rFonts w:asciiTheme="minorHAnsi" w:hAnsiTheme="minorHAnsi" w:cstheme="minorHAnsi"/>
                <w:sz w:val="20"/>
                <w:szCs w:val="20"/>
                <w:lang w:val="en-US"/>
              </w:rPr>
              <w:t>centre</w:t>
            </w:r>
            <w:proofErr w:type="spellEnd"/>
          </w:p>
          <w:p w14:paraId="261416CD" w14:textId="77777777" w:rsidR="00B1006E" w:rsidRPr="00D275F9" w:rsidRDefault="00B1006E" w:rsidP="00662D94">
            <w:pPr>
              <w:spacing w:line="259" w:lineRule="auto"/>
              <w:rPr>
                <w:rFonts w:asciiTheme="minorHAnsi" w:hAnsiTheme="minorHAnsi" w:cstheme="minorHAnsi"/>
                <w:sz w:val="20"/>
                <w:szCs w:val="20"/>
                <w:lang w:val="en-US"/>
              </w:rPr>
            </w:pPr>
            <w:r w:rsidRPr="00D275F9">
              <w:rPr>
                <w:rFonts w:asciiTheme="minorHAnsi" w:hAnsiTheme="minorHAnsi" w:cstheme="minorHAnsi"/>
                <w:sz w:val="20"/>
                <w:szCs w:val="20"/>
                <w:lang w:val="en-US"/>
              </w:rPr>
              <w:t>Finland</w:t>
            </w:r>
          </w:p>
          <w:p w14:paraId="6BBB7303" w14:textId="77777777" w:rsidR="00B1006E" w:rsidRPr="00D275F9" w:rsidRDefault="00B1006E" w:rsidP="00662D94">
            <w:pPr>
              <w:spacing w:line="259" w:lineRule="auto"/>
              <w:rPr>
                <w:rFonts w:asciiTheme="minorHAnsi" w:hAnsiTheme="minorHAnsi" w:cstheme="minorHAnsi"/>
                <w:sz w:val="20"/>
                <w:szCs w:val="20"/>
                <w:lang w:val="en-US"/>
              </w:rPr>
            </w:pPr>
            <w:r w:rsidRPr="00D275F9">
              <w:rPr>
                <w:rFonts w:asciiTheme="minorHAnsi" w:hAnsiTheme="minorHAnsi" w:cstheme="minorHAnsi"/>
                <w:sz w:val="20"/>
                <w:szCs w:val="20"/>
                <w:lang w:val="en-US"/>
              </w:rPr>
              <w:t>From 2007 to 2017</w:t>
            </w:r>
          </w:p>
        </w:tc>
        <w:tc>
          <w:tcPr>
            <w:tcW w:w="2552" w:type="dxa"/>
          </w:tcPr>
          <w:p w14:paraId="1138314E"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 xml:space="preserve">46,518 acutely ill children 15 years of age or under in a </w:t>
            </w:r>
            <w:proofErr w:type="spellStart"/>
            <w:r w:rsidRPr="00D275F9">
              <w:rPr>
                <w:rFonts w:asciiTheme="minorHAnsi" w:hAnsiTheme="minorHAnsi" w:cstheme="minorHAnsi"/>
                <w:sz w:val="20"/>
                <w:szCs w:val="20"/>
              </w:rPr>
              <w:t>pediatric</w:t>
            </w:r>
            <w:proofErr w:type="spellEnd"/>
            <w:r w:rsidRPr="00D275F9">
              <w:rPr>
                <w:rFonts w:asciiTheme="minorHAnsi" w:hAnsiTheme="minorHAnsi" w:cstheme="minorHAnsi"/>
                <w:sz w:val="20"/>
                <w:szCs w:val="20"/>
              </w:rPr>
              <w:t xml:space="preserve"> emergency department</w:t>
            </w:r>
          </w:p>
          <w:p w14:paraId="33C83083" w14:textId="77777777" w:rsidR="00B1006E" w:rsidRPr="00D275F9" w:rsidRDefault="00B1006E" w:rsidP="00662D94">
            <w:pPr>
              <w:rPr>
                <w:rFonts w:asciiTheme="minorHAnsi" w:hAnsiTheme="minorHAnsi" w:cstheme="minorHAnsi"/>
                <w:sz w:val="20"/>
                <w:szCs w:val="20"/>
              </w:rPr>
            </w:pPr>
          </w:p>
        </w:tc>
        <w:tc>
          <w:tcPr>
            <w:tcW w:w="5670" w:type="dxa"/>
          </w:tcPr>
          <w:p w14:paraId="21F9EDC1"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 xml:space="preserve">Severe hyponatremia (serum sodium &lt; 125 </w:t>
            </w:r>
            <w:proofErr w:type="spellStart"/>
            <w:r w:rsidRPr="00D275F9">
              <w:rPr>
                <w:rFonts w:asciiTheme="minorHAnsi" w:hAnsiTheme="minorHAnsi" w:cstheme="minorHAnsi"/>
                <w:sz w:val="20"/>
                <w:szCs w:val="20"/>
              </w:rPr>
              <w:t>mmol</w:t>
            </w:r>
            <w:proofErr w:type="spellEnd"/>
            <w:r w:rsidRPr="00D275F9">
              <w:rPr>
                <w:rFonts w:asciiTheme="minorHAnsi" w:hAnsiTheme="minorHAnsi" w:cstheme="minorHAnsi"/>
                <w:sz w:val="20"/>
                <w:szCs w:val="20"/>
              </w:rPr>
              <w:t xml:space="preserve">/L) developed in </w:t>
            </w:r>
            <w:r>
              <w:rPr>
                <w:rFonts w:asciiTheme="minorHAnsi" w:hAnsiTheme="minorHAnsi" w:cstheme="minorHAnsi"/>
                <w:sz w:val="20"/>
                <w:szCs w:val="20"/>
              </w:rPr>
              <w:t>1/</w:t>
            </w:r>
            <w:r w:rsidRPr="00D275F9">
              <w:rPr>
                <w:rFonts w:asciiTheme="minorHAnsi" w:hAnsiTheme="minorHAnsi" w:cstheme="minorHAnsi"/>
                <w:sz w:val="20"/>
                <w:szCs w:val="20"/>
              </w:rPr>
              <w:t>998 acutely ill children receiving moderately hypotonic fluid therapy.</w:t>
            </w:r>
          </w:p>
          <w:p w14:paraId="0C22C8A1" w14:textId="77777777" w:rsidR="00B1006E" w:rsidRPr="00D275F9" w:rsidRDefault="00B1006E" w:rsidP="00662D94">
            <w:pPr>
              <w:rPr>
                <w:rFonts w:asciiTheme="minorHAnsi" w:hAnsiTheme="minorHAnsi" w:cstheme="minorHAnsi"/>
                <w:sz w:val="20"/>
                <w:szCs w:val="20"/>
              </w:rPr>
            </w:pPr>
          </w:p>
        </w:tc>
      </w:tr>
      <w:tr w:rsidR="00B1006E" w:rsidRPr="00D275F9" w14:paraId="1F02A2BE" w14:textId="77777777" w:rsidTr="00662D94">
        <w:tc>
          <w:tcPr>
            <w:tcW w:w="1843" w:type="dxa"/>
          </w:tcPr>
          <w:p w14:paraId="59E47B08" w14:textId="77777777" w:rsidR="00B1006E" w:rsidRPr="00D275F9" w:rsidRDefault="00B1006E" w:rsidP="00662D94">
            <w:pPr>
              <w:rPr>
                <w:rFonts w:asciiTheme="minorHAnsi" w:hAnsiTheme="minorHAnsi" w:cstheme="minorHAnsi"/>
                <w:sz w:val="20"/>
                <w:szCs w:val="20"/>
              </w:rPr>
            </w:pPr>
            <w:proofErr w:type="spellStart"/>
            <w:r w:rsidRPr="00D275F9">
              <w:rPr>
                <w:rFonts w:asciiTheme="minorHAnsi" w:hAnsiTheme="minorHAnsi" w:cstheme="minorHAnsi"/>
                <w:sz w:val="20"/>
                <w:szCs w:val="20"/>
              </w:rPr>
              <w:t>Leow</w:t>
            </w:r>
            <w:proofErr w:type="spellEnd"/>
            <w:r w:rsidRPr="00D275F9">
              <w:rPr>
                <w:rFonts w:asciiTheme="minorHAnsi" w:hAnsiTheme="minorHAnsi" w:cstheme="minorHAnsi"/>
                <w:sz w:val="20"/>
                <w:szCs w:val="20"/>
              </w:rPr>
              <w:t xml:space="preserve"> et al. </w:t>
            </w:r>
            <w:r w:rsidRPr="00D275F9">
              <w:rPr>
                <w:rFonts w:asciiTheme="minorHAnsi" w:hAnsiTheme="minorHAnsi" w:cstheme="minorHAnsi"/>
                <w:sz w:val="20"/>
                <w:szCs w:val="20"/>
              </w:rPr>
              <w:fldChar w:fldCharType="begin"/>
            </w:r>
            <w:r w:rsidRPr="00D275F9">
              <w:rPr>
                <w:rFonts w:asciiTheme="minorHAnsi" w:hAnsiTheme="minorHAnsi" w:cstheme="minorHAnsi"/>
                <w:sz w:val="20"/>
                <w:szCs w:val="20"/>
              </w:rPr>
              <w:instrText xml:space="preserve"> ADDIN ZOTERO_ITEM CSL_CITATION {"citationID":"fm5pgQXR","properties":{"formattedCitation":"[14]","plainCitation":"[14]","noteIndex":0},"citationItems":[{"id":5398,"uris":["http://zotero.org/groups/2688840/items/XDYBRIP3"],"itemData":{"id":5398,"type":"article-journal","abstract":"Objectives: To assess the association of cumulative fluid overload (FO) up to 14 days from the diagnosis of pediatric acute respiratory syndrome (PARDS) with pediatric intensive care unit (PICU) mortality, 28‐day mechanical ventilation free days (VFD), and 28‐day intensive care unit free days (IFD). We hypothesized that fluid overload, even beyond the acute period, would be associated with increased morbidity and mortality.\nMethods: We conducted a retrospective cohort study of PARDS patients admitted to PICU from 2009 to 2015. For repeated admissions, we considered the admission with the highest oxygenation index (OI). Daily FO (%) was calculated as (intake − output)/weight at PICU admission × 100. Peak cumulative FO (CFO) was the highest CFO from the diagnosis of PARDS to Day 14 or to PICU discharge or mortality, whichever was earliest. Rate to peak CFO was the peak CFO divided by the number of days to reach that highest CFO. The association of FO with mortality, VFD and IFD were analyzed with logistic and linear regression models, with the following covariates: Pediatric Index of Mortality 2 score, PARDS severity, and the presence of acute kidney injury (AKI).\nResults: There were 165 patients included in this study, with a mortality rate of 45.5% (75/165), median age 3.2 years (interquartile range [IQR] 0.7–9.9) and OI 15.8 (IQR 9.5–27.9). Seventy‐three (44.2%) patients had severe PARDS and 64 (38.8%) had AKI. AKI (aOR [adjusted odds ratio] 3.19, 95% CI [confidence interval] 1.43–7.09, p = 0.004) and rate to peak cumulative FO (aOR 1.23, 95% CI 1.07–1.42, p = 0.004) were associated with mortality. AKI and peak cumulative FO were associated with decreased VFD and IFD.\nConclusion: The rate to peak CFO over the first 14 days of PARDS was associated with mortality and peak CFO was associated with decreased VFD and IFD.","container-title":"Pediatric Pulmonology","DOI":"10.1002/ppul.25720","ISSN":"8755-6863, 1099-0496","issue":"1","journalAbbreviation":"Pediatric Pulmonology","language":"en","page":"300-307","source":"DOI.org (Crossref)","title":"Fluid overload in children with pediatric acute respiratory distress syndrome: A retrospective cohort study","title-short":"Fluid overload in children with pediatric acute respiratory distress syndrome","volume":"57","author":[{"family":"Leow","given":"Esther H."},{"family":"Wong","given":"Judith J.‐M."},{"family":"Mok","given":"Yee H."},{"family":"Hornik","given":"Christoph P."},{"family":"Ng","given":"Yong H."},{"family":"Lee","given":"Jan H."}],"issued":{"date-parts":[["2022",1]]}}}],"schema":"https://github.com/citation-style-language/schema/raw/master/csl-citation.json"} </w:instrText>
            </w:r>
            <w:r w:rsidRPr="00D275F9">
              <w:rPr>
                <w:rFonts w:asciiTheme="minorHAnsi" w:hAnsiTheme="minorHAnsi" w:cstheme="minorHAnsi"/>
                <w:sz w:val="20"/>
                <w:szCs w:val="20"/>
              </w:rPr>
              <w:fldChar w:fldCharType="separate"/>
            </w:r>
            <w:r w:rsidRPr="00D275F9">
              <w:rPr>
                <w:rFonts w:asciiTheme="minorHAnsi" w:hAnsiTheme="minorHAnsi" w:cstheme="minorHAnsi"/>
                <w:sz w:val="20"/>
                <w:szCs w:val="20"/>
              </w:rPr>
              <w:t>[14]</w:t>
            </w:r>
            <w:r w:rsidRPr="00D275F9">
              <w:rPr>
                <w:rFonts w:asciiTheme="minorHAnsi" w:hAnsiTheme="minorHAnsi" w:cstheme="minorHAnsi"/>
                <w:sz w:val="20"/>
                <w:szCs w:val="20"/>
              </w:rPr>
              <w:fldChar w:fldCharType="end"/>
            </w:r>
          </w:p>
          <w:p w14:paraId="2D50D9F1" w14:textId="77777777" w:rsidR="00B1006E" w:rsidRPr="00D275F9" w:rsidRDefault="00B1006E" w:rsidP="00662D94">
            <w:pPr>
              <w:rPr>
                <w:rFonts w:asciiTheme="minorHAnsi" w:hAnsiTheme="minorHAnsi" w:cstheme="minorHAnsi"/>
                <w:sz w:val="20"/>
                <w:szCs w:val="20"/>
                <w:highlight w:val="yellow"/>
              </w:rPr>
            </w:pPr>
            <w:r w:rsidRPr="00D275F9">
              <w:rPr>
                <w:rFonts w:asciiTheme="minorHAnsi" w:hAnsiTheme="minorHAnsi" w:cstheme="minorHAnsi"/>
                <w:sz w:val="20"/>
                <w:szCs w:val="20"/>
              </w:rPr>
              <w:t>2022</w:t>
            </w:r>
          </w:p>
        </w:tc>
        <w:tc>
          <w:tcPr>
            <w:tcW w:w="2977" w:type="dxa"/>
          </w:tcPr>
          <w:p w14:paraId="11C5CBF2" w14:textId="77777777" w:rsidR="00B1006E" w:rsidRPr="00D275F9" w:rsidRDefault="00B1006E" w:rsidP="00662D94">
            <w:pPr>
              <w:rPr>
                <w:rFonts w:asciiTheme="minorHAnsi" w:hAnsiTheme="minorHAnsi" w:cstheme="minorHAnsi"/>
                <w:sz w:val="20"/>
                <w:szCs w:val="20"/>
                <w:u w:val="single"/>
              </w:rPr>
            </w:pPr>
            <w:r w:rsidRPr="00D275F9">
              <w:rPr>
                <w:rFonts w:asciiTheme="minorHAnsi" w:hAnsiTheme="minorHAnsi" w:cstheme="minorHAnsi"/>
                <w:sz w:val="20"/>
                <w:szCs w:val="20"/>
                <w:u w:val="single"/>
              </w:rPr>
              <w:t>PICO 5</w:t>
            </w:r>
          </w:p>
          <w:p w14:paraId="6C2DAAC6"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 xml:space="preserve">Evaluation of the impact of Fluid overload on morbidity/mortality in </w:t>
            </w:r>
            <w:proofErr w:type="spellStart"/>
            <w:r w:rsidRPr="00D275F9">
              <w:rPr>
                <w:rFonts w:asciiTheme="minorHAnsi" w:hAnsiTheme="minorHAnsi" w:cstheme="minorHAnsi"/>
                <w:sz w:val="20"/>
                <w:szCs w:val="20"/>
              </w:rPr>
              <w:t>pediatric</w:t>
            </w:r>
            <w:proofErr w:type="spellEnd"/>
            <w:r w:rsidRPr="00D275F9">
              <w:rPr>
                <w:rFonts w:asciiTheme="minorHAnsi" w:hAnsiTheme="minorHAnsi" w:cstheme="minorHAnsi"/>
                <w:sz w:val="20"/>
                <w:szCs w:val="20"/>
              </w:rPr>
              <w:t xml:space="preserve"> patients with PARDS in the PICU</w:t>
            </w:r>
          </w:p>
        </w:tc>
        <w:tc>
          <w:tcPr>
            <w:tcW w:w="2693" w:type="dxa"/>
          </w:tcPr>
          <w:p w14:paraId="2EFD600C"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 xml:space="preserve">retrospective cohort </w:t>
            </w:r>
          </w:p>
          <w:p w14:paraId="495A7869"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Single centre</w:t>
            </w:r>
          </w:p>
          <w:p w14:paraId="2ECA3BFF"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Singapore</w:t>
            </w:r>
          </w:p>
          <w:p w14:paraId="1F6C7609"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From 2009 to 2015</w:t>
            </w:r>
          </w:p>
        </w:tc>
        <w:tc>
          <w:tcPr>
            <w:tcW w:w="2552" w:type="dxa"/>
          </w:tcPr>
          <w:p w14:paraId="1EF90D4A"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 xml:space="preserve">165 patients </w:t>
            </w:r>
          </w:p>
        </w:tc>
        <w:tc>
          <w:tcPr>
            <w:tcW w:w="5670" w:type="dxa"/>
          </w:tcPr>
          <w:p w14:paraId="537F9770" w14:textId="77777777" w:rsidR="00B1006E" w:rsidRPr="00D275F9" w:rsidRDefault="00B1006E" w:rsidP="00662D94">
            <w:pPr>
              <w:jc w:val="both"/>
              <w:rPr>
                <w:rFonts w:asciiTheme="minorHAnsi" w:hAnsiTheme="minorHAnsi" w:cstheme="minorHAnsi"/>
                <w:sz w:val="20"/>
                <w:szCs w:val="20"/>
              </w:rPr>
            </w:pPr>
            <w:r w:rsidRPr="00D275F9">
              <w:rPr>
                <w:rFonts w:asciiTheme="minorHAnsi" w:hAnsiTheme="minorHAnsi" w:cstheme="minorHAnsi"/>
                <w:sz w:val="20"/>
                <w:szCs w:val="20"/>
              </w:rPr>
              <w:t xml:space="preserve">In patients with </w:t>
            </w:r>
            <w:proofErr w:type="spellStart"/>
            <w:r>
              <w:rPr>
                <w:rFonts w:asciiTheme="minorHAnsi" w:hAnsiTheme="minorHAnsi" w:cstheme="minorHAnsi"/>
                <w:sz w:val="20"/>
                <w:szCs w:val="20"/>
              </w:rPr>
              <w:t>pediatrics</w:t>
            </w:r>
            <w:proofErr w:type="spellEnd"/>
            <w:r>
              <w:rPr>
                <w:rFonts w:asciiTheme="minorHAnsi" w:hAnsiTheme="minorHAnsi" w:cstheme="minorHAnsi"/>
                <w:sz w:val="20"/>
                <w:szCs w:val="20"/>
              </w:rPr>
              <w:t xml:space="preserve"> acute respiratory distress syndrome</w:t>
            </w:r>
            <w:r w:rsidRPr="00D275F9">
              <w:rPr>
                <w:rFonts w:asciiTheme="minorHAnsi" w:hAnsiTheme="minorHAnsi" w:cstheme="minorHAnsi"/>
                <w:sz w:val="20"/>
                <w:szCs w:val="20"/>
              </w:rPr>
              <w:t>, cumulative fluid overload was associated with higher mortality and with decreased 28‐day mechanical ventilation free days (VFD) and 28‐day intensive care unit free days.</w:t>
            </w:r>
          </w:p>
          <w:p w14:paraId="60E18F6F" w14:textId="77777777" w:rsidR="00B1006E" w:rsidRPr="00D275F9" w:rsidRDefault="00B1006E" w:rsidP="00662D94">
            <w:pPr>
              <w:rPr>
                <w:rFonts w:asciiTheme="minorHAnsi" w:hAnsiTheme="minorHAnsi" w:cstheme="minorHAnsi"/>
                <w:sz w:val="20"/>
                <w:szCs w:val="20"/>
              </w:rPr>
            </w:pPr>
          </w:p>
          <w:p w14:paraId="484876CE" w14:textId="77777777" w:rsidR="00B1006E" w:rsidRPr="00D275F9" w:rsidRDefault="00B1006E" w:rsidP="00662D94">
            <w:pPr>
              <w:rPr>
                <w:rFonts w:asciiTheme="minorHAnsi" w:hAnsiTheme="minorHAnsi" w:cstheme="minorHAnsi"/>
                <w:sz w:val="20"/>
                <w:szCs w:val="20"/>
              </w:rPr>
            </w:pPr>
          </w:p>
        </w:tc>
      </w:tr>
      <w:tr w:rsidR="00B1006E" w:rsidRPr="00D275F9" w14:paraId="41B261A0" w14:textId="77777777" w:rsidTr="00662D94">
        <w:tc>
          <w:tcPr>
            <w:tcW w:w="1843" w:type="dxa"/>
          </w:tcPr>
          <w:p w14:paraId="432A07B3"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 xml:space="preserve">Lima et al. </w:t>
            </w:r>
            <w:r w:rsidRPr="00D275F9">
              <w:rPr>
                <w:rFonts w:asciiTheme="minorHAnsi" w:hAnsiTheme="minorHAnsi" w:cstheme="minorHAnsi"/>
                <w:sz w:val="20"/>
                <w:szCs w:val="20"/>
              </w:rPr>
              <w:fldChar w:fldCharType="begin"/>
            </w:r>
            <w:r w:rsidRPr="00D275F9">
              <w:rPr>
                <w:rFonts w:asciiTheme="minorHAnsi" w:hAnsiTheme="minorHAnsi" w:cstheme="minorHAnsi"/>
                <w:sz w:val="20"/>
                <w:szCs w:val="20"/>
              </w:rPr>
              <w:instrText xml:space="preserve"> ADDIN ZOTERO_ITEM CSL_CITATION {"citationID":"MvP3YHXf","properties":{"formattedCitation":"[15]","plainCitation":"[15]","noteIndex":0},"citationItems":[{"id":5396,"uris":["http://zotero.org/groups/2688840/items/BDRR73U2"],"itemData":{"id":5396,"type":"article-journal","abstract":"OBJECTIVES: To determine if the timing of excess fluid accumulation (fluid overload) is associated with adverse patient outcomes. DESIGN: Secondary analysis of a prospectively collected dataset. SETTING: PICU of a tertiary care hospital. PATIENTS: Children 3 months to 25 years old admitted to the PICU with expected length of stay greater than or equal to 48 hours. INTERVENTIONS: Patients were dichotomized by time of peak overload: peak fluid overload from ICU admission (Day0) to 48 hours (Day3–7) and peak fluid overload value after 48 hours of ICU admission, as well as time of first-time negative daily fluid balance: net fluid out greater than net fluid in for that 24-hour period.\nMEASUREMENTS AND MAIN RESULTS: There were 177 patients who met inclusion criteria, 92 (52%) male, with an overall mortality rate of 7% (n = 12). There were no differences in severity of illness scores or fluid overload on Day0 between peak fluid overload from ICU admission (Day0) to 48 hours (Day3–7) (n = 97; 55%) and peak fluid overload value after 48 hours of ICU admission (n = 80; 45%) groups. Peak fluid overload value after 48 hours of ICU admission was associated with a longer median ICU course (8 [4–15] vs 4 d [3–8 d]; p ≤ 0.001], hospital length of stay (18 [10–38) vs 12 [8–24]; p = 0.01], and increased risk of mortality (n = 10 [13%] vs 2 [2%]; χ2 = 7.6; p = 0.006]. ICU length of stay was also longer in the peak fluid overload value after 48 hours of ICU admission group when only patients with at least 7 days of ICU stay were analyzed (p = 0.02). Timing of negative fluid balance was also correlated with outcome. Compared with Day0–2, a negative daily fluid balance on Day3–7 was associated with increased length of mechanical ventilation (3 [1–7] vs 1 d [2–10 d]; p ≤ 0.001) and increased hospital (17 [10–35] vs 11 d [7–26 d]; p = 0.006) and ICU (7 [4–13] vs 4 d [3–7 d]; p ≤ 0.001) length of stay compared with a negative fluid balance between Day0–2.\nCONCLUSIONS: Our results show timing of fluid accumulation not just peak percentage accumulated is associated with patient outcome. Further exploration of the association between time and fluid accumulation is warranted.","container-title":"Pediatric Critical Care Medicine","DOI":"10.1097/PCC.0000000000002547","ISSN":"1529-7535","issue":"1","language":"en","page":"114-124","source":"DOI.org (Crossref)","title":"Timing of Fluid Overload and Association With Patient Outcome","volume":"22","author":[{"family":"Lima","given":"Lisa"},{"family":"Menon","given":"Shina"},{"family":"Goldstein","given":"Stuart L."},{"family":"Basu","given":"Rajit K."}],"issued":{"date-parts":[["2021",1]]}}}],"schema":"https://github.com/citation-style-language/schema/raw/master/csl-citation.json"} </w:instrText>
            </w:r>
            <w:r w:rsidRPr="00D275F9">
              <w:rPr>
                <w:rFonts w:asciiTheme="minorHAnsi" w:hAnsiTheme="minorHAnsi" w:cstheme="minorHAnsi"/>
                <w:sz w:val="20"/>
                <w:szCs w:val="20"/>
              </w:rPr>
              <w:fldChar w:fldCharType="separate"/>
            </w:r>
            <w:r w:rsidRPr="00D275F9">
              <w:rPr>
                <w:rFonts w:asciiTheme="minorHAnsi" w:hAnsiTheme="minorHAnsi" w:cstheme="minorHAnsi"/>
                <w:sz w:val="20"/>
                <w:szCs w:val="20"/>
              </w:rPr>
              <w:t>[15]</w:t>
            </w:r>
            <w:r w:rsidRPr="00D275F9">
              <w:rPr>
                <w:rFonts w:asciiTheme="minorHAnsi" w:hAnsiTheme="minorHAnsi" w:cstheme="minorHAnsi"/>
                <w:sz w:val="20"/>
                <w:szCs w:val="20"/>
              </w:rPr>
              <w:fldChar w:fldCharType="end"/>
            </w:r>
          </w:p>
          <w:p w14:paraId="3E762C1A" w14:textId="77777777" w:rsidR="00B1006E" w:rsidRPr="00D275F9" w:rsidRDefault="00B1006E" w:rsidP="00662D94">
            <w:pPr>
              <w:rPr>
                <w:rFonts w:asciiTheme="minorHAnsi" w:hAnsiTheme="minorHAnsi" w:cstheme="minorHAnsi"/>
                <w:sz w:val="20"/>
                <w:szCs w:val="20"/>
                <w:highlight w:val="yellow"/>
              </w:rPr>
            </w:pPr>
            <w:r w:rsidRPr="00D275F9">
              <w:rPr>
                <w:rFonts w:asciiTheme="minorHAnsi" w:hAnsiTheme="minorHAnsi" w:cstheme="minorHAnsi"/>
                <w:sz w:val="20"/>
                <w:szCs w:val="20"/>
              </w:rPr>
              <w:t>2021</w:t>
            </w:r>
          </w:p>
        </w:tc>
        <w:tc>
          <w:tcPr>
            <w:tcW w:w="2977" w:type="dxa"/>
          </w:tcPr>
          <w:p w14:paraId="5686C5A0" w14:textId="77777777" w:rsidR="00B1006E" w:rsidRPr="00D275F9" w:rsidRDefault="00B1006E" w:rsidP="00662D94">
            <w:pPr>
              <w:rPr>
                <w:rFonts w:asciiTheme="minorHAnsi" w:hAnsiTheme="minorHAnsi" w:cstheme="minorHAnsi"/>
                <w:sz w:val="20"/>
                <w:szCs w:val="20"/>
                <w:u w:val="single"/>
              </w:rPr>
            </w:pPr>
            <w:r w:rsidRPr="00D275F9">
              <w:rPr>
                <w:rFonts w:asciiTheme="minorHAnsi" w:hAnsiTheme="minorHAnsi" w:cstheme="minorHAnsi"/>
                <w:sz w:val="20"/>
                <w:szCs w:val="20"/>
                <w:u w:val="single"/>
              </w:rPr>
              <w:t>PICO 5</w:t>
            </w:r>
          </w:p>
          <w:p w14:paraId="0B585F59"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Evaluation of the association between fluid overload and adverse patient outcomes</w:t>
            </w:r>
          </w:p>
        </w:tc>
        <w:tc>
          <w:tcPr>
            <w:tcW w:w="2693" w:type="dxa"/>
          </w:tcPr>
          <w:p w14:paraId="584E931A"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prospective observational study</w:t>
            </w:r>
          </w:p>
          <w:p w14:paraId="596E2802"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Single centre</w:t>
            </w:r>
          </w:p>
          <w:p w14:paraId="7201AD37"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USA</w:t>
            </w:r>
          </w:p>
          <w:p w14:paraId="455F04AD" w14:textId="77777777" w:rsidR="00B1006E" w:rsidRPr="00D275F9" w:rsidRDefault="00B1006E" w:rsidP="00662D94">
            <w:pPr>
              <w:rPr>
                <w:rFonts w:asciiTheme="minorHAnsi" w:hAnsiTheme="minorHAnsi" w:cstheme="minorHAnsi"/>
                <w:sz w:val="20"/>
                <w:szCs w:val="20"/>
              </w:rPr>
            </w:pPr>
            <w:proofErr w:type="gramStart"/>
            <w:r w:rsidRPr="00D275F9">
              <w:rPr>
                <w:rFonts w:asciiTheme="minorHAnsi" w:hAnsiTheme="minorHAnsi" w:cstheme="minorHAnsi"/>
                <w:sz w:val="20"/>
                <w:szCs w:val="20"/>
              </w:rPr>
              <w:t>from</w:t>
            </w:r>
            <w:proofErr w:type="gramEnd"/>
            <w:r w:rsidRPr="00D275F9">
              <w:rPr>
                <w:rFonts w:asciiTheme="minorHAnsi" w:hAnsiTheme="minorHAnsi" w:cstheme="minorHAnsi"/>
                <w:sz w:val="20"/>
                <w:szCs w:val="20"/>
              </w:rPr>
              <w:t xml:space="preserve"> September</w:t>
            </w:r>
            <w:r>
              <w:rPr>
                <w:rFonts w:asciiTheme="minorHAnsi" w:hAnsiTheme="minorHAnsi" w:cstheme="minorHAnsi"/>
                <w:sz w:val="20"/>
                <w:szCs w:val="20"/>
              </w:rPr>
              <w:t xml:space="preserve"> </w:t>
            </w:r>
            <w:r w:rsidRPr="00D275F9">
              <w:rPr>
                <w:rFonts w:asciiTheme="minorHAnsi" w:hAnsiTheme="minorHAnsi" w:cstheme="minorHAnsi"/>
                <w:sz w:val="20"/>
                <w:szCs w:val="20"/>
              </w:rPr>
              <w:t>2012 to March 2014.</w:t>
            </w:r>
          </w:p>
        </w:tc>
        <w:tc>
          <w:tcPr>
            <w:tcW w:w="2552" w:type="dxa"/>
          </w:tcPr>
          <w:p w14:paraId="694337B0"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177 patients from 3 months to 25 years old admitted to the</w:t>
            </w:r>
            <w:r>
              <w:rPr>
                <w:rFonts w:asciiTheme="minorHAnsi" w:hAnsiTheme="minorHAnsi" w:cstheme="minorHAnsi"/>
                <w:sz w:val="20"/>
                <w:szCs w:val="20"/>
              </w:rPr>
              <w:t xml:space="preserve"> </w:t>
            </w:r>
            <w:r w:rsidRPr="00D275F9">
              <w:rPr>
                <w:rFonts w:asciiTheme="minorHAnsi" w:hAnsiTheme="minorHAnsi" w:cstheme="minorHAnsi"/>
                <w:sz w:val="20"/>
                <w:szCs w:val="20"/>
              </w:rPr>
              <w:t>PICU with expected LOS of at least 48 hours</w:t>
            </w:r>
          </w:p>
        </w:tc>
        <w:tc>
          <w:tcPr>
            <w:tcW w:w="5670" w:type="dxa"/>
          </w:tcPr>
          <w:p w14:paraId="52BC48C8"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Fluid overload greater than 20% was associated with higher mortality (</w:t>
            </w:r>
            <w:proofErr w:type="gramStart"/>
            <w:r w:rsidRPr="00D275F9">
              <w:rPr>
                <w:rFonts w:asciiTheme="minorHAnsi" w:hAnsiTheme="minorHAnsi" w:cstheme="minorHAnsi"/>
                <w:sz w:val="20"/>
                <w:szCs w:val="20"/>
              </w:rPr>
              <w:t>OR:</w:t>
            </w:r>
            <w:proofErr w:type="gramEnd"/>
            <w:r w:rsidRPr="00D275F9">
              <w:rPr>
                <w:rFonts w:asciiTheme="minorHAnsi" w:hAnsiTheme="minorHAnsi" w:cstheme="minorHAnsi"/>
                <w:sz w:val="20"/>
                <w:szCs w:val="20"/>
              </w:rPr>
              <w:t xml:space="preserve"> 4.1 (95% CI 1.24–13.6; p = 0.02)).</w:t>
            </w:r>
          </w:p>
          <w:p w14:paraId="1C410570"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 xml:space="preserve">Timing of fluid accumulation is associated with increased duration of mechanical ventilation days (p = 0.01), longer ICU,(p &lt; 0.001), and hospital LOS (p = 0.01) </w:t>
            </w:r>
          </w:p>
          <w:p w14:paraId="057A58EE"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Mortality was higher in those with a fluid overload after 2 days of PICU stay.</w:t>
            </w:r>
            <w:proofErr w:type="gramStart"/>
            <w:r w:rsidRPr="00D275F9">
              <w:rPr>
                <w:rFonts w:asciiTheme="minorHAnsi" w:hAnsiTheme="minorHAnsi" w:cstheme="minorHAnsi"/>
                <w:sz w:val="20"/>
                <w:szCs w:val="20"/>
              </w:rPr>
              <w:t>,(</w:t>
            </w:r>
            <w:proofErr w:type="gramEnd"/>
            <w:r w:rsidRPr="00D275F9">
              <w:rPr>
                <w:rFonts w:asciiTheme="minorHAnsi" w:hAnsiTheme="minorHAnsi" w:cstheme="minorHAnsi"/>
                <w:sz w:val="20"/>
                <w:szCs w:val="20"/>
              </w:rPr>
              <w:t>χ2 = 7.6; p = 0.006).</w:t>
            </w:r>
          </w:p>
        </w:tc>
      </w:tr>
      <w:tr w:rsidR="00B1006E" w:rsidRPr="00D275F9" w14:paraId="0BC9364A" w14:textId="77777777" w:rsidTr="00662D94">
        <w:tc>
          <w:tcPr>
            <w:tcW w:w="1843" w:type="dxa"/>
          </w:tcPr>
          <w:p w14:paraId="735815AF"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 xml:space="preserve">Maurice et al. </w:t>
            </w:r>
            <w:r w:rsidRPr="00D275F9">
              <w:rPr>
                <w:rFonts w:asciiTheme="minorHAnsi" w:hAnsiTheme="minorHAnsi" w:cstheme="minorHAnsi"/>
                <w:sz w:val="20"/>
                <w:szCs w:val="20"/>
              </w:rPr>
              <w:fldChar w:fldCharType="begin"/>
            </w:r>
            <w:r w:rsidRPr="00D275F9">
              <w:rPr>
                <w:rFonts w:asciiTheme="minorHAnsi" w:hAnsiTheme="minorHAnsi" w:cstheme="minorHAnsi"/>
                <w:sz w:val="20"/>
                <w:szCs w:val="20"/>
              </w:rPr>
              <w:instrText xml:space="preserve"> ADDIN ZOTERO_ITEM CSL_CITATION {"citationID":"Hzb9N6Je","properties":{"formattedCitation":"[16]","plainCitation":"[16]","noteIndex":0},"citationItems":[{"id":5464,"uris":["http://zotero.org/groups/2688840/items/A4YKKI8C"],"itemData":{"id":5464,"type":"article-journal","abstract":"The best protocol for severe inaugural diabetic ketoacidosis (DKA) in children remains unclear. We compared two protocols by assessing effects during the first 24 h on osmolality, serum sodium, and glucose variations, which are associated with the risk of cerebral oedema, the most dreaded complication of DKA. We also recorded complications. We retrospectively included children aged 28 days to 18 years and admitted for severe DKA to either of two paediatric intensive care units (PICUs) in Paris (France). The two protocols differed regarding hydration volume, glucose intake, and sodium intake. From 17 June 2010 to 17 June 2015, 93 patients were included, 29 at one PICU, and 64 at the other. We compared severe glycaemic drops (&gt; 5.5 mmol/L/h), mean glycaemia variations, serum sodium, serum osmolality, and the occurrence of cerebral oedema (CE) during the first 24 h after PICU admission. Severe glycaemic drops occurred in 70% of patients, with no between-group difference. Blood glucose, serum sodium, and serum osmolality variations were comparable. Seven (7.5%) patients were treated for suspected CE, (4 [10.3%)] and 3 [6.3%]) in each PICU; none had major residual impairments.","container-title":"European Journal of Pediatrics","DOI":"10.1007/s00431-021-04332-4","ISSN":"1432-1076","issue":"4","journalAbbreviation":"Eur J Pediatr","language":"en","page":"1497-1506","source":"DOI.org (Crossref)","title":"Management of severe inaugural diabetic ketoacidosis in paediatric intensive care: retrospective comparison of two protocols","title-short":"Management of severe inaugural diabetic ketoacidosis in paediatric intensive care","volume":"181","author":[{"family":"Maurice","given":"Laure"},{"family":"Julliand","given":"Sébastien"},{"family":"Polak","given":"Michel"},{"family":"Bismuth","given":"Elise"},{"family":"Storey","given":"Caroline"},{"family":"Renolleau","given":"Sylvain"},{"family":"Dauger","given":"Stéphane"},{"family":"Le Bourgeois","given":"Fleur"}],"issued":{"date-parts":[["2022",4]]}}}],"schema":"https://github.com/citation-style-language/schema/raw/master/csl-citation.json"} </w:instrText>
            </w:r>
            <w:r w:rsidRPr="00D275F9">
              <w:rPr>
                <w:rFonts w:asciiTheme="minorHAnsi" w:hAnsiTheme="minorHAnsi" w:cstheme="minorHAnsi"/>
                <w:sz w:val="20"/>
                <w:szCs w:val="20"/>
              </w:rPr>
              <w:fldChar w:fldCharType="separate"/>
            </w:r>
            <w:r w:rsidRPr="00D275F9">
              <w:rPr>
                <w:rFonts w:asciiTheme="minorHAnsi" w:hAnsiTheme="minorHAnsi" w:cstheme="minorHAnsi"/>
                <w:sz w:val="20"/>
                <w:szCs w:val="20"/>
              </w:rPr>
              <w:t>[16]</w:t>
            </w:r>
            <w:r w:rsidRPr="00D275F9">
              <w:rPr>
                <w:rFonts w:asciiTheme="minorHAnsi" w:hAnsiTheme="minorHAnsi" w:cstheme="minorHAnsi"/>
                <w:sz w:val="20"/>
                <w:szCs w:val="20"/>
              </w:rPr>
              <w:fldChar w:fldCharType="end"/>
            </w:r>
          </w:p>
          <w:p w14:paraId="1544BD42" w14:textId="77777777" w:rsidR="00B1006E" w:rsidRPr="00D275F9" w:rsidRDefault="00B1006E" w:rsidP="00662D94">
            <w:pPr>
              <w:rPr>
                <w:rFonts w:asciiTheme="minorHAnsi" w:hAnsiTheme="minorHAnsi" w:cstheme="minorHAnsi"/>
                <w:sz w:val="20"/>
                <w:szCs w:val="20"/>
                <w:highlight w:val="yellow"/>
              </w:rPr>
            </w:pPr>
            <w:r w:rsidRPr="00D275F9">
              <w:rPr>
                <w:rFonts w:asciiTheme="minorHAnsi" w:hAnsiTheme="minorHAnsi" w:cstheme="minorHAnsi"/>
                <w:sz w:val="20"/>
                <w:szCs w:val="20"/>
              </w:rPr>
              <w:t>2022</w:t>
            </w:r>
          </w:p>
        </w:tc>
        <w:tc>
          <w:tcPr>
            <w:tcW w:w="2977" w:type="dxa"/>
          </w:tcPr>
          <w:p w14:paraId="091D48FF"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u w:val="single"/>
              </w:rPr>
              <w:t>PICO 2, PICO 4</w:t>
            </w:r>
          </w:p>
          <w:p w14:paraId="43862512"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 xml:space="preserve">Comparison of two </w:t>
            </w:r>
            <w:proofErr w:type="spellStart"/>
            <w:r w:rsidRPr="00D275F9">
              <w:rPr>
                <w:rFonts w:asciiTheme="minorHAnsi" w:hAnsiTheme="minorHAnsi" w:cstheme="minorHAnsi"/>
                <w:sz w:val="20"/>
                <w:szCs w:val="20"/>
              </w:rPr>
              <w:t>pediatric</w:t>
            </w:r>
            <w:proofErr w:type="spellEnd"/>
            <w:r w:rsidRPr="00D275F9">
              <w:rPr>
                <w:rFonts w:asciiTheme="minorHAnsi" w:hAnsiTheme="minorHAnsi" w:cstheme="minorHAnsi"/>
                <w:sz w:val="20"/>
                <w:szCs w:val="20"/>
              </w:rPr>
              <w:t xml:space="preserve"> DKA-management protocols, </w:t>
            </w:r>
            <w:r w:rsidRPr="00D275F9">
              <w:rPr>
                <w:rFonts w:asciiTheme="minorHAnsi" w:hAnsiTheme="minorHAnsi" w:cstheme="minorHAnsi"/>
                <w:sz w:val="20"/>
                <w:szCs w:val="20"/>
              </w:rPr>
              <w:lastRenderedPageBreak/>
              <w:t>differing in terms of fluid-volume, glucose, and sodium intake.</w:t>
            </w:r>
          </w:p>
          <w:p w14:paraId="0C48F37E" w14:textId="77777777" w:rsidR="00B1006E" w:rsidRPr="00D275F9" w:rsidRDefault="00B1006E" w:rsidP="00662D94">
            <w:pPr>
              <w:rPr>
                <w:rFonts w:asciiTheme="minorHAnsi" w:hAnsiTheme="minorHAnsi" w:cstheme="minorHAnsi"/>
                <w:sz w:val="20"/>
                <w:szCs w:val="20"/>
              </w:rPr>
            </w:pPr>
          </w:p>
        </w:tc>
        <w:tc>
          <w:tcPr>
            <w:tcW w:w="2693" w:type="dxa"/>
          </w:tcPr>
          <w:p w14:paraId="65B1D4FB"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lastRenderedPageBreak/>
              <w:t>retrospective comparison of two cohorts</w:t>
            </w:r>
          </w:p>
          <w:p w14:paraId="72448177"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Multicentre</w:t>
            </w:r>
          </w:p>
          <w:p w14:paraId="49279BBB"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France</w:t>
            </w:r>
          </w:p>
          <w:p w14:paraId="0F8E252F"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lastRenderedPageBreak/>
              <w:t>From</w:t>
            </w:r>
            <w:r>
              <w:rPr>
                <w:rFonts w:asciiTheme="minorHAnsi" w:hAnsiTheme="minorHAnsi" w:cstheme="minorHAnsi"/>
                <w:sz w:val="20"/>
                <w:szCs w:val="20"/>
              </w:rPr>
              <w:t xml:space="preserve"> June </w:t>
            </w:r>
            <w:r w:rsidRPr="00D275F9">
              <w:rPr>
                <w:rFonts w:asciiTheme="minorHAnsi" w:hAnsiTheme="minorHAnsi" w:cstheme="minorHAnsi"/>
                <w:sz w:val="20"/>
                <w:szCs w:val="20"/>
              </w:rPr>
              <w:t>2010 to</w:t>
            </w:r>
            <w:r>
              <w:rPr>
                <w:rFonts w:asciiTheme="minorHAnsi" w:hAnsiTheme="minorHAnsi" w:cstheme="minorHAnsi"/>
                <w:sz w:val="20"/>
                <w:szCs w:val="20"/>
              </w:rPr>
              <w:t xml:space="preserve"> June </w:t>
            </w:r>
            <w:r w:rsidRPr="00D275F9">
              <w:rPr>
                <w:rFonts w:asciiTheme="minorHAnsi" w:hAnsiTheme="minorHAnsi" w:cstheme="minorHAnsi"/>
                <w:sz w:val="20"/>
                <w:szCs w:val="20"/>
              </w:rPr>
              <w:t>2015</w:t>
            </w:r>
          </w:p>
        </w:tc>
        <w:tc>
          <w:tcPr>
            <w:tcW w:w="2552" w:type="dxa"/>
          </w:tcPr>
          <w:p w14:paraId="5B354427"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lastRenderedPageBreak/>
              <w:t>93 children aged 28 days to 18 years admitted to PICU with severe DKA.</w:t>
            </w:r>
          </w:p>
          <w:p w14:paraId="25848255" w14:textId="77777777" w:rsidR="00B1006E" w:rsidRPr="00D275F9" w:rsidRDefault="00B1006E" w:rsidP="00662D94">
            <w:pPr>
              <w:rPr>
                <w:rFonts w:asciiTheme="minorHAnsi" w:hAnsiTheme="minorHAnsi" w:cstheme="minorHAnsi"/>
                <w:sz w:val="20"/>
                <w:szCs w:val="20"/>
              </w:rPr>
            </w:pPr>
          </w:p>
        </w:tc>
        <w:tc>
          <w:tcPr>
            <w:tcW w:w="5670" w:type="dxa"/>
          </w:tcPr>
          <w:p w14:paraId="6788BB83"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The two cohorts had comparable effects on clinical and laboratory-tests</w:t>
            </w:r>
          </w:p>
          <w:p w14:paraId="038E791E" w14:textId="77777777" w:rsidR="00B1006E" w:rsidRPr="00D275F9" w:rsidRDefault="00B1006E" w:rsidP="00662D94">
            <w:pPr>
              <w:rPr>
                <w:rFonts w:asciiTheme="minorHAnsi" w:hAnsiTheme="minorHAnsi" w:cstheme="minorHAnsi"/>
                <w:sz w:val="20"/>
                <w:szCs w:val="20"/>
              </w:rPr>
            </w:pPr>
          </w:p>
        </w:tc>
      </w:tr>
      <w:tr w:rsidR="00B1006E" w:rsidRPr="00D275F9" w14:paraId="0EC9825F" w14:textId="77777777" w:rsidTr="00662D94">
        <w:tc>
          <w:tcPr>
            <w:tcW w:w="1843" w:type="dxa"/>
          </w:tcPr>
          <w:p w14:paraId="413465D0"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 xml:space="preserve">Moretti et al. </w:t>
            </w:r>
            <w:r w:rsidRPr="00D275F9">
              <w:rPr>
                <w:rFonts w:asciiTheme="minorHAnsi" w:hAnsiTheme="minorHAnsi" w:cstheme="minorHAnsi"/>
                <w:sz w:val="20"/>
                <w:szCs w:val="20"/>
              </w:rPr>
              <w:fldChar w:fldCharType="begin"/>
            </w:r>
            <w:r w:rsidRPr="00D275F9">
              <w:rPr>
                <w:rFonts w:asciiTheme="minorHAnsi" w:hAnsiTheme="minorHAnsi" w:cstheme="minorHAnsi"/>
                <w:sz w:val="20"/>
                <w:szCs w:val="20"/>
              </w:rPr>
              <w:instrText xml:space="preserve"> ADDIN ZOTERO_ITEM CSL_CITATION {"citationID":"VSvhJxmb","properties":{"formattedCitation":"[17]","plainCitation":"[17]","noteIndex":0},"citationItems":[{"id":5462,"uris":["http://zotero.org/groups/2688840/items/CNCMJRIQ"],"itemData":{"id":5462,"type":"article-journal","abstract":"Background  While electrolyte maintenance solution is recommended and commonly used in pediatric gastroenteritis, it can be more costly and less palatable than preferred fluids such as apple juice.\nObjective  To assess the incremental cost-effectiveness of apple juice/preferred fluids versus electrolyte maintenance solution in reducing treatment failures in children in an emergency department from societal and health care perspectives.\nMethods  A probabilistic cost-effectiveness analysis was performed using clinical trial and chart data. All intervention, and direct and indirect costs were included, with a 14-day time horizon. Cost-effectiveness was examined by calculating the difference in mean number of treatment failures and mean cost/patient between treatment groups. The probabilistic point estimate and 95% confidence intervals for incremental costs and incremental effectiveness were determined.\nResults  The apple juice strategy was less costly than electrolytes with average per child savings of CAD $171 (95% CI $22 to $1097) from a societal perspective, and $147 (95% CI $23 to $1056) from a health care perspective. There were 0.08 fewer treatment failures per child (95% CI − 0.15 to − 0.02). The higher electrolyte maintenance solution cost was due to more frequent hospitalizations, ongoing care, and greater lost parental productivity due to additional medical visits.\nConclusion  Apple juice/preferred fluids strategy was dominant over electrolytes in the treatment of children with minimal dehydration secondary to acute gastroenteritis as this option yielded fewer treatment failures and a lower societal cost. Given the high prevalence of acute gastroenteritis, this approach may result in significant cost savings while leading to improved clinical outcomes.","container-title":"Canadian Journal of Emergency Medicine","DOI":"10.1007/s43678-021-00108-9","ISSN":"1481-8035, 1481-8043","issue":"5","journalAbbreviation":"Can J Emerg Med","language":"en","page":"646-654","source":"DOI.org (Crossref)","title":"Cost-effectiveness of preferred fluids versus electrolytes in pediatric gastroenteritis","volume":"23","author":[{"family":"Moretti","given":"Myla E."},{"family":"Ungar","given":"Wendy J."},{"family":"Freedman","given":"Stephen B."},{"family":"Schuh","given":"Suzanne"}],"issued":{"date-parts":[["2021",9]]}}}],"schema":"https://github.com/citation-style-language/schema/raw/master/csl-citation.json"} </w:instrText>
            </w:r>
            <w:r w:rsidRPr="00D275F9">
              <w:rPr>
                <w:rFonts w:asciiTheme="minorHAnsi" w:hAnsiTheme="minorHAnsi" w:cstheme="minorHAnsi"/>
                <w:sz w:val="20"/>
                <w:szCs w:val="20"/>
              </w:rPr>
              <w:fldChar w:fldCharType="separate"/>
            </w:r>
            <w:r w:rsidRPr="00D275F9">
              <w:rPr>
                <w:rFonts w:asciiTheme="minorHAnsi" w:hAnsiTheme="minorHAnsi" w:cstheme="minorHAnsi"/>
                <w:sz w:val="20"/>
                <w:szCs w:val="20"/>
              </w:rPr>
              <w:t>[17]</w:t>
            </w:r>
            <w:r w:rsidRPr="00D275F9">
              <w:rPr>
                <w:rFonts w:asciiTheme="minorHAnsi" w:hAnsiTheme="minorHAnsi" w:cstheme="minorHAnsi"/>
                <w:sz w:val="20"/>
                <w:szCs w:val="20"/>
              </w:rPr>
              <w:fldChar w:fldCharType="end"/>
            </w:r>
          </w:p>
          <w:p w14:paraId="1232A77E" w14:textId="77777777" w:rsidR="00B1006E" w:rsidRPr="00D275F9" w:rsidRDefault="00B1006E" w:rsidP="00662D94">
            <w:pPr>
              <w:rPr>
                <w:rFonts w:asciiTheme="minorHAnsi" w:hAnsiTheme="minorHAnsi" w:cstheme="minorHAnsi"/>
                <w:sz w:val="20"/>
                <w:szCs w:val="20"/>
                <w:highlight w:val="yellow"/>
              </w:rPr>
            </w:pPr>
            <w:r w:rsidRPr="00D275F9">
              <w:rPr>
                <w:rFonts w:asciiTheme="minorHAnsi" w:hAnsiTheme="minorHAnsi" w:cstheme="minorHAnsi"/>
                <w:sz w:val="20"/>
                <w:szCs w:val="20"/>
              </w:rPr>
              <w:t>2021</w:t>
            </w:r>
          </w:p>
        </w:tc>
        <w:tc>
          <w:tcPr>
            <w:tcW w:w="2977" w:type="dxa"/>
          </w:tcPr>
          <w:p w14:paraId="3C5058D4" w14:textId="77777777" w:rsidR="00B1006E" w:rsidRPr="00D275F9" w:rsidRDefault="00B1006E" w:rsidP="00662D94">
            <w:pPr>
              <w:rPr>
                <w:rFonts w:asciiTheme="minorHAnsi" w:hAnsiTheme="minorHAnsi" w:cstheme="minorHAnsi"/>
                <w:sz w:val="20"/>
                <w:szCs w:val="20"/>
                <w:u w:val="single"/>
              </w:rPr>
            </w:pPr>
            <w:r w:rsidRPr="00D275F9">
              <w:rPr>
                <w:rFonts w:asciiTheme="minorHAnsi" w:hAnsiTheme="minorHAnsi" w:cstheme="minorHAnsi"/>
                <w:sz w:val="20"/>
                <w:szCs w:val="20"/>
                <w:u w:val="single"/>
              </w:rPr>
              <w:t>PICO 1</w:t>
            </w:r>
          </w:p>
          <w:p w14:paraId="716C7E80"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Comparison of cost</w:t>
            </w:r>
            <w:r w:rsidRPr="00D275F9">
              <w:rPr>
                <w:rFonts w:ascii="Cambria Math" w:hAnsi="Cambria Math" w:cs="Cambria Math"/>
                <w:sz w:val="20"/>
                <w:szCs w:val="20"/>
              </w:rPr>
              <w:t>‑</w:t>
            </w:r>
            <w:r w:rsidRPr="00D275F9">
              <w:rPr>
                <w:rFonts w:asciiTheme="minorHAnsi" w:hAnsiTheme="minorHAnsi" w:cstheme="minorHAnsi"/>
                <w:sz w:val="20"/>
                <w:szCs w:val="20"/>
              </w:rPr>
              <w:t>effectiveness of preferred fluids/apple juice vs Electrolyte maintenance solution group.</w:t>
            </w:r>
          </w:p>
        </w:tc>
        <w:tc>
          <w:tcPr>
            <w:tcW w:w="2693" w:type="dxa"/>
          </w:tcPr>
          <w:p w14:paraId="6A3DEB42"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A cost-</w:t>
            </w:r>
          </w:p>
          <w:p w14:paraId="64773F6E"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effectiveness analysis</w:t>
            </w:r>
          </w:p>
          <w:p w14:paraId="4DC953D9"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Single centre</w:t>
            </w:r>
          </w:p>
          <w:p w14:paraId="3FA29375"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Canada</w:t>
            </w:r>
          </w:p>
        </w:tc>
        <w:tc>
          <w:tcPr>
            <w:tcW w:w="2552" w:type="dxa"/>
          </w:tcPr>
          <w:p w14:paraId="5AFFD15C"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647 Children aged 6-60 months with gastroenteritis and minimal-to-mild dehydration in ED</w:t>
            </w:r>
          </w:p>
          <w:p w14:paraId="230F98CE" w14:textId="77777777" w:rsidR="00B1006E" w:rsidRPr="00D275F9" w:rsidRDefault="00B1006E" w:rsidP="00662D94">
            <w:pPr>
              <w:rPr>
                <w:rFonts w:asciiTheme="minorHAnsi" w:hAnsiTheme="minorHAnsi" w:cstheme="minorHAnsi"/>
                <w:sz w:val="20"/>
                <w:szCs w:val="20"/>
              </w:rPr>
            </w:pPr>
          </w:p>
          <w:p w14:paraId="2865DD45" w14:textId="77777777" w:rsidR="00B1006E" w:rsidRPr="00D275F9" w:rsidRDefault="00B1006E" w:rsidP="00662D94">
            <w:pPr>
              <w:rPr>
                <w:rFonts w:asciiTheme="minorHAnsi" w:hAnsiTheme="minorHAnsi" w:cstheme="minorHAnsi"/>
                <w:i/>
                <w:sz w:val="20"/>
                <w:szCs w:val="20"/>
              </w:rPr>
            </w:pPr>
          </w:p>
        </w:tc>
        <w:tc>
          <w:tcPr>
            <w:tcW w:w="5670" w:type="dxa"/>
          </w:tcPr>
          <w:p w14:paraId="66E67003"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The apple juice strategy w</w:t>
            </w:r>
            <w:r>
              <w:rPr>
                <w:rFonts w:asciiTheme="minorHAnsi" w:hAnsiTheme="minorHAnsi" w:cstheme="minorHAnsi"/>
                <w:sz w:val="20"/>
                <w:szCs w:val="20"/>
              </w:rPr>
              <w:t>as less costly than electrolyte maintenance solution</w:t>
            </w:r>
            <w:r w:rsidRPr="00D275F9">
              <w:rPr>
                <w:rFonts w:asciiTheme="minorHAnsi" w:hAnsiTheme="minorHAnsi" w:cstheme="minorHAnsi"/>
                <w:sz w:val="20"/>
                <w:szCs w:val="20"/>
              </w:rPr>
              <w:t xml:space="preserve"> with average per child savings of CAD $171 (95% CI $22 to $1097) from a societal perspective, and $147 (95% CI $23 to $1056) from a health care perspective.</w:t>
            </w:r>
          </w:p>
          <w:p w14:paraId="31641C06" w14:textId="77777777" w:rsidR="00B1006E" w:rsidRPr="00D275F9" w:rsidRDefault="00B1006E" w:rsidP="00662D94">
            <w:pPr>
              <w:rPr>
                <w:rFonts w:asciiTheme="minorHAnsi" w:hAnsiTheme="minorHAnsi" w:cstheme="minorHAnsi"/>
                <w:sz w:val="20"/>
                <w:szCs w:val="20"/>
              </w:rPr>
            </w:pPr>
          </w:p>
          <w:p w14:paraId="6893F276" w14:textId="77777777" w:rsidR="00B1006E" w:rsidRPr="00D275F9" w:rsidRDefault="00B1006E" w:rsidP="00662D94">
            <w:pPr>
              <w:rPr>
                <w:rFonts w:asciiTheme="minorHAnsi" w:hAnsiTheme="minorHAnsi" w:cstheme="minorHAnsi"/>
                <w:sz w:val="20"/>
                <w:szCs w:val="20"/>
              </w:rPr>
            </w:pPr>
          </w:p>
        </w:tc>
      </w:tr>
      <w:tr w:rsidR="00B1006E" w:rsidRPr="00D275F9" w14:paraId="277BAFD3" w14:textId="77777777" w:rsidTr="00662D94">
        <w:tc>
          <w:tcPr>
            <w:tcW w:w="1843" w:type="dxa"/>
          </w:tcPr>
          <w:p w14:paraId="639B2065" w14:textId="77777777" w:rsidR="00B1006E" w:rsidRPr="00D275F9" w:rsidRDefault="00B1006E" w:rsidP="00662D94">
            <w:pPr>
              <w:rPr>
                <w:rFonts w:asciiTheme="minorHAnsi" w:hAnsiTheme="minorHAnsi" w:cstheme="minorHAnsi"/>
                <w:sz w:val="20"/>
                <w:szCs w:val="20"/>
              </w:rPr>
            </w:pPr>
            <w:proofErr w:type="spellStart"/>
            <w:r w:rsidRPr="00D275F9">
              <w:rPr>
                <w:rFonts w:asciiTheme="minorHAnsi" w:hAnsiTheme="minorHAnsi" w:cstheme="minorHAnsi"/>
                <w:sz w:val="20"/>
                <w:szCs w:val="20"/>
              </w:rPr>
              <w:t>Ottolini</w:t>
            </w:r>
            <w:proofErr w:type="spellEnd"/>
            <w:r w:rsidRPr="00D275F9">
              <w:rPr>
                <w:rFonts w:asciiTheme="minorHAnsi" w:hAnsiTheme="minorHAnsi" w:cstheme="minorHAnsi"/>
                <w:sz w:val="20"/>
                <w:szCs w:val="20"/>
              </w:rPr>
              <w:t xml:space="preserve"> et al. </w:t>
            </w:r>
            <w:r w:rsidRPr="00D275F9">
              <w:rPr>
                <w:rFonts w:asciiTheme="minorHAnsi" w:hAnsiTheme="minorHAnsi" w:cstheme="minorHAnsi"/>
                <w:sz w:val="20"/>
                <w:szCs w:val="20"/>
              </w:rPr>
              <w:fldChar w:fldCharType="begin"/>
            </w:r>
            <w:r w:rsidRPr="00D275F9">
              <w:rPr>
                <w:rFonts w:asciiTheme="minorHAnsi" w:hAnsiTheme="minorHAnsi" w:cstheme="minorHAnsi"/>
                <w:sz w:val="20"/>
                <w:szCs w:val="20"/>
              </w:rPr>
              <w:instrText xml:space="preserve"> ADDIN ZOTERO_ITEM CSL_CITATION {"citationID":"n0hD4LQW","properties":{"formattedCitation":"[18]","plainCitation":"[18]","noteIndex":0},"citationItems":[{"id":5456,"uris":["http://zotero.org/groups/2688840/items/DKQJIB75"],"itemData":{"id":5456,"type":"article-journal","abstract":"Objective To investigate the association between ﬂuid balance during therapeutic hypothermia (TH) and severity of brain injury on magnetic resonance imaging (MRI) in neonates with hypoxic–ischemic encephalopathy (HIE). Study design This is a secondary analysis of data from a prospective observational study in neonates with HIE. Daily net positive ﬂuid balance during TH was investigated for association with the adverse primary outcome of death or moderate-tosevere brain injury on MRI using multivariable logistic regression.\nResults Of the 150 neonates included, 50 suffered adverse outcome and had signiﬁcantly higher net positive ﬂuid balance (53 vs. 19 ml/kg/day, p &lt; 0.01) during ﬁrst 24 hours of TH. Neonates with a net positive ﬂuid balance (&gt;25 ml/kg/day) at 24 hours of TH had 3.4 (95% CI 1.3–9) times higher odds of adverse outcome.\nConclusions Positive ﬂuid balance during TH in neonates with HIE is independently associated with death or moderate-tosevere brain injury on MRI. 1234567890();,:","container-title":"Journal of Perinatology","DOI":"10.1038/s41372-021-00988-w","ISSN":"0743-8346, 1476-5543","issue":"6","journalAbbreviation":"J Perinatol","language":"en","page":"1331-1338","source":"DOI.org (Crossref)","title":"Positive fluid balance is associated with death and severity of brain injury in neonates with hypoxic–ischemic encephalopathy","volume":"41","author":[{"family":"Ottolini","given":"Katherine M."},{"family":"Basu","given":"Sudeepta K."},{"family":"Herrera","given":"Nicole"},{"family":"Govindan","given":"Vedavalli"},{"family":"Mashat","given":"Suleiman"},{"family":"Vezina","given":"Gilbert"},{"family":"Ridore","given":"Michelande"},{"family":"Bost","given":"James"},{"family":"Chang","given":"Taeun"},{"family":"Massaro","given":"An N."}],"issued":{"date-parts":[["2021",6]]}}}],"schema":"https://github.com/citation-style-language/schema/raw/master/csl-citation.json"} </w:instrText>
            </w:r>
            <w:r w:rsidRPr="00D275F9">
              <w:rPr>
                <w:rFonts w:asciiTheme="minorHAnsi" w:hAnsiTheme="minorHAnsi" w:cstheme="minorHAnsi"/>
                <w:sz w:val="20"/>
                <w:szCs w:val="20"/>
              </w:rPr>
              <w:fldChar w:fldCharType="separate"/>
            </w:r>
            <w:r w:rsidRPr="00D275F9">
              <w:rPr>
                <w:rFonts w:asciiTheme="minorHAnsi" w:hAnsiTheme="minorHAnsi" w:cstheme="minorHAnsi"/>
                <w:sz w:val="20"/>
                <w:szCs w:val="20"/>
              </w:rPr>
              <w:t>[18]</w:t>
            </w:r>
            <w:r w:rsidRPr="00D275F9">
              <w:rPr>
                <w:rFonts w:asciiTheme="minorHAnsi" w:hAnsiTheme="minorHAnsi" w:cstheme="minorHAnsi"/>
                <w:sz w:val="20"/>
                <w:szCs w:val="20"/>
              </w:rPr>
              <w:fldChar w:fldCharType="end"/>
            </w:r>
          </w:p>
          <w:p w14:paraId="5136B123" w14:textId="77777777" w:rsidR="00B1006E" w:rsidRPr="00D275F9" w:rsidRDefault="00B1006E" w:rsidP="00662D94">
            <w:pPr>
              <w:rPr>
                <w:rFonts w:asciiTheme="minorHAnsi" w:hAnsiTheme="minorHAnsi" w:cstheme="minorHAnsi"/>
                <w:sz w:val="20"/>
                <w:szCs w:val="20"/>
                <w:highlight w:val="yellow"/>
              </w:rPr>
            </w:pPr>
            <w:r w:rsidRPr="00D275F9">
              <w:rPr>
                <w:rFonts w:asciiTheme="minorHAnsi" w:hAnsiTheme="minorHAnsi" w:cstheme="minorHAnsi"/>
                <w:sz w:val="20"/>
                <w:szCs w:val="20"/>
              </w:rPr>
              <w:t>2021</w:t>
            </w:r>
          </w:p>
        </w:tc>
        <w:tc>
          <w:tcPr>
            <w:tcW w:w="2977" w:type="dxa"/>
          </w:tcPr>
          <w:p w14:paraId="3A365B84" w14:textId="77777777" w:rsidR="00B1006E" w:rsidRPr="00D275F9" w:rsidRDefault="00B1006E" w:rsidP="00662D94">
            <w:pPr>
              <w:rPr>
                <w:rFonts w:asciiTheme="minorHAnsi" w:hAnsiTheme="minorHAnsi" w:cstheme="minorHAnsi"/>
                <w:sz w:val="20"/>
                <w:szCs w:val="20"/>
                <w:u w:val="single"/>
              </w:rPr>
            </w:pPr>
            <w:r w:rsidRPr="00D275F9">
              <w:rPr>
                <w:rFonts w:asciiTheme="minorHAnsi" w:hAnsiTheme="minorHAnsi" w:cstheme="minorHAnsi"/>
                <w:sz w:val="20"/>
                <w:szCs w:val="20"/>
                <w:u w:val="single"/>
              </w:rPr>
              <w:t>PICO 5</w:t>
            </w:r>
          </w:p>
          <w:p w14:paraId="52619B96"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Investigation of the relationship between the occurrence of death</w:t>
            </w:r>
          </w:p>
          <w:p w14:paraId="059AB205"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or brain injury on magnetic resonance imaging (MRI) and net daily fluid balance during  therapeutic hypothermia (TH)</w:t>
            </w:r>
          </w:p>
          <w:p w14:paraId="1AAC2C35" w14:textId="77777777" w:rsidR="00B1006E" w:rsidRPr="00D275F9" w:rsidRDefault="00B1006E" w:rsidP="00662D94">
            <w:pPr>
              <w:rPr>
                <w:rFonts w:asciiTheme="minorHAnsi" w:hAnsiTheme="minorHAnsi" w:cstheme="minorHAnsi"/>
                <w:sz w:val="20"/>
                <w:szCs w:val="20"/>
              </w:rPr>
            </w:pPr>
          </w:p>
          <w:p w14:paraId="5A289E2E" w14:textId="77777777" w:rsidR="00B1006E" w:rsidRPr="00D275F9" w:rsidRDefault="00B1006E" w:rsidP="00662D94">
            <w:pPr>
              <w:rPr>
                <w:rFonts w:asciiTheme="minorHAnsi" w:hAnsiTheme="minorHAnsi" w:cstheme="minorHAnsi"/>
                <w:sz w:val="20"/>
                <w:szCs w:val="20"/>
              </w:rPr>
            </w:pPr>
          </w:p>
        </w:tc>
        <w:tc>
          <w:tcPr>
            <w:tcW w:w="2693" w:type="dxa"/>
          </w:tcPr>
          <w:p w14:paraId="63493C00" w14:textId="77777777" w:rsidR="00B1006E" w:rsidRPr="00D275F9" w:rsidRDefault="00B1006E" w:rsidP="00662D94">
            <w:pPr>
              <w:spacing w:line="259" w:lineRule="auto"/>
              <w:rPr>
                <w:rFonts w:asciiTheme="minorHAnsi" w:hAnsiTheme="minorHAnsi" w:cstheme="minorHAnsi"/>
                <w:sz w:val="20"/>
                <w:szCs w:val="20"/>
              </w:rPr>
            </w:pPr>
            <w:r w:rsidRPr="00D275F9">
              <w:rPr>
                <w:rFonts w:asciiTheme="minorHAnsi" w:hAnsiTheme="minorHAnsi" w:cstheme="minorHAnsi"/>
                <w:sz w:val="20"/>
                <w:szCs w:val="20"/>
              </w:rPr>
              <w:t>Prospective cohort</w:t>
            </w:r>
          </w:p>
          <w:p w14:paraId="0B8FBE6B" w14:textId="77777777" w:rsidR="00B1006E" w:rsidRPr="00D275F9" w:rsidRDefault="00B1006E" w:rsidP="00662D94">
            <w:pPr>
              <w:spacing w:line="259" w:lineRule="auto"/>
              <w:rPr>
                <w:rFonts w:asciiTheme="minorHAnsi" w:hAnsiTheme="minorHAnsi" w:cstheme="minorHAnsi"/>
                <w:sz w:val="20"/>
                <w:szCs w:val="20"/>
              </w:rPr>
            </w:pPr>
            <w:r w:rsidRPr="00D275F9">
              <w:rPr>
                <w:rFonts w:asciiTheme="minorHAnsi" w:hAnsiTheme="minorHAnsi" w:cstheme="minorHAnsi"/>
                <w:sz w:val="20"/>
                <w:szCs w:val="20"/>
              </w:rPr>
              <w:t>Single centre</w:t>
            </w:r>
          </w:p>
          <w:p w14:paraId="2488D05C" w14:textId="77777777" w:rsidR="00B1006E" w:rsidRPr="00D275F9" w:rsidRDefault="00B1006E" w:rsidP="00662D94">
            <w:pPr>
              <w:spacing w:line="259" w:lineRule="auto"/>
              <w:rPr>
                <w:rFonts w:asciiTheme="minorHAnsi" w:hAnsiTheme="minorHAnsi" w:cstheme="minorHAnsi"/>
                <w:sz w:val="20"/>
                <w:szCs w:val="20"/>
              </w:rPr>
            </w:pPr>
            <w:r w:rsidRPr="00D275F9">
              <w:rPr>
                <w:rFonts w:asciiTheme="minorHAnsi" w:hAnsiTheme="minorHAnsi" w:cstheme="minorHAnsi"/>
                <w:sz w:val="20"/>
                <w:szCs w:val="20"/>
              </w:rPr>
              <w:t>USA</w:t>
            </w:r>
          </w:p>
          <w:p w14:paraId="2FAE29D2" w14:textId="77777777" w:rsidR="00B1006E" w:rsidRPr="00D275F9" w:rsidRDefault="00B1006E" w:rsidP="00662D94">
            <w:pPr>
              <w:spacing w:line="259" w:lineRule="auto"/>
              <w:rPr>
                <w:rFonts w:asciiTheme="minorHAnsi" w:hAnsiTheme="minorHAnsi" w:cstheme="minorHAnsi"/>
                <w:sz w:val="20"/>
                <w:szCs w:val="20"/>
              </w:rPr>
            </w:pPr>
            <w:r w:rsidRPr="00D275F9">
              <w:rPr>
                <w:rFonts w:asciiTheme="minorHAnsi" w:hAnsiTheme="minorHAnsi" w:cstheme="minorHAnsi"/>
                <w:sz w:val="20"/>
                <w:szCs w:val="20"/>
              </w:rPr>
              <w:t>From May 2008 to April 2016</w:t>
            </w:r>
          </w:p>
        </w:tc>
        <w:tc>
          <w:tcPr>
            <w:tcW w:w="2552" w:type="dxa"/>
          </w:tcPr>
          <w:p w14:paraId="4787334E"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150 neonates gestational age at birth ≥35 weeks, birth weight ≥1800 grams, metabolic acidosis and/or low 10-min Apgar score, and moderate-to-severe encephalopathy</w:t>
            </w:r>
          </w:p>
        </w:tc>
        <w:tc>
          <w:tcPr>
            <w:tcW w:w="5670" w:type="dxa"/>
          </w:tcPr>
          <w:p w14:paraId="28C82542"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Neonates with the adverse primary outcome had a significantly higher net positive fluid balance of 53.1 (27.6–84.4) ml/kg/day compared to those with no/mild injury at 19.3 (3.4–37.6) ml/kg/day (p &lt; 0.01).</w:t>
            </w:r>
          </w:p>
          <w:p w14:paraId="214A1A5D"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 xml:space="preserve">Neonates with net positive fluid balance (≥25 ml/kg/day) during first 24 hours of cooling had 3.4 (95% CI 1.3–9) </w:t>
            </w:r>
            <w:proofErr w:type="gramStart"/>
            <w:r w:rsidRPr="00D275F9">
              <w:rPr>
                <w:rFonts w:asciiTheme="minorHAnsi" w:hAnsiTheme="minorHAnsi" w:cstheme="minorHAnsi"/>
                <w:sz w:val="20"/>
                <w:szCs w:val="20"/>
              </w:rPr>
              <w:t>times</w:t>
            </w:r>
            <w:proofErr w:type="gramEnd"/>
            <w:r w:rsidRPr="00D275F9">
              <w:rPr>
                <w:rFonts w:asciiTheme="minorHAnsi" w:hAnsiTheme="minorHAnsi" w:cstheme="minorHAnsi"/>
                <w:sz w:val="20"/>
                <w:szCs w:val="20"/>
              </w:rPr>
              <w:t xml:space="preserve"> higher odds of death or moderate-to-severe brain injury on MRI. </w:t>
            </w:r>
          </w:p>
          <w:p w14:paraId="32E21CE8"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Neonates with net positive fluid balance (≥25 ml/kg/day) during 48–72 hours of cooling had 5.8 (95% CI 2.0–16.3) times higher odds of death or moderate-to-severe brain injury on magnetic resonance imaging.</w:t>
            </w:r>
          </w:p>
        </w:tc>
      </w:tr>
      <w:tr w:rsidR="00B1006E" w:rsidRPr="00D275F9" w14:paraId="064ADAFC" w14:textId="77777777" w:rsidTr="00662D94">
        <w:tc>
          <w:tcPr>
            <w:tcW w:w="1843" w:type="dxa"/>
          </w:tcPr>
          <w:p w14:paraId="4F14E654" w14:textId="77777777" w:rsidR="00B1006E" w:rsidRPr="00D275F9" w:rsidRDefault="00B1006E" w:rsidP="00662D94">
            <w:pPr>
              <w:rPr>
                <w:rFonts w:asciiTheme="minorHAnsi" w:hAnsiTheme="minorHAnsi" w:cstheme="minorHAnsi"/>
                <w:sz w:val="20"/>
                <w:szCs w:val="20"/>
              </w:rPr>
            </w:pPr>
            <w:proofErr w:type="spellStart"/>
            <w:r w:rsidRPr="00D275F9">
              <w:rPr>
                <w:rFonts w:asciiTheme="minorHAnsi" w:hAnsiTheme="minorHAnsi" w:cstheme="minorHAnsi"/>
                <w:sz w:val="20"/>
                <w:szCs w:val="20"/>
              </w:rPr>
              <w:t>Poonai</w:t>
            </w:r>
            <w:proofErr w:type="spellEnd"/>
            <w:r w:rsidRPr="00D275F9">
              <w:rPr>
                <w:rFonts w:asciiTheme="minorHAnsi" w:hAnsiTheme="minorHAnsi" w:cstheme="minorHAnsi"/>
                <w:sz w:val="20"/>
                <w:szCs w:val="20"/>
              </w:rPr>
              <w:t xml:space="preserve"> et al. </w:t>
            </w:r>
            <w:r w:rsidRPr="00D275F9">
              <w:rPr>
                <w:rFonts w:asciiTheme="minorHAnsi" w:hAnsiTheme="minorHAnsi" w:cstheme="minorHAnsi"/>
                <w:sz w:val="20"/>
                <w:szCs w:val="20"/>
              </w:rPr>
              <w:fldChar w:fldCharType="begin"/>
            </w:r>
            <w:r w:rsidRPr="00D275F9">
              <w:rPr>
                <w:rFonts w:asciiTheme="minorHAnsi" w:hAnsiTheme="minorHAnsi" w:cstheme="minorHAnsi"/>
                <w:sz w:val="20"/>
                <w:szCs w:val="20"/>
              </w:rPr>
              <w:instrText xml:space="preserve"> ADDIN ZOTERO_ITEM CSL_CITATION {"citationID":"Ij32BA7o","properties":{"formattedCitation":"[19]","plainCitation":"[19]","noteIndex":0},"citationItems":[{"id":5452,"uris":["http://zotero.org/groups/2688840/items/DDQKDMQ4"],"itemData":{"id":5452,"type":"article-journal","abstract":"IMPORTANCE Despite guidelines endorsing oral rehydration therapy, intravenous fluids are commonly administered to children with acute gastroenteritis in high-income countries.","container-title":"JAMA Network Open","DOI":"10.1001/jamanetworkopen.2021.6433","ISSN":"2574-3805","issue":"4","journalAbbreviation":"JAMA Netw Open","language":"en","page":"e216433","source":"DOI.org (Crossref)","title":"Variables Associated With Intravenous Rehydration and Hospitalization in Children With Acute Gastroenteritis: A Secondary Analysis of 2 Randomized Clinical Trials","title-short":"Variables Associated With Intravenous Rehydration and Hospitalization in Children With Acute Gastroenteritis","volume":"4","author":[{"family":"Poonai","given":"Naveen"},{"family":"Powell","given":"Elizabeth C."},{"family":"Schnadower","given":"David"},{"family":"Casper","given":"T. Charles"},{"family":"Roskind","given":"Cindy G."},{"family":"Olsen","given":"Cody S."},{"family":"Tarr","given":"Phillip I."},{"family":"Mahajan","given":"Prashant"},{"family":"Rogers","given":"Alexander J."},{"family":"Schuh","given":"Suzanne"},{"family":"Hurley","given":"Katrina F."},{"family":"Gouin","given":"Serge"},{"family":"Vance","given":"Cheryl"},{"family":"Farion","given":"Ken J."},{"family":"Sapien","given":"Robert E."},{"family":"O’Connell","given":"Karen J."},{"family":"Levine","given":"Adam C."},{"family":"Bhatt","given":"Seema"},{"family":"Freedman","given":"Stephen B."},{"literal":"Pediatric Emergency Care Applied Research Network (PECARN) and Pediatric Emergency Research Canada (PERC)"}],"issued":{"date-parts":[["2021",4,19]]}}}],"schema":"https://github.com/citation-style-language/schema/raw/master/csl-citation.json"} </w:instrText>
            </w:r>
            <w:r w:rsidRPr="00D275F9">
              <w:rPr>
                <w:rFonts w:asciiTheme="minorHAnsi" w:hAnsiTheme="minorHAnsi" w:cstheme="minorHAnsi"/>
                <w:sz w:val="20"/>
                <w:szCs w:val="20"/>
              </w:rPr>
              <w:fldChar w:fldCharType="separate"/>
            </w:r>
            <w:r w:rsidRPr="00D275F9">
              <w:rPr>
                <w:rFonts w:asciiTheme="minorHAnsi" w:hAnsiTheme="minorHAnsi" w:cstheme="minorHAnsi"/>
                <w:sz w:val="20"/>
                <w:szCs w:val="20"/>
              </w:rPr>
              <w:t>[19]</w:t>
            </w:r>
            <w:r w:rsidRPr="00D275F9">
              <w:rPr>
                <w:rFonts w:asciiTheme="minorHAnsi" w:hAnsiTheme="minorHAnsi" w:cstheme="minorHAnsi"/>
                <w:sz w:val="20"/>
                <w:szCs w:val="20"/>
              </w:rPr>
              <w:fldChar w:fldCharType="end"/>
            </w:r>
          </w:p>
          <w:p w14:paraId="6FD4F297" w14:textId="77777777" w:rsidR="00B1006E" w:rsidRPr="00D275F9" w:rsidRDefault="00B1006E" w:rsidP="00662D94">
            <w:pPr>
              <w:rPr>
                <w:rFonts w:asciiTheme="minorHAnsi" w:hAnsiTheme="minorHAnsi" w:cstheme="minorHAnsi"/>
                <w:sz w:val="20"/>
                <w:szCs w:val="20"/>
                <w:highlight w:val="yellow"/>
              </w:rPr>
            </w:pPr>
            <w:r w:rsidRPr="00D275F9">
              <w:rPr>
                <w:rFonts w:asciiTheme="minorHAnsi" w:hAnsiTheme="minorHAnsi" w:cstheme="minorHAnsi"/>
                <w:sz w:val="20"/>
                <w:szCs w:val="20"/>
              </w:rPr>
              <w:t>2021</w:t>
            </w:r>
          </w:p>
        </w:tc>
        <w:tc>
          <w:tcPr>
            <w:tcW w:w="2977" w:type="dxa"/>
          </w:tcPr>
          <w:p w14:paraId="576B6F09" w14:textId="77777777" w:rsidR="00B1006E" w:rsidRPr="00D275F9" w:rsidRDefault="00B1006E" w:rsidP="00662D94">
            <w:pPr>
              <w:rPr>
                <w:rFonts w:asciiTheme="minorHAnsi" w:hAnsiTheme="minorHAnsi" w:cstheme="minorHAnsi"/>
                <w:sz w:val="20"/>
                <w:szCs w:val="20"/>
                <w:u w:val="single"/>
              </w:rPr>
            </w:pPr>
            <w:r w:rsidRPr="00D275F9">
              <w:rPr>
                <w:rFonts w:asciiTheme="minorHAnsi" w:hAnsiTheme="minorHAnsi" w:cstheme="minorHAnsi"/>
                <w:sz w:val="20"/>
                <w:szCs w:val="20"/>
                <w:u w:val="single"/>
              </w:rPr>
              <w:t xml:space="preserve">PICO 1 </w:t>
            </w:r>
          </w:p>
          <w:p w14:paraId="4F8F8090"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 xml:space="preserve">identification of factors associated with intravenous fluid administration </w:t>
            </w:r>
          </w:p>
        </w:tc>
        <w:tc>
          <w:tcPr>
            <w:tcW w:w="2693" w:type="dxa"/>
          </w:tcPr>
          <w:p w14:paraId="4F43FB6A"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Secondary analysis of 2 RCTs</w:t>
            </w:r>
          </w:p>
          <w:p w14:paraId="7E10E8F2"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Multicentre</w:t>
            </w:r>
          </w:p>
          <w:p w14:paraId="69C58B24"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USA &amp; Canada</w:t>
            </w:r>
          </w:p>
          <w:p w14:paraId="5A77CE66"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From Novem</w:t>
            </w:r>
            <w:r>
              <w:rPr>
                <w:rFonts w:asciiTheme="minorHAnsi" w:hAnsiTheme="minorHAnsi" w:cstheme="minorHAnsi"/>
                <w:sz w:val="20"/>
                <w:szCs w:val="20"/>
              </w:rPr>
              <w:t>ber</w:t>
            </w:r>
            <w:r w:rsidRPr="00D275F9">
              <w:rPr>
                <w:rFonts w:asciiTheme="minorHAnsi" w:hAnsiTheme="minorHAnsi" w:cstheme="minorHAnsi"/>
                <w:sz w:val="20"/>
                <w:szCs w:val="20"/>
              </w:rPr>
              <w:t xml:space="preserve"> 2013, to April  2017 (PERC study)</w:t>
            </w:r>
          </w:p>
          <w:p w14:paraId="41361597"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 xml:space="preserve">From </w:t>
            </w:r>
            <w:r>
              <w:rPr>
                <w:rFonts w:asciiTheme="minorHAnsi" w:hAnsiTheme="minorHAnsi" w:cstheme="minorHAnsi"/>
                <w:sz w:val="20"/>
                <w:szCs w:val="20"/>
              </w:rPr>
              <w:t xml:space="preserve">July </w:t>
            </w:r>
            <w:r w:rsidRPr="00D275F9">
              <w:rPr>
                <w:rFonts w:asciiTheme="minorHAnsi" w:hAnsiTheme="minorHAnsi" w:cstheme="minorHAnsi"/>
                <w:sz w:val="20"/>
                <w:szCs w:val="20"/>
              </w:rPr>
              <w:t>2014,</w:t>
            </w:r>
          </w:p>
          <w:p w14:paraId="52E72955"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to</w:t>
            </w:r>
            <w:r>
              <w:rPr>
                <w:rFonts w:asciiTheme="minorHAnsi" w:hAnsiTheme="minorHAnsi" w:cstheme="minorHAnsi"/>
                <w:sz w:val="20"/>
                <w:szCs w:val="20"/>
              </w:rPr>
              <w:t xml:space="preserve"> June</w:t>
            </w:r>
            <w:r w:rsidRPr="00D275F9">
              <w:rPr>
                <w:rFonts w:asciiTheme="minorHAnsi" w:hAnsiTheme="minorHAnsi" w:cstheme="minorHAnsi"/>
                <w:sz w:val="20"/>
                <w:szCs w:val="20"/>
              </w:rPr>
              <w:t xml:space="preserve"> 2017  (PECARN Study)</w:t>
            </w:r>
          </w:p>
        </w:tc>
        <w:tc>
          <w:tcPr>
            <w:tcW w:w="2552" w:type="dxa"/>
          </w:tcPr>
          <w:p w14:paraId="092975CD"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1846 children from 3 to 48 months with acute gastroenteritis</w:t>
            </w:r>
          </w:p>
        </w:tc>
        <w:tc>
          <w:tcPr>
            <w:tcW w:w="5670" w:type="dxa"/>
          </w:tcPr>
          <w:p w14:paraId="1698FDBC"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Independent variables associated with intravenous rehydration included: higher clinical dehydration score, care in the US relative to Canada, greater frequency and duration of vomiting, prior intravenous rehydration and lack of oral ondansetron.</w:t>
            </w:r>
          </w:p>
        </w:tc>
      </w:tr>
      <w:tr w:rsidR="00B1006E" w:rsidRPr="00D275F9" w14:paraId="44695F4F" w14:textId="77777777" w:rsidTr="00662D94">
        <w:trPr>
          <w:trHeight w:val="473"/>
        </w:trPr>
        <w:tc>
          <w:tcPr>
            <w:tcW w:w="1843" w:type="dxa"/>
          </w:tcPr>
          <w:p w14:paraId="00BFA62E"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 xml:space="preserve">Raman et al. </w:t>
            </w:r>
            <w:r w:rsidRPr="00D275F9">
              <w:rPr>
                <w:rFonts w:asciiTheme="minorHAnsi" w:hAnsiTheme="minorHAnsi" w:cstheme="minorHAnsi"/>
                <w:sz w:val="20"/>
                <w:szCs w:val="20"/>
              </w:rPr>
              <w:fldChar w:fldCharType="begin"/>
            </w:r>
            <w:r w:rsidRPr="00D275F9">
              <w:rPr>
                <w:rFonts w:asciiTheme="minorHAnsi" w:hAnsiTheme="minorHAnsi" w:cstheme="minorHAnsi"/>
                <w:sz w:val="20"/>
                <w:szCs w:val="20"/>
              </w:rPr>
              <w:instrText xml:space="preserve"> ADDIN ZOTERO_ITEM CSL_CITATION {"citationID":"sG3lWvcR","properties":{"formattedCitation":"[20]","plainCitation":"[20]","noteIndex":0},"citationItems":[{"id":5448,"uris":["http://zotero.org/groups/2688840/items/QMNMCEA3"],"itemData":{"id":5448,"type":"article-journal","abstract":"Abstract\n            \n              Background\n              Intravenous fluid therapy represents the most common intervention critically ill patients are exposed to. Hyperchloremia and metabolic acidosis associated with 0.9% sodium chloride have been observed to lead to worse outcomes, including mortality. Balanced solutions, such as Plasma-Lyte 148 and Compound Sodium Lactate, represent potential alternatives but the evidence on optimal fluid choices in critically ill children remains scarce. This study aims to demonstrate whether balanced solutions, when used as intravenous fluid therapy, are able to reduce the incidence of a rise in serum chloride level compared to 0.9% sodium chloride in critically ill children.\n            \n            \n              Methods\n              \n                This is a single-centre, open-label randomized controlled trial with parallel 1:1:1 assignment into three groups: 0.9% sodium chloride, Plasma-Lyte 148, and Compound Sodium Lactate solutions for intravenous fluid therapy. The intervention includes both maintenance and bolus fluid therapy. Children aged &lt; 16 years admitted to intensive care and receiving intravenous fluid therapy during the first 4 h of admission are eligible. The primary outcome measure is a ≥ 5mmol/L increase in serum chloride level within 48 h post-randomization. The enrolment target is 480 patients. The main analyses will be\n                intention-to-treat\n                .\n              \n            \n            \n              Discussion\n              This study tests three types of intravenous fluid therapy in order to compare the risk of hyperchloremia associated with normal saline versus balanced solutions. This pragmatic study is thereby assessing the most common intervention in paediatric critical care.\n              This is a single-centre open-label study with no blinding at the level of delivery of the intervention. Certain paediatric intensive care unit (PICU) patient groups such as those admitted with a cardiac condition or following a traumatic brain injury are excluded from this study.\n            \n            \n              Trial registration\n              \n                The study has received ethical approval (HREC/19/QCHQ/53177: 06/06/2019). It is registered in the Australian New Zealand Clinical Trials Registry (\n                ACTRN12619001244190\n                ) from 9th September 2019. Recruitment commenced on 12th November 2019. The primary results manuscript will be published in a peer-reviewed journal.","container-title":"Trials","DOI":"10.1186/s13063-021-05376-5","ISSN":"1745-6215","issue":"1","journalAbbreviation":"Trials","language":"en","page":"427","source":"DOI.org (Crossref)","title":"0.9% Sodium chloride solution versus Plasma-Lyte 148 versus compound sodium lacTate solution in children admitted to PICU—a randomized controlled trial (SPLYT-P): study protocol for an intravenous fluid therapy trial","title-short":"0.9% Sodium chloride solution versus Plasma-Lyte 148 versus compound sodium lacTate solution in children admitted to PICU—a randomized controlled trial (SPLYT-P)","volume":"22","author":[{"family":"Raman","given":"Sainath"},{"family":"Schibler","given":"Andreas"},{"family":"Marsney","given":"Renate Le"},{"family":"Trnka","given":"Peter"},{"family":"Kennedy","given":"Melanie"},{"family":"Mattke","given":"Adrian"},{"family":"Gibbons","given":"Kristen"},{"family":"Schlapbach","given":"Luregn J."}],"issued":{"date-parts":[["2021",12]]}}}],"schema":"https://github.com/citation-style-language/schema/raw/master/csl-citation.json"} </w:instrText>
            </w:r>
            <w:r w:rsidRPr="00D275F9">
              <w:rPr>
                <w:rFonts w:asciiTheme="minorHAnsi" w:hAnsiTheme="minorHAnsi" w:cstheme="minorHAnsi"/>
                <w:sz w:val="20"/>
                <w:szCs w:val="20"/>
              </w:rPr>
              <w:fldChar w:fldCharType="separate"/>
            </w:r>
            <w:r w:rsidRPr="00D275F9">
              <w:rPr>
                <w:rFonts w:asciiTheme="minorHAnsi" w:hAnsiTheme="minorHAnsi" w:cstheme="minorHAnsi"/>
                <w:sz w:val="20"/>
                <w:szCs w:val="20"/>
              </w:rPr>
              <w:t>[20]</w:t>
            </w:r>
            <w:r w:rsidRPr="00D275F9">
              <w:rPr>
                <w:rFonts w:asciiTheme="minorHAnsi" w:hAnsiTheme="minorHAnsi" w:cstheme="minorHAnsi"/>
                <w:sz w:val="20"/>
                <w:szCs w:val="20"/>
              </w:rPr>
              <w:fldChar w:fldCharType="end"/>
            </w:r>
          </w:p>
          <w:p w14:paraId="5356E1C4" w14:textId="77777777" w:rsidR="00B1006E"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2021</w:t>
            </w:r>
          </w:p>
          <w:p w14:paraId="471FF8BE" w14:textId="77777777" w:rsidR="00B1006E" w:rsidRPr="00D275F9" w:rsidRDefault="00B1006E" w:rsidP="00662D94">
            <w:pPr>
              <w:rPr>
                <w:rFonts w:asciiTheme="minorHAnsi" w:hAnsiTheme="minorHAnsi" w:cstheme="minorHAnsi"/>
                <w:sz w:val="20"/>
                <w:szCs w:val="20"/>
              </w:rPr>
            </w:pPr>
            <w:r>
              <w:rPr>
                <w:rFonts w:asciiTheme="minorHAnsi" w:hAnsiTheme="minorHAnsi" w:cstheme="minorHAnsi"/>
                <w:sz w:val="20"/>
                <w:szCs w:val="20"/>
              </w:rPr>
              <w:t>§</w:t>
            </w:r>
          </w:p>
        </w:tc>
        <w:tc>
          <w:tcPr>
            <w:tcW w:w="2977" w:type="dxa"/>
          </w:tcPr>
          <w:p w14:paraId="30965C7A" w14:textId="77777777" w:rsidR="00B1006E" w:rsidRPr="00D275F9" w:rsidRDefault="00B1006E" w:rsidP="00662D94">
            <w:pPr>
              <w:rPr>
                <w:rFonts w:asciiTheme="minorHAnsi" w:hAnsiTheme="minorHAnsi" w:cstheme="minorHAnsi"/>
                <w:sz w:val="20"/>
                <w:szCs w:val="20"/>
                <w:u w:val="single"/>
              </w:rPr>
            </w:pPr>
            <w:r w:rsidRPr="00D275F9">
              <w:rPr>
                <w:rFonts w:asciiTheme="minorHAnsi" w:hAnsiTheme="minorHAnsi" w:cstheme="minorHAnsi"/>
                <w:sz w:val="20"/>
                <w:szCs w:val="20"/>
                <w:u w:val="single"/>
              </w:rPr>
              <w:t>PICO3</w:t>
            </w:r>
          </w:p>
          <w:p w14:paraId="13668ACA"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Comparison between IV-MFT with Plasma-</w:t>
            </w:r>
            <w:proofErr w:type="spellStart"/>
            <w:r w:rsidRPr="00D275F9">
              <w:rPr>
                <w:rFonts w:asciiTheme="minorHAnsi" w:hAnsiTheme="minorHAnsi" w:cstheme="minorHAnsi"/>
                <w:sz w:val="20"/>
                <w:szCs w:val="20"/>
              </w:rPr>
              <w:t>Lyte</w:t>
            </w:r>
            <w:proofErr w:type="spellEnd"/>
            <w:r w:rsidRPr="00D275F9">
              <w:rPr>
                <w:rFonts w:asciiTheme="minorHAnsi" w:hAnsiTheme="minorHAnsi" w:cstheme="minorHAnsi"/>
                <w:sz w:val="20"/>
                <w:szCs w:val="20"/>
              </w:rPr>
              <w:t xml:space="preserve"> vs 0.9% Sodium chloride solution vs compound sodium Lactate solution</w:t>
            </w:r>
          </w:p>
        </w:tc>
        <w:tc>
          <w:tcPr>
            <w:tcW w:w="2693" w:type="dxa"/>
          </w:tcPr>
          <w:p w14:paraId="5FE73262" w14:textId="77777777" w:rsidR="00B1006E" w:rsidRDefault="00B1006E" w:rsidP="00662D94">
            <w:pPr>
              <w:rPr>
                <w:rFonts w:asciiTheme="minorHAnsi" w:hAnsiTheme="minorHAnsi" w:cstheme="minorHAnsi"/>
                <w:sz w:val="20"/>
                <w:szCs w:val="20"/>
              </w:rPr>
            </w:pPr>
            <w:r>
              <w:rPr>
                <w:rFonts w:asciiTheme="minorHAnsi" w:hAnsiTheme="minorHAnsi" w:cstheme="minorHAnsi"/>
                <w:sz w:val="20"/>
                <w:szCs w:val="20"/>
              </w:rPr>
              <w:t>O</w:t>
            </w:r>
            <w:r w:rsidRPr="00D275F9">
              <w:rPr>
                <w:rFonts w:asciiTheme="minorHAnsi" w:hAnsiTheme="minorHAnsi" w:cstheme="minorHAnsi"/>
                <w:sz w:val="20"/>
                <w:szCs w:val="20"/>
              </w:rPr>
              <w:t>pen-label three-arm RCT (protocol publication)</w:t>
            </w:r>
          </w:p>
          <w:p w14:paraId="4384D2FC"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Single centre</w:t>
            </w:r>
          </w:p>
          <w:p w14:paraId="599EF146"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Australia</w:t>
            </w:r>
          </w:p>
          <w:p w14:paraId="419B0191"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Started on November 2019</w:t>
            </w:r>
          </w:p>
        </w:tc>
        <w:tc>
          <w:tcPr>
            <w:tcW w:w="2552" w:type="dxa"/>
          </w:tcPr>
          <w:p w14:paraId="7297EA2B"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Aimed  480 children under 16 years of age admitted to the PICU</w:t>
            </w:r>
          </w:p>
        </w:tc>
        <w:tc>
          <w:tcPr>
            <w:tcW w:w="5670" w:type="dxa"/>
          </w:tcPr>
          <w:p w14:paraId="48FF734C" w14:textId="77777777" w:rsidR="00B1006E" w:rsidRPr="00D275F9" w:rsidRDefault="00B1006E" w:rsidP="00662D94">
            <w:pPr>
              <w:rPr>
                <w:rFonts w:asciiTheme="minorHAnsi" w:hAnsiTheme="minorHAnsi" w:cstheme="minorHAnsi"/>
                <w:sz w:val="20"/>
                <w:szCs w:val="20"/>
              </w:rPr>
            </w:pPr>
            <w:r>
              <w:rPr>
                <w:rFonts w:asciiTheme="minorHAnsi" w:hAnsiTheme="minorHAnsi" w:cstheme="minorHAnsi"/>
                <w:sz w:val="20"/>
                <w:szCs w:val="20"/>
              </w:rPr>
              <w:t xml:space="preserve">Ongoing </w:t>
            </w:r>
            <w:proofErr w:type="gramStart"/>
            <w:r>
              <w:rPr>
                <w:rFonts w:asciiTheme="minorHAnsi" w:hAnsiTheme="minorHAnsi" w:cstheme="minorHAnsi"/>
                <w:sz w:val="20"/>
                <w:szCs w:val="20"/>
              </w:rPr>
              <w:t>trial :</w:t>
            </w:r>
            <w:proofErr w:type="gramEnd"/>
            <w:r>
              <w:rPr>
                <w:rFonts w:asciiTheme="minorHAnsi" w:hAnsiTheme="minorHAnsi" w:cstheme="minorHAnsi"/>
                <w:sz w:val="20"/>
                <w:szCs w:val="20"/>
              </w:rPr>
              <w:t xml:space="preserve"> </w:t>
            </w:r>
            <w:r w:rsidRPr="00D275F9">
              <w:rPr>
                <w:rFonts w:asciiTheme="minorHAnsi" w:hAnsiTheme="minorHAnsi" w:cstheme="minorHAnsi"/>
                <w:sz w:val="20"/>
                <w:szCs w:val="20"/>
              </w:rPr>
              <w:t>Primary outcome: increase in serum chloride ≥ 5mmol/L within 48 h post admission.</w:t>
            </w:r>
          </w:p>
          <w:p w14:paraId="0AF7183C" w14:textId="77777777" w:rsidR="00B1006E" w:rsidRPr="00D275F9" w:rsidRDefault="00B1006E" w:rsidP="00662D94">
            <w:pPr>
              <w:rPr>
                <w:rFonts w:asciiTheme="minorHAnsi" w:hAnsiTheme="minorHAnsi" w:cstheme="minorHAnsi"/>
                <w:sz w:val="20"/>
                <w:szCs w:val="20"/>
              </w:rPr>
            </w:pPr>
          </w:p>
        </w:tc>
      </w:tr>
      <w:tr w:rsidR="00B1006E" w:rsidRPr="00D275F9" w14:paraId="53C75387" w14:textId="77777777" w:rsidTr="00662D94">
        <w:tc>
          <w:tcPr>
            <w:tcW w:w="1843" w:type="dxa"/>
          </w:tcPr>
          <w:p w14:paraId="197A254E" w14:textId="77777777" w:rsidR="00B1006E" w:rsidRPr="00D275F9" w:rsidRDefault="00B1006E" w:rsidP="00662D94">
            <w:pPr>
              <w:rPr>
                <w:rFonts w:asciiTheme="minorHAnsi" w:hAnsiTheme="minorHAnsi" w:cstheme="minorHAnsi"/>
                <w:sz w:val="20"/>
                <w:szCs w:val="20"/>
              </w:rPr>
            </w:pPr>
            <w:proofErr w:type="spellStart"/>
            <w:r w:rsidRPr="00D275F9">
              <w:rPr>
                <w:rFonts w:asciiTheme="minorHAnsi" w:hAnsiTheme="minorHAnsi" w:cstheme="minorHAnsi"/>
                <w:sz w:val="20"/>
                <w:szCs w:val="20"/>
              </w:rPr>
              <w:t>Rewers</w:t>
            </w:r>
            <w:proofErr w:type="spellEnd"/>
            <w:r w:rsidRPr="00D275F9">
              <w:rPr>
                <w:rFonts w:asciiTheme="minorHAnsi" w:hAnsiTheme="minorHAnsi" w:cstheme="minorHAnsi"/>
                <w:sz w:val="20"/>
                <w:szCs w:val="20"/>
              </w:rPr>
              <w:t xml:space="preserve"> et al. </w:t>
            </w:r>
            <w:r w:rsidRPr="00D275F9">
              <w:rPr>
                <w:rFonts w:asciiTheme="minorHAnsi" w:hAnsiTheme="minorHAnsi" w:cstheme="minorHAnsi"/>
                <w:sz w:val="20"/>
                <w:szCs w:val="20"/>
              </w:rPr>
              <w:fldChar w:fldCharType="begin"/>
            </w:r>
            <w:r w:rsidRPr="00D275F9">
              <w:rPr>
                <w:rFonts w:asciiTheme="minorHAnsi" w:hAnsiTheme="minorHAnsi" w:cstheme="minorHAnsi"/>
                <w:sz w:val="20"/>
                <w:szCs w:val="20"/>
              </w:rPr>
              <w:instrText xml:space="preserve"> ADDIN ZOTERO_ITEM CSL_CITATION {"citationID":"XWRPfV6W","properties":{"formattedCitation":"[21]","plainCitation":"[21]","noteIndex":0},"citationItems":[{"id":5385,"uris":["http://zotero.org/groups/2688840/items/4W9V45WT"],"itemData":{"id":5385,"type":"article-journal","abstract":"OBJECTIVE Fluid replacement to correct dehydration, acidosis, and electrolyte abnormalities is the cornerstone of treatment for diabetic ketoacidosis (DKA), but little is known about optimal ﬂuid infusion rates and electrolyte content. The objective of this study was to evaluate whether different ﬂuid protocols affect the rate of normalization of biochemical derangements during DKA treatment. RESEARCH DESIGN AND METHODS The current analysis involved moderate or severe DKA episodes (n = 714) in children age &lt;18 years enrolled in the Fluid Therapies Under Investigation in DKA (FLUID) Trial. Children were assigned to one of four treatment groups using a 2 Â 2 factorial design (0.90% or 0.45% saline and fast or slow rate of administration).\nRESULTS The rate of change of pH did not differ by treatment arm, but PCO2 increased more rapidly in the fast versus slow ﬂuid infusion arms during the initial 4 h of treatment. The anion gap also decreased more rapidly in the fast versus slow infusion arms during the initial 4 and 8 h. Glucose-corrected sodium levels remained stable in patients assigned to 0.90% saline but decreased in those assigned to 0.45% saline at 4 and 8 h. Potassium levels decreased, while chloride levels increased more rapidly with 0.90% versus 0.45% saline. Hyperchloremic acidosis occurred more frequently in patients in the fast arms (46.1%) versus the slow arms (35.2%).\nCONCLUSIONS In children treated for DKA, faster ﬂuid administration rates led to a more rapid normalization of anion gap and PCO2 than slower ﬂuid infusion rates but were associated with an increased frequency of hyperchloremic acidosis.","container-title":"Diabetes Care","DOI":"10.2337/dc20-3113","ISSN":"0149-5992, 1935-5548","issue":"9","language":"en","page":"2061-2068","source":"DOI.org (Crossref)","title":"Effects of Fluid Rehydration Strategy on Correction of Acidosis and Electrolyte Abnormalities in Children With Diabetic Ketoacidosis","volume":"44","author":[{"family":"Rewers","given":"Arleta"},{"family":"Kuppermann","given":"Nathan"},{"family":"Stoner","given":"Michael J."},{"family":"Garro","given":"Aris"},{"family":"Bennett","given":"Jonathan E."},{"family":"Quayle","given":"Kimberly S."},{"family":"Schunk","given":"Jeffrey E."},{"family":"Myers","given":"Sage R."},{"family":"McManemy","given":"Julie K."},{"family":"Nigrovic","given":"Lise E."},{"family":"Trainor","given":"Jennifer L."},{"family":"Tzimenatos","given":"Leah"},{"family":"Kwok","given":"Maria Y."},{"family":"Brown","given":"Kathleen M."},{"family":"Olsen","given":"Cody S."},{"family":"Casper","given":"T. Charles"},{"family":"Ghetti","given":"Simona"},{"family":"Glaser","given":"Nicole S."},{"literal":"the Pediatric Emergency Care Applied Research Network (PECARN) FLUID Study Group"}],"issued":{"date-parts":[["2021",9,1]]}}}],"schema":"https://github.com/citation-style-language/schema/raw/master/csl-citation.json"} </w:instrText>
            </w:r>
            <w:r w:rsidRPr="00D275F9">
              <w:rPr>
                <w:rFonts w:asciiTheme="minorHAnsi" w:hAnsiTheme="minorHAnsi" w:cstheme="minorHAnsi"/>
                <w:sz w:val="20"/>
                <w:szCs w:val="20"/>
              </w:rPr>
              <w:fldChar w:fldCharType="separate"/>
            </w:r>
            <w:r w:rsidRPr="00D275F9">
              <w:rPr>
                <w:rFonts w:asciiTheme="minorHAnsi" w:hAnsiTheme="minorHAnsi" w:cstheme="minorHAnsi"/>
                <w:sz w:val="20"/>
                <w:szCs w:val="20"/>
              </w:rPr>
              <w:t>[21]</w:t>
            </w:r>
            <w:r w:rsidRPr="00D275F9">
              <w:rPr>
                <w:rFonts w:asciiTheme="minorHAnsi" w:hAnsiTheme="minorHAnsi" w:cstheme="minorHAnsi"/>
                <w:sz w:val="20"/>
                <w:szCs w:val="20"/>
              </w:rPr>
              <w:fldChar w:fldCharType="end"/>
            </w:r>
          </w:p>
          <w:p w14:paraId="7DF5DF60"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2021</w:t>
            </w:r>
          </w:p>
        </w:tc>
        <w:tc>
          <w:tcPr>
            <w:tcW w:w="2977" w:type="dxa"/>
          </w:tcPr>
          <w:p w14:paraId="5C874EFF" w14:textId="77777777" w:rsidR="00B1006E" w:rsidRPr="00D275F9" w:rsidRDefault="00B1006E" w:rsidP="00662D94">
            <w:pPr>
              <w:rPr>
                <w:rFonts w:asciiTheme="minorHAnsi" w:hAnsiTheme="minorHAnsi" w:cstheme="minorHAnsi"/>
                <w:sz w:val="20"/>
                <w:szCs w:val="20"/>
                <w:u w:val="single"/>
              </w:rPr>
            </w:pPr>
            <w:r w:rsidRPr="00D275F9">
              <w:rPr>
                <w:rFonts w:asciiTheme="minorHAnsi" w:hAnsiTheme="minorHAnsi" w:cstheme="minorHAnsi"/>
                <w:sz w:val="20"/>
                <w:szCs w:val="20"/>
                <w:u w:val="single"/>
              </w:rPr>
              <w:t>PICO 2, PICO 4</w:t>
            </w:r>
          </w:p>
          <w:p w14:paraId="4DEE86D8"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 xml:space="preserve">Comparison between IV-MFT with isotonic fluids (sodium </w:t>
            </w:r>
            <w:r w:rsidRPr="00D275F9">
              <w:rPr>
                <w:rFonts w:asciiTheme="minorHAnsi" w:hAnsiTheme="minorHAnsi" w:cstheme="minorHAnsi"/>
                <w:sz w:val="20"/>
                <w:szCs w:val="20"/>
              </w:rPr>
              <w:lastRenderedPageBreak/>
              <w:t>chloride solutions 0.9%) to hypotonic fluids (0.45%)</w:t>
            </w:r>
          </w:p>
        </w:tc>
        <w:tc>
          <w:tcPr>
            <w:tcW w:w="2693" w:type="dxa"/>
          </w:tcPr>
          <w:p w14:paraId="52B7F01F" w14:textId="77777777" w:rsidR="00B1006E" w:rsidRPr="00D275F9" w:rsidRDefault="00B1006E" w:rsidP="00662D94">
            <w:pPr>
              <w:spacing w:line="259" w:lineRule="auto"/>
              <w:rPr>
                <w:rFonts w:asciiTheme="minorHAnsi" w:hAnsiTheme="minorHAnsi" w:cstheme="minorHAnsi"/>
                <w:sz w:val="20"/>
                <w:szCs w:val="20"/>
              </w:rPr>
            </w:pPr>
            <w:r w:rsidRPr="00D275F9">
              <w:rPr>
                <w:rFonts w:asciiTheme="minorHAnsi" w:hAnsiTheme="minorHAnsi" w:cstheme="minorHAnsi"/>
                <w:sz w:val="20"/>
                <w:szCs w:val="20"/>
              </w:rPr>
              <w:lastRenderedPageBreak/>
              <w:t xml:space="preserve">Retrospective cohort , post hoc analysis of data from PECARN FLUID trial </w:t>
            </w:r>
          </w:p>
          <w:p w14:paraId="7583C56D" w14:textId="77777777" w:rsidR="00B1006E" w:rsidRPr="00D275F9" w:rsidRDefault="00B1006E" w:rsidP="00662D94">
            <w:pPr>
              <w:spacing w:line="259" w:lineRule="auto"/>
              <w:rPr>
                <w:rFonts w:asciiTheme="minorHAnsi" w:hAnsiTheme="minorHAnsi" w:cstheme="minorHAnsi"/>
                <w:sz w:val="20"/>
                <w:szCs w:val="20"/>
              </w:rPr>
            </w:pPr>
            <w:r w:rsidRPr="00D275F9">
              <w:rPr>
                <w:rFonts w:asciiTheme="minorHAnsi" w:hAnsiTheme="minorHAnsi" w:cstheme="minorHAnsi"/>
                <w:sz w:val="20"/>
                <w:szCs w:val="20"/>
              </w:rPr>
              <w:t>Multicentre</w:t>
            </w:r>
          </w:p>
          <w:p w14:paraId="5B39E394" w14:textId="77777777" w:rsidR="00B1006E" w:rsidRPr="00D275F9" w:rsidRDefault="00B1006E" w:rsidP="00662D94">
            <w:pPr>
              <w:spacing w:line="259" w:lineRule="auto"/>
              <w:rPr>
                <w:rFonts w:asciiTheme="minorHAnsi" w:hAnsiTheme="minorHAnsi" w:cstheme="minorHAnsi"/>
                <w:sz w:val="20"/>
                <w:szCs w:val="20"/>
              </w:rPr>
            </w:pPr>
            <w:r w:rsidRPr="00D275F9">
              <w:rPr>
                <w:rFonts w:asciiTheme="minorHAnsi" w:hAnsiTheme="minorHAnsi" w:cstheme="minorHAnsi"/>
                <w:sz w:val="20"/>
                <w:szCs w:val="20"/>
              </w:rPr>
              <w:lastRenderedPageBreak/>
              <w:t>USA</w:t>
            </w:r>
          </w:p>
          <w:p w14:paraId="56DC7DB4"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From February 2011</w:t>
            </w:r>
          </w:p>
          <w:p w14:paraId="63CF5388" w14:textId="77777777" w:rsidR="00B1006E" w:rsidRPr="00D275F9" w:rsidRDefault="00B1006E" w:rsidP="00662D94">
            <w:pPr>
              <w:spacing w:line="259" w:lineRule="auto"/>
              <w:rPr>
                <w:rFonts w:asciiTheme="minorHAnsi" w:hAnsiTheme="minorHAnsi" w:cstheme="minorHAnsi"/>
                <w:sz w:val="20"/>
                <w:szCs w:val="20"/>
              </w:rPr>
            </w:pPr>
            <w:r w:rsidRPr="00D275F9">
              <w:rPr>
                <w:rFonts w:asciiTheme="minorHAnsi" w:hAnsiTheme="minorHAnsi" w:cstheme="minorHAnsi"/>
                <w:sz w:val="20"/>
                <w:szCs w:val="20"/>
              </w:rPr>
              <w:t>to September 2016</w:t>
            </w:r>
          </w:p>
        </w:tc>
        <w:tc>
          <w:tcPr>
            <w:tcW w:w="2552" w:type="dxa"/>
          </w:tcPr>
          <w:p w14:paraId="23C46CE3"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lastRenderedPageBreak/>
              <w:t>714 moderate to severe DKA children &lt; 18 years of age</w:t>
            </w:r>
          </w:p>
        </w:tc>
        <w:tc>
          <w:tcPr>
            <w:tcW w:w="5670" w:type="dxa"/>
          </w:tcPr>
          <w:p w14:paraId="41920A32"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 xml:space="preserve">Assignment to the 0.45% </w:t>
            </w:r>
            <w:proofErr w:type="spellStart"/>
            <w:r w:rsidRPr="00D275F9">
              <w:rPr>
                <w:rFonts w:asciiTheme="minorHAnsi" w:hAnsiTheme="minorHAnsi" w:cstheme="minorHAnsi"/>
                <w:sz w:val="20"/>
                <w:szCs w:val="20"/>
              </w:rPr>
              <w:t>NaCl</w:t>
            </w:r>
            <w:proofErr w:type="spellEnd"/>
            <w:r w:rsidRPr="00D275F9">
              <w:rPr>
                <w:rFonts w:asciiTheme="minorHAnsi" w:hAnsiTheme="minorHAnsi" w:cstheme="minorHAnsi"/>
                <w:sz w:val="20"/>
                <w:szCs w:val="20"/>
              </w:rPr>
              <w:t xml:space="preserve"> treatment arm was significantly associated with declines in glucose-corrected sodium concentrations and chloride levels.</w:t>
            </w:r>
          </w:p>
          <w:p w14:paraId="1A9DEFD1"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lastRenderedPageBreak/>
              <w:t xml:space="preserve">Assignment to the 0.9% </w:t>
            </w:r>
            <w:proofErr w:type="spellStart"/>
            <w:r w:rsidRPr="00D275F9">
              <w:rPr>
                <w:rFonts w:asciiTheme="minorHAnsi" w:hAnsiTheme="minorHAnsi" w:cstheme="minorHAnsi"/>
                <w:sz w:val="20"/>
                <w:szCs w:val="20"/>
              </w:rPr>
              <w:t>NaCl</w:t>
            </w:r>
            <w:proofErr w:type="spellEnd"/>
            <w:r w:rsidRPr="00D275F9">
              <w:rPr>
                <w:rFonts w:asciiTheme="minorHAnsi" w:hAnsiTheme="minorHAnsi" w:cstheme="minorHAnsi"/>
                <w:sz w:val="20"/>
                <w:szCs w:val="20"/>
              </w:rPr>
              <w:t xml:space="preserve"> treatment arm was significantly associated with declines in pH and potassium levels</w:t>
            </w:r>
          </w:p>
          <w:p w14:paraId="3805DBA0" w14:textId="77777777" w:rsidR="00B1006E" w:rsidRPr="00D275F9" w:rsidRDefault="00B1006E" w:rsidP="00662D94">
            <w:pPr>
              <w:rPr>
                <w:rFonts w:asciiTheme="minorHAnsi" w:hAnsiTheme="minorHAnsi" w:cstheme="minorHAnsi"/>
                <w:sz w:val="20"/>
                <w:szCs w:val="20"/>
              </w:rPr>
            </w:pPr>
          </w:p>
        </w:tc>
      </w:tr>
      <w:tr w:rsidR="00B1006E" w:rsidRPr="00D275F9" w14:paraId="546E1C3B" w14:textId="77777777" w:rsidTr="00662D94">
        <w:tc>
          <w:tcPr>
            <w:tcW w:w="1843" w:type="dxa"/>
          </w:tcPr>
          <w:p w14:paraId="20DC4A0C"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lastRenderedPageBreak/>
              <w:t xml:space="preserve">Shrestha et al. </w:t>
            </w:r>
            <w:r w:rsidRPr="00D275F9">
              <w:rPr>
                <w:rFonts w:asciiTheme="minorHAnsi" w:hAnsiTheme="minorHAnsi" w:cstheme="minorHAnsi"/>
                <w:sz w:val="20"/>
                <w:szCs w:val="20"/>
              </w:rPr>
              <w:fldChar w:fldCharType="begin"/>
            </w:r>
            <w:r w:rsidRPr="00D275F9">
              <w:rPr>
                <w:rFonts w:asciiTheme="minorHAnsi" w:hAnsiTheme="minorHAnsi" w:cstheme="minorHAnsi"/>
                <w:sz w:val="20"/>
                <w:szCs w:val="20"/>
              </w:rPr>
              <w:instrText xml:space="preserve"> ADDIN ZOTERO_ITEM CSL_CITATION {"citationID":"H37uHtoQ","properties":{"formattedCitation":"[22]","plainCitation":"[22]","noteIndex":0},"citationItems":[{"id":5388,"uris":["http://zotero.org/groups/2688840/items/BU3H8HG9"],"itemData":{"id":5388,"type":"article-journal","abstract":"Introduction: Hypotonic solutions in postoperative children may cause hyponatremia. Considering humidity and temperatures in India, this study was conducted to find out the prevalence of hyponatremia among postoperative children who were administered with hypotonic solutions in a tertiary care hospital.\nMethods: A descriptive cross-sectional study was conducted at a tertiary care hospital. Ethical approval was taken from the institutional review board of Christian Medical College, Vellore, India (Reference number: 9177). Children aged less than 15 years undergoing elective surgery, requiring fasting for more than 12 hours post-operatively with normal preoperative electrolytes and renal functions were included. Hypotonic fluids were administered following existent protocol. Electrolytes were repeated immediate postoperatively and at 12-24 hours. Data was entered into and analyzed using the Statistical Package for the Social Sciences version 18.0. Point estimate at 90% Confidence Interval was calculated along with frequency and proportion for binary data.\nResults: Among 109 participants, hyponatremia in the postoperative period was seen in 53 (48.6%) (40.7-56.5 at 90% Confidence Interval) children. Hyponatremia was found in the immediate postoperative period in 10 (9.2%) children. All received Ringer Lactate as maintenance intraoperatively and none were severe enough to need correction. In the 12–24-hour sample, 43 (39.41%) had hyponatremia and none in severe category.\nConclusions: Asymptomatic hyponatremia was noted in normal children planned for elective surgery. Among children managed with the existing institutional perioperative (hypotonic) fluid management protocol, subclinical postoperative hyponatremia within 12-24 hours of surgery was noted in a significant proportion, which was more in the hot and warm months in tropics. There are grounds for switching to isotonic fluids for perioperative management.","container-title":"Journal of Nepal Medical Association","DOI":"10.31729/jnma.7133","ISSN":"1815-672X, 0028-2715","issue":"243","journalAbbreviation":"J Nepal Med Assoc","language":"en","page":"1131-1135","source":"DOI.org (Crossref)","title":"Hyponatremia among Postoperative Children Administered with Hypotonic Fluids in a Tertiary Care Hospital: A Descriptive Cross-sectional Study","title-short":"Hyponatremia among Postoperative Children Administered with Hypotonic Fluids in a Tertiary Care Hospital","volume":"59","author":[{"family":"Shrestha","given":"Ashish Lal"},{"family":"Jehangir","given":"Susan"},{"family":"Thomas","given":"Reju Joseph"}],"issued":{"date-parts":[["2021",11,15]]}}}],"schema":"https://github.com/citation-style-language/schema/raw/master/csl-citation.json"} </w:instrText>
            </w:r>
            <w:r w:rsidRPr="00D275F9">
              <w:rPr>
                <w:rFonts w:asciiTheme="minorHAnsi" w:hAnsiTheme="minorHAnsi" w:cstheme="minorHAnsi"/>
                <w:sz w:val="20"/>
                <w:szCs w:val="20"/>
              </w:rPr>
              <w:fldChar w:fldCharType="separate"/>
            </w:r>
            <w:r w:rsidRPr="00D275F9">
              <w:rPr>
                <w:rFonts w:asciiTheme="minorHAnsi" w:hAnsiTheme="minorHAnsi" w:cstheme="minorHAnsi"/>
                <w:sz w:val="20"/>
                <w:szCs w:val="20"/>
              </w:rPr>
              <w:t>[22]</w:t>
            </w:r>
            <w:r w:rsidRPr="00D275F9">
              <w:rPr>
                <w:rFonts w:asciiTheme="minorHAnsi" w:hAnsiTheme="minorHAnsi" w:cstheme="minorHAnsi"/>
                <w:sz w:val="20"/>
                <w:szCs w:val="20"/>
              </w:rPr>
              <w:fldChar w:fldCharType="end"/>
            </w:r>
          </w:p>
          <w:p w14:paraId="3E116655"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2021</w:t>
            </w:r>
          </w:p>
        </w:tc>
        <w:tc>
          <w:tcPr>
            <w:tcW w:w="2977" w:type="dxa"/>
          </w:tcPr>
          <w:p w14:paraId="3C8F98A8" w14:textId="77777777" w:rsidR="00B1006E" w:rsidRPr="00D275F9" w:rsidRDefault="00B1006E" w:rsidP="00662D94">
            <w:pPr>
              <w:rPr>
                <w:rFonts w:asciiTheme="minorHAnsi" w:hAnsiTheme="minorHAnsi" w:cstheme="minorHAnsi"/>
                <w:sz w:val="20"/>
                <w:szCs w:val="20"/>
                <w:u w:val="single"/>
              </w:rPr>
            </w:pPr>
            <w:r w:rsidRPr="00D275F9">
              <w:rPr>
                <w:rFonts w:asciiTheme="minorHAnsi" w:hAnsiTheme="minorHAnsi" w:cstheme="minorHAnsi"/>
                <w:sz w:val="20"/>
                <w:szCs w:val="20"/>
                <w:u w:val="single"/>
              </w:rPr>
              <w:t>PICO 2</w:t>
            </w:r>
          </w:p>
          <w:p w14:paraId="6BE02D56"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Evaluation of the prevalence</w:t>
            </w:r>
          </w:p>
          <w:p w14:paraId="123820F3"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of hyponatremia among postoperative children</w:t>
            </w:r>
          </w:p>
          <w:p w14:paraId="0E54C28D" w14:textId="77777777" w:rsidR="00B1006E" w:rsidRPr="00D275F9" w:rsidRDefault="00B1006E" w:rsidP="00662D94">
            <w:pPr>
              <w:rPr>
                <w:rFonts w:asciiTheme="minorHAnsi" w:hAnsiTheme="minorHAnsi" w:cstheme="minorHAnsi"/>
                <w:sz w:val="20"/>
                <w:szCs w:val="20"/>
                <w:u w:val="single"/>
              </w:rPr>
            </w:pPr>
            <w:r w:rsidRPr="00D275F9">
              <w:rPr>
                <w:rFonts w:asciiTheme="minorHAnsi" w:hAnsiTheme="minorHAnsi" w:cstheme="minorHAnsi"/>
                <w:sz w:val="20"/>
                <w:szCs w:val="20"/>
              </w:rPr>
              <w:t>administered with hypotonic fluids</w:t>
            </w:r>
          </w:p>
        </w:tc>
        <w:tc>
          <w:tcPr>
            <w:tcW w:w="2693" w:type="dxa"/>
          </w:tcPr>
          <w:p w14:paraId="64B85E82"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descriptive retrospective  cross-sectional study</w:t>
            </w:r>
          </w:p>
          <w:p w14:paraId="100E7F6A"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Single centre</w:t>
            </w:r>
          </w:p>
          <w:p w14:paraId="173AC559"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Nepal</w:t>
            </w:r>
          </w:p>
          <w:p w14:paraId="44B1B7E1"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From January 2015 to December 2016</w:t>
            </w:r>
          </w:p>
        </w:tc>
        <w:tc>
          <w:tcPr>
            <w:tcW w:w="2552" w:type="dxa"/>
          </w:tcPr>
          <w:p w14:paraId="70E816B1"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109 Children aged less than 15 years undergoing elective surgery,</w:t>
            </w:r>
            <w:r>
              <w:rPr>
                <w:rFonts w:asciiTheme="minorHAnsi" w:hAnsiTheme="minorHAnsi" w:cstheme="minorHAnsi"/>
                <w:sz w:val="20"/>
                <w:szCs w:val="20"/>
              </w:rPr>
              <w:t xml:space="preserve"> </w:t>
            </w:r>
            <w:r w:rsidRPr="00D275F9">
              <w:rPr>
                <w:rFonts w:asciiTheme="minorHAnsi" w:hAnsiTheme="minorHAnsi" w:cstheme="minorHAnsi"/>
                <w:sz w:val="20"/>
                <w:szCs w:val="20"/>
              </w:rPr>
              <w:t>requiring fasting for more than 12 hours</w:t>
            </w:r>
          </w:p>
          <w:p w14:paraId="12BB69FB" w14:textId="77777777" w:rsidR="00B1006E" w:rsidRPr="00D275F9" w:rsidRDefault="00B1006E" w:rsidP="00662D94">
            <w:pPr>
              <w:rPr>
                <w:rFonts w:asciiTheme="minorHAnsi" w:hAnsiTheme="minorHAnsi" w:cstheme="minorHAnsi"/>
                <w:sz w:val="20"/>
                <w:szCs w:val="20"/>
              </w:rPr>
            </w:pPr>
          </w:p>
        </w:tc>
        <w:tc>
          <w:tcPr>
            <w:tcW w:w="5670" w:type="dxa"/>
          </w:tcPr>
          <w:p w14:paraId="3ADD8864"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 xml:space="preserve">Hyponatremia in the postoperative period </w:t>
            </w:r>
            <w:proofErr w:type="gramStart"/>
            <w:r w:rsidRPr="00D275F9">
              <w:rPr>
                <w:rFonts w:asciiTheme="minorHAnsi" w:hAnsiTheme="minorHAnsi" w:cstheme="minorHAnsi"/>
                <w:sz w:val="20"/>
                <w:szCs w:val="20"/>
              </w:rPr>
              <w:t>was seen</w:t>
            </w:r>
            <w:proofErr w:type="gramEnd"/>
            <w:r w:rsidRPr="00D275F9">
              <w:rPr>
                <w:rFonts w:asciiTheme="minorHAnsi" w:hAnsiTheme="minorHAnsi" w:cstheme="minorHAnsi"/>
                <w:sz w:val="20"/>
                <w:szCs w:val="20"/>
              </w:rPr>
              <w:t xml:space="preserve"> in 53 (48.6%) (40.7-56.5 at 90% CI). Asymptomatic Hyponatremia </w:t>
            </w:r>
            <w:proofErr w:type="gramStart"/>
            <w:r w:rsidRPr="00D275F9">
              <w:rPr>
                <w:rFonts w:asciiTheme="minorHAnsi" w:hAnsiTheme="minorHAnsi" w:cstheme="minorHAnsi"/>
                <w:sz w:val="20"/>
                <w:szCs w:val="20"/>
              </w:rPr>
              <w:t>was noted</w:t>
            </w:r>
            <w:proofErr w:type="gramEnd"/>
            <w:r w:rsidRPr="00D275F9">
              <w:rPr>
                <w:rFonts w:asciiTheme="minorHAnsi" w:hAnsiTheme="minorHAnsi" w:cstheme="minorHAnsi"/>
                <w:sz w:val="20"/>
                <w:szCs w:val="20"/>
              </w:rPr>
              <w:t xml:space="preserve"> in normal children planned for elective surgery.</w:t>
            </w:r>
          </w:p>
          <w:p w14:paraId="5FC645BC"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 xml:space="preserve"> </w:t>
            </w:r>
          </w:p>
        </w:tc>
      </w:tr>
      <w:tr w:rsidR="00B1006E" w:rsidRPr="00D275F9" w14:paraId="25302458" w14:textId="77777777" w:rsidTr="00662D94">
        <w:tc>
          <w:tcPr>
            <w:tcW w:w="1843" w:type="dxa"/>
          </w:tcPr>
          <w:p w14:paraId="1F3DE298" w14:textId="77777777" w:rsidR="00B1006E" w:rsidRPr="00D275F9" w:rsidRDefault="00B1006E" w:rsidP="00662D94">
            <w:pPr>
              <w:rPr>
                <w:rFonts w:asciiTheme="minorHAnsi" w:hAnsiTheme="minorHAnsi" w:cstheme="minorHAnsi"/>
                <w:sz w:val="20"/>
                <w:szCs w:val="20"/>
              </w:rPr>
            </w:pPr>
            <w:proofErr w:type="spellStart"/>
            <w:r w:rsidRPr="00D275F9">
              <w:rPr>
                <w:rFonts w:asciiTheme="minorHAnsi" w:hAnsiTheme="minorHAnsi" w:cstheme="minorHAnsi"/>
                <w:sz w:val="20"/>
                <w:szCs w:val="20"/>
              </w:rPr>
              <w:t>Tuzun</w:t>
            </w:r>
            <w:proofErr w:type="spellEnd"/>
            <w:r w:rsidRPr="00D275F9">
              <w:rPr>
                <w:rFonts w:asciiTheme="minorHAnsi" w:hAnsiTheme="minorHAnsi" w:cstheme="minorHAnsi"/>
                <w:sz w:val="20"/>
                <w:szCs w:val="20"/>
              </w:rPr>
              <w:t xml:space="preserve"> et al. </w:t>
            </w:r>
            <w:r w:rsidRPr="00D275F9">
              <w:rPr>
                <w:rFonts w:asciiTheme="minorHAnsi" w:hAnsiTheme="minorHAnsi" w:cstheme="minorHAnsi"/>
                <w:sz w:val="20"/>
                <w:szCs w:val="20"/>
              </w:rPr>
              <w:fldChar w:fldCharType="begin"/>
            </w:r>
            <w:r w:rsidRPr="00D275F9">
              <w:rPr>
                <w:rFonts w:asciiTheme="minorHAnsi" w:hAnsiTheme="minorHAnsi" w:cstheme="minorHAnsi"/>
                <w:sz w:val="20"/>
                <w:szCs w:val="20"/>
              </w:rPr>
              <w:instrText xml:space="preserve"> ADDIN ZOTERO_ITEM CSL_CITATION {"citationID":"ZKYmBoab","properties":{"formattedCitation":"[23]","plainCitation":"[23]","noteIndex":0},"citationItems":[{"id":5382,"uris":["http://zotero.org/groups/2688840/items/ZDBTKXWS"],"itemData":{"id":5382,"type":"article-journal","abstract":"Objective: Hypotonic fluids have been traditionally used in newborns. National Institute for Health and Clinical Excellence-2015 (NICE) fluid therapy guideline recommends the use of isotonic fluids as maintenance fluid therapy in term newborns. However, there is no clear evidence supporting this recommendation. This study aims to compare isotonic (5% dextrose in 0.9% sodium chloride (NaCl)) and hypotonic (5% dextrose in 0.45% NaCl) parenteral fluid therapies in hospitalized term newborns with regard to changes in plasma Na (pNa) and complications related with fluid therapy.\nMethods: This was a retrospective cohort study performed in a tertiary university hospital NICU between January 2016 and April 2018. Term newborns who were initially isonatremic or mildly dysnatremic (pNa &lt;130 or &gt;155 meq/L) and receiving fluid therapy for maintenance or replacement therapy after 48th postnatal hours were eligible for the study. Infants having specific diagnoses requiring extraordinary fluids were excluded. The primary outcome evaluated was the change in mean plasma Na (DpNa meq/L/h) at 24 h or at the end of intravenous (i.v.) fluid therapy. Secondary outcomes evaluated were the risk of hyponatremia, hypernatremia, and adverse events attributable to fluid administration.\nResults: Among the 108 included newborns, 57 received hypotonic fluid (5% dextrose solution in 0.45% NaCl) and the remaining received isotonic fluid (5% dextrose solution in 0.9% NaCl) therapy. The hypotonic fluid group showed a greater DpNa compared to the isotonic group (0.48 ± 0.28 vs. 0.27 ± 0.21 meq/L/h, p ¼ .001). The risk of experiencing unsafe plasma Na decrease in the hypotonic fluid group (DpNa &gt;0.5 meq/L/h) was higher than the isotonic fluid group (odd ratio: 8.46; 95% confidence interval (CI): 2.3–30.06). Six mildly hypernatremic babies between 48 and 72 h of postnatal age showed insufficient Na reduction despite the appropriate amount of fluid. No significant difference was found between the two groups in terms of other outcomes.\nConclusion: The results of this study suggested that as maintenance or replacement fluid therapy in the newborn, hypotonic fluids, even 5% dextrose in 0.45% NaCl, can lead to unsafe plasma Na decreases in term newborns, while isotonic fluids are safe when started after the first few days of life. Although the results parallel NICE guidelines, before making recommendations regarding the removal of hypotonic fluids entirely from clinical practice in term newborns following the renal adaptation period; larger randomized controlled studies involving a wide range of babies are needed.","container-title":"The Journal of Maternal-Fetal &amp; Neonatal Medicine","DOI":"10.1080/14767058.2020.1718094","ISSN":"1476-7058, 1476-4954","issue":"2","journalAbbreviation":"The Journal of Maternal-Fetal &amp; Neonatal Medicine","language":"en","page":"356-361","source":"DOI.org (Crossref)","title":"Comparison of isotonic and hypotonic intravenous fluids in term newborns: is it time to quit hypotonic fluids","title-short":"Comparison of isotonic and hypotonic intravenous fluids in term newborns","volume":"35","author":[{"family":"Tuzun","given":"Funda"},{"family":"Akcura","given":"Yagmur"},{"family":"Duman","given":"Nuray"},{"family":"Ozkan","given":"Hasan"}],"issued":{"date-parts":[["2022",1,17]]}}}],"schema":"https://github.com/citation-style-language/schema/raw/master/csl-citation.json"} </w:instrText>
            </w:r>
            <w:r w:rsidRPr="00D275F9">
              <w:rPr>
                <w:rFonts w:asciiTheme="minorHAnsi" w:hAnsiTheme="minorHAnsi" w:cstheme="minorHAnsi"/>
                <w:sz w:val="20"/>
                <w:szCs w:val="20"/>
              </w:rPr>
              <w:fldChar w:fldCharType="separate"/>
            </w:r>
            <w:r w:rsidRPr="00D275F9">
              <w:rPr>
                <w:rFonts w:asciiTheme="minorHAnsi" w:hAnsiTheme="minorHAnsi" w:cstheme="minorHAnsi"/>
                <w:sz w:val="20"/>
                <w:szCs w:val="20"/>
              </w:rPr>
              <w:t>[23]</w:t>
            </w:r>
            <w:r w:rsidRPr="00D275F9">
              <w:rPr>
                <w:rFonts w:asciiTheme="minorHAnsi" w:hAnsiTheme="minorHAnsi" w:cstheme="minorHAnsi"/>
                <w:sz w:val="20"/>
                <w:szCs w:val="20"/>
              </w:rPr>
              <w:fldChar w:fldCharType="end"/>
            </w:r>
          </w:p>
          <w:p w14:paraId="242AAEEC"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2022</w:t>
            </w:r>
          </w:p>
        </w:tc>
        <w:tc>
          <w:tcPr>
            <w:tcW w:w="2977" w:type="dxa"/>
          </w:tcPr>
          <w:p w14:paraId="14855513" w14:textId="77777777" w:rsidR="00B1006E" w:rsidRPr="00D275F9" w:rsidRDefault="00B1006E" w:rsidP="00662D94">
            <w:pPr>
              <w:rPr>
                <w:rFonts w:asciiTheme="minorHAnsi" w:hAnsiTheme="minorHAnsi" w:cstheme="minorHAnsi"/>
                <w:sz w:val="20"/>
                <w:szCs w:val="20"/>
                <w:u w:val="single"/>
              </w:rPr>
            </w:pPr>
            <w:r w:rsidRPr="00D275F9">
              <w:rPr>
                <w:rFonts w:asciiTheme="minorHAnsi" w:hAnsiTheme="minorHAnsi" w:cstheme="minorHAnsi"/>
                <w:sz w:val="20"/>
                <w:szCs w:val="20"/>
                <w:u w:val="single"/>
              </w:rPr>
              <w:t>PICO 2</w:t>
            </w:r>
          </w:p>
          <w:p w14:paraId="5A1D7C5D"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 xml:space="preserve">Comparison of IV-MFT with isotonic fluids (5% dextrose in </w:t>
            </w:r>
            <w:proofErr w:type="spellStart"/>
            <w:r w:rsidRPr="00D275F9">
              <w:rPr>
                <w:rFonts w:asciiTheme="minorHAnsi" w:hAnsiTheme="minorHAnsi" w:cstheme="minorHAnsi"/>
                <w:sz w:val="20"/>
                <w:szCs w:val="20"/>
              </w:rPr>
              <w:t>NaCl</w:t>
            </w:r>
            <w:proofErr w:type="spellEnd"/>
            <w:r w:rsidRPr="00D275F9">
              <w:rPr>
                <w:rFonts w:asciiTheme="minorHAnsi" w:hAnsiTheme="minorHAnsi" w:cstheme="minorHAnsi"/>
                <w:sz w:val="20"/>
                <w:szCs w:val="20"/>
              </w:rPr>
              <w:t xml:space="preserve"> 0.9%) to hypotonic fluids (5% dextrose in 0.45% </w:t>
            </w:r>
            <w:proofErr w:type="spellStart"/>
            <w:r w:rsidRPr="00D275F9">
              <w:rPr>
                <w:rFonts w:asciiTheme="minorHAnsi" w:hAnsiTheme="minorHAnsi" w:cstheme="minorHAnsi"/>
                <w:sz w:val="20"/>
                <w:szCs w:val="20"/>
              </w:rPr>
              <w:t>NaCl</w:t>
            </w:r>
            <w:proofErr w:type="spellEnd"/>
            <w:r w:rsidRPr="00D275F9">
              <w:rPr>
                <w:rFonts w:asciiTheme="minorHAnsi" w:hAnsiTheme="minorHAnsi" w:cstheme="minorHAnsi"/>
                <w:sz w:val="20"/>
                <w:szCs w:val="20"/>
              </w:rPr>
              <w:t>)</w:t>
            </w:r>
          </w:p>
        </w:tc>
        <w:tc>
          <w:tcPr>
            <w:tcW w:w="2693" w:type="dxa"/>
          </w:tcPr>
          <w:p w14:paraId="3838DA0C"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A retrospective cohort study</w:t>
            </w:r>
          </w:p>
          <w:p w14:paraId="7811C52A"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Single centre</w:t>
            </w:r>
          </w:p>
          <w:p w14:paraId="5CC5CF0C"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Turkey</w:t>
            </w:r>
          </w:p>
          <w:p w14:paraId="2BA4E3B1"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From January 2016 and April 2018.</w:t>
            </w:r>
          </w:p>
        </w:tc>
        <w:tc>
          <w:tcPr>
            <w:tcW w:w="2552" w:type="dxa"/>
          </w:tcPr>
          <w:p w14:paraId="6FBFB917"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 xml:space="preserve">108 term </w:t>
            </w:r>
            <w:proofErr w:type="spellStart"/>
            <w:r w:rsidRPr="00D275F9">
              <w:rPr>
                <w:rFonts w:asciiTheme="minorHAnsi" w:hAnsiTheme="minorHAnsi" w:cstheme="minorHAnsi"/>
                <w:sz w:val="20"/>
                <w:szCs w:val="20"/>
              </w:rPr>
              <w:t>newborns</w:t>
            </w:r>
            <w:proofErr w:type="spellEnd"/>
            <w:r w:rsidRPr="00D275F9">
              <w:rPr>
                <w:rFonts w:asciiTheme="minorHAnsi" w:hAnsiTheme="minorHAnsi" w:cstheme="minorHAnsi"/>
                <w:sz w:val="20"/>
                <w:szCs w:val="20"/>
              </w:rPr>
              <w:t xml:space="preserve">, </w:t>
            </w:r>
            <w:proofErr w:type="spellStart"/>
            <w:r w:rsidRPr="00D275F9">
              <w:rPr>
                <w:rFonts w:asciiTheme="minorHAnsi" w:hAnsiTheme="minorHAnsi" w:cstheme="minorHAnsi"/>
                <w:sz w:val="20"/>
                <w:szCs w:val="20"/>
              </w:rPr>
              <w:t>isonatremic</w:t>
            </w:r>
            <w:proofErr w:type="spellEnd"/>
            <w:r w:rsidRPr="00D275F9">
              <w:rPr>
                <w:rFonts w:asciiTheme="minorHAnsi" w:hAnsiTheme="minorHAnsi" w:cstheme="minorHAnsi"/>
                <w:sz w:val="20"/>
                <w:szCs w:val="20"/>
              </w:rPr>
              <w:t xml:space="preserve"> or mildly</w:t>
            </w:r>
          </w:p>
          <w:p w14:paraId="292CA59D"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 xml:space="preserve"> </w:t>
            </w:r>
            <w:proofErr w:type="spellStart"/>
            <w:r w:rsidRPr="00D275F9">
              <w:rPr>
                <w:rFonts w:asciiTheme="minorHAnsi" w:hAnsiTheme="minorHAnsi" w:cstheme="minorHAnsi"/>
                <w:sz w:val="20"/>
                <w:szCs w:val="20"/>
              </w:rPr>
              <w:t>dysnatremic</w:t>
            </w:r>
            <w:proofErr w:type="spellEnd"/>
            <w:r w:rsidRPr="00D275F9">
              <w:rPr>
                <w:rFonts w:asciiTheme="minorHAnsi" w:hAnsiTheme="minorHAnsi" w:cstheme="minorHAnsi"/>
                <w:sz w:val="20"/>
                <w:szCs w:val="20"/>
              </w:rPr>
              <w:t xml:space="preserve"> (Na &lt;130 or &gt;155 </w:t>
            </w:r>
            <w:proofErr w:type="spellStart"/>
            <w:r w:rsidRPr="00D275F9">
              <w:rPr>
                <w:rFonts w:asciiTheme="minorHAnsi" w:hAnsiTheme="minorHAnsi" w:cstheme="minorHAnsi"/>
                <w:sz w:val="20"/>
                <w:szCs w:val="20"/>
              </w:rPr>
              <w:t>mEq</w:t>
            </w:r>
            <w:proofErr w:type="spellEnd"/>
            <w:r w:rsidRPr="00D275F9">
              <w:rPr>
                <w:rFonts w:asciiTheme="minorHAnsi" w:hAnsiTheme="minorHAnsi" w:cstheme="minorHAnsi"/>
                <w:sz w:val="20"/>
                <w:szCs w:val="20"/>
              </w:rPr>
              <w:t xml:space="preserve">/L) and receiving fluid therapy for maintenance or replacement therapy after 48th postnatal hours </w:t>
            </w:r>
          </w:p>
        </w:tc>
        <w:tc>
          <w:tcPr>
            <w:tcW w:w="5670" w:type="dxa"/>
          </w:tcPr>
          <w:p w14:paraId="30DA2E0F"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 xml:space="preserve">The hypotonic fluid group showed a greater Na change (0.48 ± 0.28 vs. 0.27 ± 0.21 </w:t>
            </w:r>
            <w:proofErr w:type="spellStart"/>
            <w:r w:rsidRPr="00D275F9">
              <w:rPr>
                <w:rFonts w:asciiTheme="minorHAnsi" w:hAnsiTheme="minorHAnsi" w:cstheme="minorHAnsi"/>
                <w:sz w:val="20"/>
                <w:szCs w:val="20"/>
              </w:rPr>
              <w:t>mEq</w:t>
            </w:r>
            <w:proofErr w:type="spellEnd"/>
            <w:r w:rsidRPr="00D275F9">
              <w:rPr>
                <w:rFonts w:asciiTheme="minorHAnsi" w:hAnsiTheme="minorHAnsi" w:cstheme="minorHAnsi"/>
                <w:sz w:val="20"/>
                <w:szCs w:val="20"/>
              </w:rPr>
              <w:t>/L/h, p= .001).</w:t>
            </w:r>
          </w:p>
          <w:p w14:paraId="3D25CDDD"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 xml:space="preserve">The risk of experiencing unsafe plasma Na decrease in the hypotonic fluid group (Na Change &gt;0.5 </w:t>
            </w:r>
            <w:proofErr w:type="spellStart"/>
            <w:r w:rsidRPr="00D275F9">
              <w:rPr>
                <w:rFonts w:asciiTheme="minorHAnsi" w:hAnsiTheme="minorHAnsi" w:cstheme="minorHAnsi"/>
                <w:sz w:val="20"/>
                <w:szCs w:val="20"/>
              </w:rPr>
              <w:t>mEq</w:t>
            </w:r>
            <w:proofErr w:type="spellEnd"/>
            <w:r w:rsidRPr="00D275F9">
              <w:rPr>
                <w:rFonts w:asciiTheme="minorHAnsi" w:hAnsiTheme="minorHAnsi" w:cstheme="minorHAnsi"/>
                <w:sz w:val="20"/>
                <w:szCs w:val="20"/>
              </w:rPr>
              <w:t xml:space="preserve">/L/h) was higher. </w:t>
            </w:r>
          </w:p>
          <w:p w14:paraId="6E577E02"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Isotonic fluids are safe when started after the first few days of life.</w:t>
            </w:r>
          </w:p>
          <w:p w14:paraId="2D8A140E" w14:textId="77777777" w:rsidR="00B1006E" w:rsidRPr="00D275F9" w:rsidRDefault="00B1006E" w:rsidP="00662D94">
            <w:pPr>
              <w:rPr>
                <w:rFonts w:asciiTheme="minorHAnsi" w:hAnsiTheme="minorHAnsi" w:cstheme="minorHAnsi"/>
                <w:sz w:val="20"/>
                <w:szCs w:val="20"/>
              </w:rPr>
            </w:pPr>
          </w:p>
        </w:tc>
      </w:tr>
      <w:tr w:rsidR="00B1006E" w:rsidRPr="00D275F9" w14:paraId="71660993" w14:textId="77777777" w:rsidTr="00662D94">
        <w:tc>
          <w:tcPr>
            <w:tcW w:w="1843" w:type="dxa"/>
          </w:tcPr>
          <w:p w14:paraId="42EF13D8"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 xml:space="preserve">Weiss et al. </w:t>
            </w:r>
            <w:r w:rsidRPr="00D275F9">
              <w:rPr>
                <w:rFonts w:asciiTheme="minorHAnsi" w:hAnsiTheme="minorHAnsi" w:cstheme="minorHAnsi"/>
                <w:sz w:val="20"/>
                <w:szCs w:val="20"/>
              </w:rPr>
              <w:fldChar w:fldCharType="begin"/>
            </w:r>
            <w:r w:rsidRPr="00D275F9">
              <w:rPr>
                <w:rFonts w:asciiTheme="minorHAnsi" w:hAnsiTheme="minorHAnsi" w:cstheme="minorHAnsi"/>
                <w:sz w:val="20"/>
                <w:szCs w:val="20"/>
              </w:rPr>
              <w:instrText xml:space="preserve"> ADDIN ZOTERO_ITEM CSL_CITATION {"citationID":"yLBuLF3c","properties":{"formattedCitation":"[24]","plainCitation":"[24]","noteIndex":0},"citationItems":[{"id":5380,"uris":["http://zotero.org/groups/2688840/items/5FJVUIZC"],"itemData":{"id":5380,"type":"article-journal","abstract":"Background/aims: Despite evidence that preferential use of balanced/buffered fluids may improve outcomes compared with chloride-rich 0.9% saline, saline remains the most commonly used fluid for children with septic shock. We aim to determine if resuscitation with balanced/buffered fluids as part of usual care will improve outcomes, in part through reduced kidney injury and without an increase in adverse effects, compared to 0.9% saline for children with septic shock.","container-title":"Trials","DOI":"10.1186/s13063-021-05717-4","ISSN":"1745-6215","issue":"1","journalAbbreviation":"Trials","language":"en","page":"776","source":"DOI.org (Crossref)","title":"PRagMatic Pediatric Trial of Balanced vs nOrmaL Saline FlUid in Sepsis: study protocol for the PRoMPT BOLUS randomized interventional trial","title-short":"PRagMatic Pediatric Trial of Balanced vs nOrmaL Saline FlUid in Sepsis","volume":"22","author":[{"family":"Weiss","given":"Scott L."},{"family":"Balamuth","given":"Fran"},{"family":"Long","given":"Elliot"},{"family":"Thompson","given":"Graham C."},{"family":"Hayes","given":"Katie L."},{"family":"Katcoff","given":"Hannah"},{"family":"Cook","given":"Marlena"},{"family":"Tsemberis","given":"Elena"},{"family":"Hickey","given":"Christopher P."},{"family":"Williams","given":"Amanda"},{"family":"Williamson-Urquhart","given":"Sarah"},{"family":"Borland","given":"Meredith L."},{"family":"Dalziel","given":"Stuart R."},{"family":"Gelbart","given":"Ben"},{"family":"Freedman","given":"Stephen B."},{"family":"Babl","given":"Franz E."},{"family":"Huang","given":"Jing"},{"family":"Kuppermann","given":"Nathan"},{"literal":"for the Pragmatic Pediatric Trial of Balanced Versus Normal Saline Fluid in Sepsis (PRoMPT BOLUS) Investigators of the PECARN, PERC, and PREDICT Networks"},{"family":"Long","given":"E."},{"family":"Williams","given":"A."},{"family":"Babl","given":"F."},{"family":"Borland","given":"M."},{"family":"O’Brien","given":"S."},{"family":"Craig","given":"S."},{"family":"Ramaga","given":"E."},{"family":"Kochar","given":"A."},{"family":"Nivea","given":"G."},{"family":"Jani","given":"S."},{"family":"Thosar","given":"D."},{"family":"Rao","given":"A."},{"family":"Phillips","given":"N."},{"family":"George","given":"S."},{"family":"Lithgow","given":"A."},{"family":"Mitchell","given":"C."},{"family":"Thompson","given":"G."},{"family":"Freedman","given":"S."},{"family":"Williamson-Urquhart","given":"S."},{"family":"Gilad","given":"E."},{"family":"Cooke","given":"S."},{"family":"Judge","given":"P."},{"family":"Murthy","given":"S."},{"family":"Kissoon","given":"N."},{"family":"Alqurashi","given":"W."},{"family":"Alnaji","given":"F."},{"family":"Sangha","given":"G."},{"family":"Mater","given":"A."},{"family":"Brashaw","given":"M."},{"family":"Curtis","given":"S."},{"family":"Joffe","given":"A."},{"family":"Shayan","given":"Y."},{"family":"Tucci","given":"M."},{"family":"Gripp","given":"K."},{"family":"Berthelot","given":"S."},{"family":"Weiss","given":"M."},{"family":"Davis","given":"A."},{"family":"Guifoyle","given":"E."},{"family":"Moretti","given":"M."},{"family":"Kam","given":"A."},{"family":"Parker","given":"M."},{"family":"Rochwerg","given":"B."},{"family":"Emsley","given":"J."},{"family":"Verma","given":"N."},{"family":"Sehgal","given":"A."},{"family":"Dalziel","given":"S."},{"family":"Bonisch","given":"M."},{"family":"Tan","given":"E."},{"family":"Neutze","given":"J."},{"family":"Balamuth","given":"F."},{"family":"Weiss","given":"S."},{"family":"Tsemberis","given":"E."},{"family":"Huang","given":"J."},{"family":"Cook","given":"M."},{"family":"Katcoff","given":"H."},{"family":"Hayes","given":"K."},{"family":"Hickey","given":"C."},{"family":"Eisenberg","given":"M."},{"family":"Lewander","given":"D."},{"family":"Morris","given":"C."},{"family":"Hurley","given":"D."},{"family":"Baumer-Mouradian","given":"S."},{"family":"Ambroggio","given":"L."},{"family":"Grice","given":"K."},{"family":"Festekjian","given":"A."},{"family":"Hickey","given":"B."},{"family":"Sada","given":"R."},{"family":"Dodson","given":"J."},{"family":"Badawy","given":"M."},{"family":"Lebel","given":"C."},{"family":"Elliott","given":"M."},{"family":"Koutralis","given":"I."},{"family":"Hom","given":"K."},{"family":"Eckerle","given":"M."},{"family":"Singleton","given":"M."},{"family":"Rogers","given":"A."},{"family":"Cervantes","given":"V."},{"family":"Duffy","given":"S."},{"family":"Bahamon","given":"I."},{"family":"Alpern","given":"L."},{"family":"Sirizi","given":"A."},{"family":"Ahmad","given":"A. Haider"},{"family":"Banegas","given":"A. Rubi"},{"family":"Lloyd","given":"J."},{"family":"DiCostanzo","given":"K."},{"family":"Kwok","given":"M."},{"family":"Ochs","given":"J."},{"family":"Lane","given":"R."},{"family":"Harbour","given":"T."},{"family":"Uspal","given":"N."},{"family":"Cappetto","given":"K."},{"family":"Clukies","given":"L."},{"family":"Robinsonm","given":"D."},{"family":"McManemy","given":"J."},{"family":"Gonzales","given":"V."},{"family":"Vance","given":"C."},{"family":"Kupperman","given":"N."},{"family":"Pimenta","given":"K."},{"family":"Mansour","given":"K."},{"family":"Lavrisha","given":"L."},{"family":"Ramirez","given":"M."},{"family":"Grad","given":"J."}],"issued":{"date-parts":[["2021",12]]}}}],"schema":"https://github.com/citation-style-language/schema/raw/master/csl-citation.json"} </w:instrText>
            </w:r>
            <w:r w:rsidRPr="00D275F9">
              <w:rPr>
                <w:rFonts w:asciiTheme="minorHAnsi" w:hAnsiTheme="minorHAnsi" w:cstheme="minorHAnsi"/>
                <w:sz w:val="20"/>
                <w:szCs w:val="20"/>
              </w:rPr>
              <w:fldChar w:fldCharType="separate"/>
            </w:r>
            <w:r w:rsidRPr="00D275F9">
              <w:rPr>
                <w:rFonts w:asciiTheme="minorHAnsi" w:hAnsiTheme="minorHAnsi" w:cstheme="minorHAnsi"/>
                <w:sz w:val="20"/>
                <w:szCs w:val="20"/>
              </w:rPr>
              <w:t>[24]</w:t>
            </w:r>
            <w:r w:rsidRPr="00D275F9">
              <w:rPr>
                <w:rFonts w:asciiTheme="minorHAnsi" w:hAnsiTheme="minorHAnsi" w:cstheme="minorHAnsi"/>
                <w:sz w:val="20"/>
                <w:szCs w:val="20"/>
              </w:rPr>
              <w:fldChar w:fldCharType="end"/>
            </w:r>
          </w:p>
          <w:p w14:paraId="68D91112" w14:textId="77777777" w:rsidR="00B1006E"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2021</w:t>
            </w:r>
          </w:p>
          <w:p w14:paraId="6A70C3F1" w14:textId="77777777" w:rsidR="00B1006E" w:rsidRPr="00D275F9" w:rsidRDefault="00B1006E" w:rsidP="00662D94">
            <w:pPr>
              <w:rPr>
                <w:rFonts w:asciiTheme="minorHAnsi" w:hAnsiTheme="minorHAnsi" w:cstheme="minorHAnsi"/>
                <w:sz w:val="20"/>
                <w:szCs w:val="20"/>
              </w:rPr>
            </w:pPr>
            <w:r>
              <w:rPr>
                <w:rFonts w:asciiTheme="minorHAnsi" w:hAnsiTheme="minorHAnsi" w:cstheme="minorHAnsi"/>
                <w:sz w:val="20"/>
                <w:szCs w:val="20"/>
              </w:rPr>
              <w:t>§</w:t>
            </w:r>
          </w:p>
        </w:tc>
        <w:tc>
          <w:tcPr>
            <w:tcW w:w="2977" w:type="dxa"/>
          </w:tcPr>
          <w:p w14:paraId="0319DDAE" w14:textId="77777777" w:rsidR="00B1006E" w:rsidRPr="00D275F9" w:rsidRDefault="00B1006E" w:rsidP="00662D94">
            <w:pPr>
              <w:rPr>
                <w:rFonts w:asciiTheme="minorHAnsi" w:hAnsiTheme="minorHAnsi" w:cstheme="minorHAnsi"/>
                <w:sz w:val="20"/>
                <w:szCs w:val="20"/>
                <w:u w:val="single"/>
              </w:rPr>
            </w:pPr>
            <w:r w:rsidRPr="00D275F9">
              <w:rPr>
                <w:rFonts w:asciiTheme="minorHAnsi" w:hAnsiTheme="minorHAnsi" w:cstheme="minorHAnsi"/>
                <w:sz w:val="20"/>
                <w:szCs w:val="20"/>
                <w:u w:val="single"/>
              </w:rPr>
              <w:t>PICO 3</w:t>
            </w:r>
          </w:p>
          <w:p w14:paraId="125A099F"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Comparison  between buffered/</w:t>
            </w:r>
          </w:p>
          <w:p w14:paraId="232FCF17" w14:textId="77777777" w:rsidR="00B1006E" w:rsidRPr="00D275F9" w:rsidRDefault="00B1006E" w:rsidP="00662D94">
            <w:pPr>
              <w:rPr>
                <w:rFonts w:asciiTheme="minorHAnsi" w:hAnsiTheme="minorHAnsi" w:cstheme="minorHAnsi"/>
                <w:sz w:val="20"/>
                <w:szCs w:val="20"/>
                <w:u w:val="single"/>
              </w:rPr>
            </w:pPr>
            <w:r w:rsidRPr="00D275F9">
              <w:rPr>
                <w:rFonts w:asciiTheme="minorHAnsi" w:hAnsiTheme="minorHAnsi" w:cstheme="minorHAnsi"/>
                <w:sz w:val="20"/>
                <w:szCs w:val="20"/>
              </w:rPr>
              <w:t>balanced crystalloids versus 0.9% saline</w:t>
            </w:r>
          </w:p>
        </w:tc>
        <w:tc>
          <w:tcPr>
            <w:tcW w:w="2693" w:type="dxa"/>
          </w:tcPr>
          <w:p w14:paraId="7C2863EB"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International, open-label interventional trial (protocol publication)</w:t>
            </w:r>
          </w:p>
          <w:p w14:paraId="348E21E9"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Multicentre</w:t>
            </w:r>
          </w:p>
          <w:p w14:paraId="4BB7C514"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 xml:space="preserve">USA, Canada, Australia &amp; New Zealand </w:t>
            </w:r>
          </w:p>
          <w:p w14:paraId="64107D82"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Started August 2020</w:t>
            </w:r>
          </w:p>
        </w:tc>
        <w:tc>
          <w:tcPr>
            <w:tcW w:w="2552" w:type="dxa"/>
          </w:tcPr>
          <w:p w14:paraId="67ABDDFC"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Aimed 8800 children &gt; 6 months to &lt; 18 years treated for suspected</w:t>
            </w:r>
          </w:p>
          <w:p w14:paraId="476FECC1"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septic shock in ED</w:t>
            </w:r>
          </w:p>
          <w:p w14:paraId="2BDA8AA5" w14:textId="77777777" w:rsidR="00B1006E" w:rsidRPr="00D275F9" w:rsidRDefault="00B1006E" w:rsidP="00662D94">
            <w:pPr>
              <w:rPr>
                <w:rFonts w:asciiTheme="minorHAnsi" w:hAnsiTheme="minorHAnsi" w:cstheme="minorHAnsi"/>
                <w:sz w:val="20"/>
                <w:szCs w:val="20"/>
              </w:rPr>
            </w:pPr>
          </w:p>
          <w:p w14:paraId="7A05B04F" w14:textId="77777777" w:rsidR="00B1006E" w:rsidRPr="00D275F9" w:rsidRDefault="00B1006E" w:rsidP="00662D94">
            <w:pPr>
              <w:rPr>
                <w:rFonts w:asciiTheme="minorHAnsi" w:hAnsiTheme="minorHAnsi" w:cstheme="minorHAnsi"/>
                <w:sz w:val="20"/>
                <w:szCs w:val="20"/>
              </w:rPr>
            </w:pPr>
          </w:p>
        </w:tc>
        <w:tc>
          <w:tcPr>
            <w:tcW w:w="5670" w:type="dxa"/>
          </w:tcPr>
          <w:p w14:paraId="4749B4C5"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 xml:space="preserve">Ongoing </w:t>
            </w:r>
            <w:r>
              <w:rPr>
                <w:rFonts w:asciiTheme="minorHAnsi" w:hAnsiTheme="minorHAnsi" w:cstheme="minorHAnsi"/>
                <w:sz w:val="20"/>
                <w:szCs w:val="20"/>
              </w:rPr>
              <w:t xml:space="preserve">trial </w:t>
            </w:r>
            <w:r w:rsidRPr="00D275F9">
              <w:rPr>
                <w:rFonts w:asciiTheme="minorHAnsi" w:hAnsiTheme="minorHAnsi" w:cstheme="minorHAnsi"/>
                <w:sz w:val="20"/>
                <w:szCs w:val="20"/>
              </w:rPr>
              <w:t>(5 years)</w:t>
            </w:r>
          </w:p>
          <w:p w14:paraId="71A8BCF5" w14:textId="77777777" w:rsidR="00B1006E" w:rsidRPr="00D275F9" w:rsidRDefault="00B1006E" w:rsidP="00662D94">
            <w:pPr>
              <w:rPr>
                <w:rFonts w:asciiTheme="minorHAnsi" w:hAnsiTheme="minorHAnsi" w:cstheme="minorHAnsi"/>
                <w:sz w:val="20"/>
                <w:szCs w:val="20"/>
              </w:rPr>
            </w:pPr>
            <w:r w:rsidRPr="00D275F9">
              <w:rPr>
                <w:rFonts w:asciiTheme="minorHAnsi" w:hAnsiTheme="minorHAnsi" w:cstheme="minorHAnsi"/>
                <w:sz w:val="20"/>
                <w:szCs w:val="20"/>
              </w:rPr>
              <w:t>Primary outcomes: a composite of death from any cause, initiation of RRT, or persistent kidney dysfunction at either 30 days following study enrolment or hospital discharge, whichever comes first.</w:t>
            </w:r>
          </w:p>
        </w:tc>
      </w:tr>
    </w:tbl>
    <w:p w14:paraId="728A2EEE" w14:textId="77777777" w:rsidR="00B1006E" w:rsidRDefault="00B1006E" w:rsidP="00B1006E">
      <w:pPr>
        <w:rPr>
          <w:rFonts w:asciiTheme="minorHAnsi" w:hAnsiTheme="minorHAnsi" w:cstheme="minorHAnsi"/>
          <w:sz w:val="20"/>
          <w:szCs w:val="20"/>
        </w:rPr>
      </w:pPr>
      <w:r>
        <w:rPr>
          <w:rFonts w:asciiTheme="minorHAnsi" w:hAnsiTheme="minorHAnsi" w:cstheme="minorHAnsi"/>
          <w:sz w:val="20"/>
          <w:szCs w:val="20"/>
        </w:rPr>
        <w:t xml:space="preserve">§: ongoing trials; </w:t>
      </w:r>
      <w:r w:rsidRPr="00D275F9">
        <w:rPr>
          <w:rFonts w:asciiTheme="minorHAnsi" w:hAnsiTheme="minorHAnsi" w:cstheme="minorHAnsi"/>
          <w:sz w:val="20"/>
          <w:szCs w:val="20"/>
        </w:rPr>
        <w:t xml:space="preserve">EN: enteral nutrition; IV: intravenous; IV-MFT: Intravenous maintenance fluid therapy; NPO: Nil per oral; PO: Per </w:t>
      </w:r>
      <w:proofErr w:type="spellStart"/>
      <w:r w:rsidRPr="00D275F9">
        <w:rPr>
          <w:rFonts w:asciiTheme="minorHAnsi" w:hAnsiTheme="minorHAnsi" w:cstheme="minorHAnsi"/>
          <w:sz w:val="20"/>
          <w:szCs w:val="20"/>
        </w:rPr>
        <w:t>os</w:t>
      </w:r>
      <w:proofErr w:type="spellEnd"/>
      <w:r w:rsidRPr="00D275F9">
        <w:rPr>
          <w:rFonts w:asciiTheme="minorHAnsi" w:hAnsiTheme="minorHAnsi" w:cstheme="minorHAnsi"/>
          <w:sz w:val="20"/>
          <w:szCs w:val="20"/>
        </w:rPr>
        <w:t>; RCT: Randomised controlled trial.</w:t>
      </w:r>
      <w:r>
        <w:rPr>
          <w:rFonts w:asciiTheme="minorHAnsi" w:hAnsiTheme="minorHAnsi" w:cstheme="minorHAnsi"/>
          <w:sz w:val="20"/>
          <w:szCs w:val="20"/>
        </w:rPr>
        <w:t xml:space="preserve"> ECMO: E</w:t>
      </w:r>
      <w:r w:rsidRPr="00D275F9">
        <w:rPr>
          <w:rFonts w:asciiTheme="minorHAnsi" w:hAnsiTheme="minorHAnsi" w:cstheme="minorHAnsi"/>
          <w:sz w:val="20"/>
          <w:szCs w:val="20"/>
        </w:rPr>
        <w:t xml:space="preserve">xtracorporeal membrane oxygenation </w:t>
      </w:r>
    </w:p>
    <w:p w14:paraId="3A375B45" w14:textId="77777777" w:rsidR="00B1006E" w:rsidRPr="00D275F9" w:rsidRDefault="00B1006E" w:rsidP="00B1006E">
      <w:pPr>
        <w:rPr>
          <w:rFonts w:asciiTheme="minorHAnsi" w:hAnsiTheme="minorHAnsi" w:cstheme="minorHAnsi"/>
          <w:sz w:val="20"/>
          <w:szCs w:val="20"/>
        </w:rPr>
      </w:pPr>
    </w:p>
    <w:p w14:paraId="78B534D0" w14:textId="77777777" w:rsidR="00B1006E" w:rsidRPr="00D275F9" w:rsidRDefault="00B1006E" w:rsidP="00B1006E">
      <w:pPr>
        <w:pStyle w:val="Bibliographie"/>
        <w:rPr>
          <w:rFonts w:asciiTheme="minorHAnsi" w:hAnsiTheme="minorHAnsi" w:cstheme="minorHAnsi"/>
          <w:sz w:val="20"/>
          <w:szCs w:val="20"/>
        </w:rPr>
      </w:pPr>
      <w:r w:rsidRPr="00D275F9">
        <w:rPr>
          <w:rFonts w:asciiTheme="minorHAnsi" w:hAnsiTheme="minorHAnsi" w:cstheme="minorHAnsi"/>
          <w:sz w:val="20"/>
          <w:szCs w:val="20"/>
        </w:rPr>
        <w:fldChar w:fldCharType="begin"/>
      </w:r>
      <w:r w:rsidRPr="00D275F9">
        <w:rPr>
          <w:rFonts w:asciiTheme="minorHAnsi" w:hAnsiTheme="minorHAnsi" w:cstheme="minorHAnsi"/>
          <w:sz w:val="20"/>
          <w:szCs w:val="20"/>
        </w:rPr>
        <w:instrText xml:space="preserve"> ADDIN ZOTERO_BIBL {"uncited":[],"omitted":[],"custom":[]} CSL_BIBLIOGRAPHY </w:instrText>
      </w:r>
      <w:r w:rsidRPr="00D275F9">
        <w:rPr>
          <w:rFonts w:asciiTheme="minorHAnsi" w:hAnsiTheme="minorHAnsi" w:cstheme="minorHAnsi"/>
          <w:sz w:val="20"/>
          <w:szCs w:val="20"/>
        </w:rPr>
        <w:fldChar w:fldCharType="separate"/>
      </w:r>
      <w:r w:rsidRPr="00D275F9">
        <w:rPr>
          <w:rFonts w:asciiTheme="minorHAnsi" w:hAnsiTheme="minorHAnsi" w:cstheme="minorHAnsi"/>
          <w:sz w:val="20"/>
          <w:szCs w:val="20"/>
        </w:rPr>
        <w:t xml:space="preserve">1. </w:t>
      </w:r>
      <w:r w:rsidRPr="00D275F9">
        <w:rPr>
          <w:rFonts w:asciiTheme="minorHAnsi" w:hAnsiTheme="minorHAnsi" w:cstheme="minorHAnsi"/>
          <w:sz w:val="20"/>
          <w:szCs w:val="20"/>
        </w:rPr>
        <w:tab/>
      </w:r>
      <w:proofErr w:type="spellStart"/>
      <w:r w:rsidRPr="00D275F9">
        <w:rPr>
          <w:rFonts w:asciiTheme="minorHAnsi" w:hAnsiTheme="minorHAnsi" w:cstheme="minorHAnsi"/>
          <w:sz w:val="20"/>
          <w:szCs w:val="20"/>
        </w:rPr>
        <w:t>Akinsola</w:t>
      </w:r>
      <w:proofErr w:type="spellEnd"/>
      <w:r w:rsidRPr="00D275F9">
        <w:rPr>
          <w:rFonts w:asciiTheme="minorHAnsi" w:hAnsiTheme="minorHAnsi" w:cstheme="minorHAnsi"/>
          <w:sz w:val="20"/>
          <w:szCs w:val="20"/>
        </w:rPr>
        <w:t xml:space="preserve"> B, Cheng J, </w:t>
      </w:r>
      <w:proofErr w:type="spellStart"/>
      <w:r w:rsidRPr="00D275F9">
        <w:rPr>
          <w:rFonts w:asciiTheme="minorHAnsi" w:hAnsiTheme="minorHAnsi" w:cstheme="minorHAnsi"/>
          <w:sz w:val="20"/>
          <w:szCs w:val="20"/>
        </w:rPr>
        <w:t>Iyer</w:t>
      </w:r>
      <w:proofErr w:type="spellEnd"/>
      <w:r w:rsidRPr="00D275F9">
        <w:rPr>
          <w:rFonts w:asciiTheme="minorHAnsi" w:hAnsiTheme="minorHAnsi" w:cstheme="minorHAnsi"/>
          <w:sz w:val="20"/>
          <w:szCs w:val="20"/>
        </w:rPr>
        <w:t xml:space="preserve"> SB, Jain S (2021) Improving Isotonic Maintenance Intravenous Fluid Use in the Emergency Department. Pediatrics 148:e2020022947. https://doi.org/10.1542/peds.2020-022947</w:t>
      </w:r>
    </w:p>
    <w:p w14:paraId="5AB80C18" w14:textId="77777777" w:rsidR="00B1006E" w:rsidRPr="00D275F9" w:rsidRDefault="00B1006E" w:rsidP="00B1006E">
      <w:pPr>
        <w:pStyle w:val="Bibliographie"/>
        <w:rPr>
          <w:rFonts w:asciiTheme="minorHAnsi" w:hAnsiTheme="minorHAnsi" w:cstheme="minorHAnsi"/>
          <w:sz w:val="20"/>
          <w:szCs w:val="20"/>
        </w:rPr>
      </w:pPr>
      <w:r w:rsidRPr="00D275F9">
        <w:rPr>
          <w:rFonts w:asciiTheme="minorHAnsi" w:hAnsiTheme="minorHAnsi" w:cstheme="minorHAnsi"/>
          <w:sz w:val="20"/>
          <w:szCs w:val="20"/>
        </w:rPr>
        <w:t xml:space="preserve">2. </w:t>
      </w:r>
      <w:r w:rsidRPr="00D275F9">
        <w:rPr>
          <w:rFonts w:asciiTheme="minorHAnsi" w:hAnsiTheme="minorHAnsi" w:cstheme="minorHAnsi"/>
          <w:sz w:val="20"/>
          <w:szCs w:val="20"/>
        </w:rPr>
        <w:tab/>
        <w:t>Al-</w:t>
      </w:r>
      <w:proofErr w:type="spellStart"/>
      <w:r w:rsidRPr="00D275F9">
        <w:rPr>
          <w:rFonts w:asciiTheme="minorHAnsi" w:hAnsiTheme="minorHAnsi" w:cstheme="minorHAnsi"/>
          <w:sz w:val="20"/>
          <w:szCs w:val="20"/>
        </w:rPr>
        <w:t>Eyadhy</w:t>
      </w:r>
      <w:proofErr w:type="spellEnd"/>
      <w:r w:rsidRPr="00D275F9">
        <w:rPr>
          <w:rFonts w:asciiTheme="minorHAnsi" w:hAnsiTheme="minorHAnsi" w:cstheme="minorHAnsi"/>
          <w:sz w:val="20"/>
          <w:szCs w:val="20"/>
        </w:rPr>
        <w:t xml:space="preserve"> A, Hasan G, </w:t>
      </w:r>
      <w:proofErr w:type="spellStart"/>
      <w:r w:rsidRPr="00D275F9">
        <w:rPr>
          <w:rFonts w:asciiTheme="minorHAnsi" w:hAnsiTheme="minorHAnsi" w:cstheme="minorHAnsi"/>
          <w:sz w:val="20"/>
          <w:szCs w:val="20"/>
        </w:rPr>
        <w:t>Temsah</w:t>
      </w:r>
      <w:proofErr w:type="spellEnd"/>
      <w:r w:rsidRPr="00D275F9">
        <w:rPr>
          <w:rFonts w:asciiTheme="minorHAnsi" w:hAnsiTheme="minorHAnsi" w:cstheme="minorHAnsi"/>
          <w:sz w:val="20"/>
          <w:szCs w:val="20"/>
        </w:rPr>
        <w:t xml:space="preserve"> M-H, et al (2022) Initial Fluid Balance Associated Outcomes in Children With Severe Sepsis and Septic Shock. </w:t>
      </w:r>
      <w:proofErr w:type="spellStart"/>
      <w:r w:rsidRPr="00D275F9">
        <w:rPr>
          <w:rFonts w:asciiTheme="minorHAnsi" w:hAnsiTheme="minorHAnsi" w:cstheme="minorHAnsi"/>
          <w:sz w:val="20"/>
          <w:szCs w:val="20"/>
        </w:rPr>
        <w:t>Pediatr</w:t>
      </w:r>
      <w:proofErr w:type="spellEnd"/>
      <w:r w:rsidRPr="00D275F9">
        <w:rPr>
          <w:rFonts w:asciiTheme="minorHAnsi" w:hAnsiTheme="minorHAnsi" w:cstheme="minorHAnsi"/>
          <w:sz w:val="20"/>
          <w:szCs w:val="20"/>
        </w:rPr>
        <w:t xml:space="preserve"> </w:t>
      </w:r>
      <w:proofErr w:type="spellStart"/>
      <w:r w:rsidRPr="00D275F9">
        <w:rPr>
          <w:rFonts w:asciiTheme="minorHAnsi" w:hAnsiTheme="minorHAnsi" w:cstheme="minorHAnsi"/>
          <w:sz w:val="20"/>
          <w:szCs w:val="20"/>
        </w:rPr>
        <w:t>Emerg</w:t>
      </w:r>
      <w:proofErr w:type="spellEnd"/>
      <w:r w:rsidRPr="00D275F9">
        <w:rPr>
          <w:rFonts w:asciiTheme="minorHAnsi" w:hAnsiTheme="minorHAnsi" w:cstheme="minorHAnsi"/>
          <w:sz w:val="20"/>
          <w:szCs w:val="20"/>
        </w:rPr>
        <w:t xml:space="preserve"> Care 38:e1112–e1117. https://doi.org/10.1097/PEC.0000000000002520</w:t>
      </w:r>
    </w:p>
    <w:p w14:paraId="61B4CA5C" w14:textId="77777777" w:rsidR="00B1006E" w:rsidRPr="00D275F9" w:rsidRDefault="00B1006E" w:rsidP="00B1006E">
      <w:pPr>
        <w:pStyle w:val="Bibliographie"/>
        <w:rPr>
          <w:rFonts w:asciiTheme="minorHAnsi" w:hAnsiTheme="minorHAnsi" w:cstheme="minorHAnsi"/>
          <w:sz w:val="20"/>
          <w:szCs w:val="20"/>
        </w:rPr>
      </w:pPr>
      <w:r w:rsidRPr="00D275F9">
        <w:rPr>
          <w:rFonts w:asciiTheme="minorHAnsi" w:hAnsiTheme="minorHAnsi" w:cstheme="minorHAnsi"/>
          <w:sz w:val="20"/>
          <w:szCs w:val="20"/>
        </w:rPr>
        <w:t xml:space="preserve">3. </w:t>
      </w:r>
      <w:r w:rsidRPr="00D275F9">
        <w:rPr>
          <w:rFonts w:asciiTheme="minorHAnsi" w:hAnsiTheme="minorHAnsi" w:cstheme="minorHAnsi"/>
          <w:sz w:val="20"/>
          <w:szCs w:val="20"/>
        </w:rPr>
        <w:tab/>
        <w:t xml:space="preserve">Anderson NM, Bond GY, </w:t>
      </w:r>
      <w:proofErr w:type="spellStart"/>
      <w:r w:rsidRPr="00D275F9">
        <w:rPr>
          <w:rFonts w:asciiTheme="minorHAnsi" w:hAnsiTheme="minorHAnsi" w:cstheme="minorHAnsi"/>
          <w:sz w:val="20"/>
          <w:szCs w:val="20"/>
        </w:rPr>
        <w:t>Joffe</w:t>
      </w:r>
      <w:proofErr w:type="spellEnd"/>
      <w:r w:rsidRPr="00D275F9">
        <w:rPr>
          <w:rFonts w:asciiTheme="minorHAnsi" w:hAnsiTheme="minorHAnsi" w:cstheme="minorHAnsi"/>
          <w:sz w:val="20"/>
          <w:szCs w:val="20"/>
        </w:rPr>
        <w:t xml:space="preserve"> AR, et al (2021) Post‐operative fluid overload as a predictor of hospital and long‐term outcomes in a </w:t>
      </w:r>
      <w:proofErr w:type="spellStart"/>
      <w:r w:rsidRPr="00D275F9">
        <w:rPr>
          <w:rFonts w:asciiTheme="minorHAnsi" w:hAnsiTheme="minorHAnsi" w:cstheme="minorHAnsi"/>
          <w:sz w:val="20"/>
          <w:szCs w:val="20"/>
        </w:rPr>
        <w:t>pediatric</w:t>
      </w:r>
      <w:proofErr w:type="spellEnd"/>
      <w:r w:rsidRPr="00D275F9">
        <w:rPr>
          <w:rFonts w:asciiTheme="minorHAnsi" w:hAnsiTheme="minorHAnsi" w:cstheme="minorHAnsi"/>
          <w:sz w:val="20"/>
          <w:szCs w:val="20"/>
        </w:rPr>
        <w:t xml:space="preserve"> heart transplant population. </w:t>
      </w:r>
      <w:proofErr w:type="spellStart"/>
      <w:r w:rsidRPr="00D275F9">
        <w:rPr>
          <w:rFonts w:asciiTheme="minorHAnsi" w:hAnsiTheme="minorHAnsi" w:cstheme="minorHAnsi"/>
          <w:sz w:val="20"/>
          <w:szCs w:val="20"/>
        </w:rPr>
        <w:t>Pediatr</w:t>
      </w:r>
      <w:proofErr w:type="spellEnd"/>
      <w:r w:rsidRPr="00D275F9">
        <w:rPr>
          <w:rFonts w:asciiTheme="minorHAnsi" w:hAnsiTheme="minorHAnsi" w:cstheme="minorHAnsi"/>
          <w:sz w:val="20"/>
          <w:szCs w:val="20"/>
        </w:rPr>
        <w:t xml:space="preserve"> Transplant 25</w:t>
      </w:r>
      <w:proofErr w:type="gramStart"/>
      <w:r w:rsidRPr="00D275F9">
        <w:rPr>
          <w:rFonts w:asciiTheme="minorHAnsi" w:hAnsiTheme="minorHAnsi" w:cstheme="minorHAnsi"/>
          <w:sz w:val="20"/>
          <w:szCs w:val="20"/>
        </w:rPr>
        <w:t>:.</w:t>
      </w:r>
      <w:proofErr w:type="gramEnd"/>
      <w:r w:rsidRPr="00D275F9">
        <w:rPr>
          <w:rFonts w:asciiTheme="minorHAnsi" w:hAnsiTheme="minorHAnsi" w:cstheme="minorHAnsi"/>
          <w:sz w:val="20"/>
          <w:szCs w:val="20"/>
        </w:rPr>
        <w:t xml:space="preserve"> https://doi.org/10.1111/petr.13897</w:t>
      </w:r>
    </w:p>
    <w:p w14:paraId="6FC41CDC" w14:textId="77777777" w:rsidR="00B1006E" w:rsidRPr="00D275F9" w:rsidRDefault="00B1006E" w:rsidP="00B1006E">
      <w:pPr>
        <w:pStyle w:val="Bibliographie"/>
        <w:rPr>
          <w:rFonts w:asciiTheme="minorHAnsi" w:hAnsiTheme="minorHAnsi" w:cstheme="minorHAnsi"/>
          <w:sz w:val="20"/>
          <w:szCs w:val="20"/>
        </w:rPr>
      </w:pPr>
      <w:r w:rsidRPr="00D275F9">
        <w:rPr>
          <w:rFonts w:asciiTheme="minorHAnsi" w:hAnsiTheme="minorHAnsi" w:cstheme="minorHAnsi"/>
          <w:sz w:val="20"/>
          <w:szCs w:val="20"/>
        </w:rPr>
        <w:lastRenderedPageBreak/>
        <w:t xml:space="preserve">4. </w:t>
      </w:r>
      <w:r w:rsidRPr="00D275F9">
        <w:rPr>
          <w:rFonts w:asciiTheme="minorHAnsi" w:hAnsiTheme="minorHAnsi" w:cstheme="minorHAnsi"/>
          <w:sz w:val="20"/>
          <w:szCs w:val="20"/>
        </w:rPr>
        <w:tab/>
        <w:t xml:space="preserve">Anton-Martin P, Quigley R, </w:t>
      </w:r>
      <w:proofErr w:type="spellStart"/>
      <w:r w:rsidRPr="00D275F9">
        <w:rPr>
          <w:rFonts w:asciiTheme="minorHAnsi" w:hAnsiTheme="minorHAnsi" w:cstheme="minorHAnsi"/>
          <w:sz w:val="20"/>
          <w:szCs w:val="20"/>
        </w:rPr>
        <w:t>Dhar</w:t>
      </w:r>
      <w:proofErr w:type="spellEnd"/>
      <w:r w:rsidRPr="00D275F9">
        <w:rPr>
          <w:rFonts w:asciiTheme="minorHAnsi" w:hAnsiTheme="minorHAnsi" w:cstheme="minorHAnsi"/>
          <w:sz w:val="20"/>
          <w:szCs w:val="20"/>
        </w:rPr>
        <w:t xml:space="preserve"> A, et al (2021) Early Fluid Accumulation and Intensive Care Unit Mortality in Children Receiving Extracorporeal Membrane Oxygenation. ASAIO J 67:84–90. https://doi.org/10.1097/MAT.0000000000001167</w:t>
      </w:r>
    </w:p>
    <w:p w14:paraId="51942446" w14:textId="77777777" w:rsidR="00B1006E" w:rsidRPr="00D275F9" w:rsidRDefault="00B1006E" w:rsidP="00B1006E">
      <w:pPr>
        <w:pStyle w:val="Bibliographie"/>
        <w:rPr>
          <w:rFonts w:asciiTheme="minorHAnsi" w:hAnsiTheme="minorHAnsi" w:cstheme="minorHAnsi"/>
          <w:sz w:val="20"/>
          <w:szCs w:val="20"/>
        </w:rPr>
      </w:pPr>
      <w:r w:rsidRPr="00D275F9">
        <w:rPr>
          <w:rFonts w:asciiTheme="minorHAnsi" w:hAnsiTheme="minorHAnsi" w:cstheme="minorHAnsi"/>
          <w:sz w:val="20"/>
          <w:szCs w:val="20"/>
        </w:rPr>
        <w:t xml:space="preserve">5. </w:t>
      </w:r>
      <w:r w:rsidRPr="00D275F9">
        <w:rPr>
          <w:rFonts w:asciiTheme="minorHAnsi" w:hAnsiTheme="minorHAnsi" w:cstheme="minorHAnsi"/>
          <w:sz w:val="20"/>
          <w:szCs w:val="20"/>
        </w:rPr>
        <w:tab/>
      </w:r>
      <w:proofErr w:type="spellStart"/>
      <w:r w:rsidRPr="00D275F9">
        <w:rPr>
          <w:rFonts w:asciiTheme="minorHAnsi" w:hAnsiTheme="minorHAnsi" w:cstheme="minorHAnsi"/>
          <w:sz w:val="20"/>
          <w:szCs w:val="20"/>
        </w:rPr>
        <w:t>Barhight</w:t>
      </w:r>
      <w:proofErr w:type="spellEnd"/>
      <w:r w:rsidRPr="00D275F9">
        <w:rPr>
          <w:rFonts w:asciiTheme="minorHAnsi" w:hAnsiTheme="minorHAnsi" w:cstheme="minorHAnsi"/>
          <w:sz w:val="20"/>
          <w:szCs w:val="20"/>
        </w:rPr>
        <w:t xml:space="preserve"> MF, Nelson D, Moran T, et al (2021) Association between the use of balanced fluids and outcomes in critically ill children: a before and after study. </w:t>
      </w:r>
      <w:proofErr w:type="spellStart"/>
      <w:r w:rsidRPr="00D275F9">
        <w:rPr>
          <w:rFonts w:asciiTheme="minorHAnsi" w:hAnsiTheme="minorHAnsi" w:cstheme="minorHAnsi"/>
          <w:sz w:val="20"/>
          <w:szCs w:val="20"/>
        </w:rPr>
        <w:t>Crit</w:t>
      </w:r>
      <w:proofErr w:type="spellEnd"/>
      <w:r w:rsidRPr="00D275F9">
        <w:rPr>
          <w:rFonts w:asciiTheme="minorHAnsi" w:hAnsiTheme="minorHAnsi" w:cstheme="minorHAnsi"/>
          <w:sz w:val="20"/>
          <w:szCs w:val="20"/>
        </w:rPr>
        <w:t xml:space="preserve"> Care 25:266. https://doi.org/10.1186/s13054-021-03705-3</w:t>
      </w:r>
    </w:p>
    <w:p w14:paraId="3B40711D" w14:textId="77777777" w:rsidR="00B1006E" w:rsidRPr="00D275F9" w:rsidRDefault="00B1006E" w:rsidP="00B1006E">
      <w:pPr>
        <w:pStyle w:val="Bibliographie"/>
        <w:rPr>
          <w:rFonts w:asciiTheme="minorHAnsi" w:hAnsiTheme="minorHAnsi" w:cstheme="minorHAnsi"/>
          <w:sz w:val="20"/>
          <w:szCs w:val="20"/>
        </w:rPr>
      </w:pPr>
      <w:r w:rsidRPr="00D275F9">
        <w:rPr>
          <w:rFonts w:asciiTheme="minorHAnsi" w:hAnsiTheme="minorHAnsi" w:cstheme="minorHAnsi"/>
          <w:sz w:val="20"/>
          <w:szCs w:val="20"/>
        </w:rPr>
        <w:t xml:space="preserve">6. </w:t>
      </w:r>
      <w:r w:rsidRPr="00D275F9">
        <w:rPr>
          <w:rFonts w:asciiTheme="minorHAnsi" w:hAnsiTheme="minorHAnsi" w:cstheme="minorHAnsi"/>
          <w:sz w:val="20"/>
          <w:szCs w:val="20"/>
        </w:rPr>
        <w:tab/>
      </w:r>
      <w:proofErr w:type="spellStart"/>
      <w:r w:rsidRPr="00D275F9">
        <w:rPr>
          <w:rFonts w:asciiTheme="minorHAnsi" w:hAnsiTheme="minorHAnsi" w:cstheme="minorHAnsi"/>
          <w:sz w:val="20"/>
          <w:szCs w:val="20"/>
        </w:rPr>
        <w:t>Barhight</w:t>
      </w:r>
      <w:proofErr w:type="spellEnd"/>
      <w:r w:rsidRPr="00D275F9">
        <w:rPr>
          <w:rFonts w:asciiTheme="minorHAnsi" w:hAnsiTheme="minorHAnsi" w:cstheme="minorHAnsi"/>
          <w:sz w:val="20"/>
          <w:szCs w:val="20"/>
        </w:rPr>
        <w:t xml:space="preserve"> MF, Nelson D, Chong G, et al (2022) Non-resuscitation fluid in excess of hydration requirements is associated with higher mortality in critically ill children. </w:t>
      </w:r>
      <w:proofErr w:type="spellStart"/>
      <w:r w:rsidRPr="00D275F9">
        <w:rPr>
          <w:rFonts w:asciiTheme="minorHAnsi" w:hAnsiTheme="minorHAnsi" w:cstheme="minorHAnsi"/>
          <w:sz w:val="20"/>
          <w:szCs w:val="20"/>
        </w:rPr>
        <w:t>Pediatr</w:t>
      </w:r>
      <w:proofErr w:type="spellEnd"/>
      <w:r w:rsidRPr="00D275F9">
        <w:rPr>
          <w:rFonts w:asciiTheme="minorHAnsi" w:hAnsiTheme="minorHAnsi" w:cstheme="minorHAnsi"/>
          <w:sz w:val="20"/>
          <w:szCs w:val="20"/>
        </w:rPr>
        <w:t xml:space="preserve"> Res 91:235–240. https://doi.org/10.1038/s41390-021-01456-z</w:t>
      </w:r>
    </w:p>
    <w:p w14:paraId="32403DA7" w14:textId="77777777" w:rsidR="00B1006E" w:rsidRPr="00D275F9" w:rsidRDefault="00B1006E" w:rsidP="00B1006E">
      <w:pPr>
        <w:pStyle w:val="Bibliographie"/>
        <w:rPr>
          <w:rFonts w:asciiTheme="minorHAnsi" w:hAnsiTheme="minorHAnsi" w:cstheme="minorHAnsi"/>
          <w:sz w:val="20"/>
          <w:szCs w:val="20"/>
        </w:rPr>
      </w:pPr>
      <w:r w:rsidRPr="00D275F9">
        <w:rPr>
          <w:rFonts w:asciiTheme="minorHAnsi" w:hAnsiTheme="minorHAnsi" w:cstheme="minorHAnsi"/>
          <w:sz w:val="20"/>
          <w:szCs w:val="20"/>
        </w:rPr>
        <w:t xml:space="preserve">7. </w:t>
      </w:r>
      <w:r w:rsidRPr="00D275F9">
        <w:rPr>
          <w:rFonts w:asciiTheme="minorHAnsi" w:hAnsiTheme="minorHAnsi" w:cstheme="minorHAnsi"/>
          <w:sz w:val="20"/>
          <w:szCs w:val="20"/>
        </w:rPr>
        <w:tab/>
        <w:t xml:space="preserve">Black CG, Thomas NJ, </w:t>
      </w:r>
      <w:proofErr w:type="spellStart"/>
      <w:r w:rsidRPr="00D275F9">
        <w:rPr>
          <w:rFonts w:asciiTheme="minorHAnsi" w:hAnsiTheme="minorHAnsi" w:cstheme="minorHAnsi"/>
          <w:sz w:val="20"/>
          <w:szCs w:val="20"/>
        </w:rPr>
        <w:t>Yehya</w:t>
      </w:r>
      <w:proofErr w:type="spellEnd"/>
      <w:r w:rsidRPr="00D275F9">
        <w:rPr>
          <w:rFonts w:asciiTheme="minorHAnsi" w:hAnsiTheme="minorHAnsi" w:cstheme="minorHAnsi"/>
          <w:sz w:val="20"/>
          <w:szCs w:val="20"/>
        </w:rPr>
        <w:t xml:space="preserve"> N (2021) Timing and Clinical Significance of Fluid Overload in </w:t>
      </w:r>
      <w:proofErr w:type="spellStart"/>
      <w:r w:rsidRPr="00D275F9">
        <w:rPr>
          <w:rFonts w:asciiTheme="minorHAnsi" w:hAnsiTheme="minorHAnsi" w:cstheme="minorHAnsi"/>
          <w:sz w:val="20"/>
          <w:szCs w:val="20"/>
        </w:rPr>
        <w:t>Pediatric</w:t>
      </w:r>
      <w:proofErr w:type="spellEnd"/>
      <w:r w:rsidRPr="00D275F9">
        <w:rPr>
          <w:rFonts w:asciiTheme="minorHAnsi" w:hAnsiTheme="minorHAnsi" w:cstheme="minorHAnsi"/>
          <w:sz w:val="20"/>
          <w:szCs w:val="20"/>
        </w:rPr>
        <w:t xml:space="preserve"> Acute Respiratory Distress Syndrome. </w:t>
      </w:r>
      <w:proofErr w:type="spellStart"/>
      <w:r w:rsidRPr="00D275F9">
        <w:rPr>
          <w:rFonts w:asciiTheme="minorHAnsi" w:hAnsiTheme="minorHAnsi" w:cstheme="minorHAnsi"/>
          <w:sz w:val="20"/>
          <w:szCs w:val="20"/>
        </w:rPr>
        <w:t>Pediatr</w:t>
      </w:r>
      <w:proofErr w:type="spellEnd"/>
      <w:r w:rsidRPr="00D275F9">
        <w:rPr>
          <w:rFonts w:asciiTheme="minorHAnsi" w:hAnsiTheme="minorHAnsi" w:cstheme="minorHAnsi"/>
          <w:sz w:val="20"/>
          <w:szCs w:val="20"/>
        </w:rPr>
        <w:t xml:space="preserve"> </w:t>
      </w:r>
      <w:proofErr w:type="spellStart"/>
      <w:r w:rsidRPr="00D275F9">
        <w:rPr>
          <w:rFonts w:asciiTheme="minorHAnsi" w:hAnsiTheme="minorHAnsi" w:cstheme="minorHAnsi"/>
          <w:sz w:val="20"/>
          <w:szCs w:val="20"/>
        </w:rPr>
        <w:t>Crit</w:t>
      </w:r>
      <w:proofErr w:type="spellEnd"/>
      <w:r w:rsidRPr="00D275F9">
        <w:rPr>
          <w:rFonts w:asciiTheme="minorHAnsi" w:hAnsiTheme="minorHAnsi" w:cstheme="minorHAnsi"/>
          <w:sz w:val="20"/>
          <w:szCs w:val="20"/>
        </w:rPr>
        <w:t xml:space="preserve"> Care Med Publish Ahead of Print: https://doi.org/10.1097/PCC.0000000000002765</w:t>
      </w:r>
    </w:p>
    <w:p w14:paraId="6589FA85" w14:textId="77777777" w:rsidR="00B1006E" w:rsidRPr="00D275F9" w:rsidRDefault="00B1006E" w:rsidP="00B1006E">
      <w:pPr>
        <w:pStyle w:val="Bibliographie"/>
        <w:rPr>
          <w:rFonts w:asciiTheme="minorHAnsi" w:hAnsiTheme="minorHAnsi" w:cstheme="minorHAnsi"/>
          <w:sz w:val="20"/>
          <w:szCs w:val="20"/>
        </w:rPr>
      </w:pPr>
      <w:r w:rsidRPr="00D275F9">
        <w:rPr>
          <w:rFonts w:asciiTheme="minorHAnsi" w:hAnsiTheme="minorHAnsi" w:cstheme="minorHAnsi"/>
          <w:sz w:val="20"/>
          <w:szCs w:val="20"/>
        </w:rPr>
        <w:t xml:space="preserve">8. </w:t>
      </w:r>
      <w:r w:rsidRPr="00D275F9">
        <w:rPr>
          <w:rFonts w:asciiTheme="minorHAnsi" w:hAnsiTheme="minorHAnsi" w:cstheme="minorHAnsi"/>
          <w:sz w:val="20"/>
          <w:szCs w:val="20"/>
        </w:rPr>
        <w:tab/>
      </w:r>
      <w:proofErr w:type="spellStart"/>
      <w:r w:rsidRPr="00D275F9">
        <w:rPr>
          <w:rFonts w:asciiTheme="minorHAnsi" w:hAnsiTheme="minorHAnsi" w:cstheme="minorHAnsi"/>
          <w:sz w:val="20"/>
          <w:szCs w:val="20"/>
        </w:rPr>
        <w:t>Gaartman</w:t>
      </w:r>
      <w:proofErr w:type="spellEnd"/>
      <w:r w:rsidRPr="00D275F9">
        <w:rPr>
          <w:rFonts w:asciiTheme="minorHAnsi" w:hAnsiTheme="minorHAnsi" w:cstheme="minorHAnsi"/>
          <w:sz w:val="20"/>
          <w:szCs w:val="20"/>
        </w:rPr>
        <w:t xml:space="preserve"> AE, </w:t>
      </w:r>
      <w:proofErr w:type="spellStart"/>
      <w:r w:rsidRPr="00D275F9">
        <w:rPr>
          <w:rFonts w:asciiTheme="minorHAnsi" w:hAnsiTheme="minorHAnsi" w:cstheme="minorHAnsi"/>
          <w:sz w:val="20"/>
          <w:szCs w:val="20"/>
        </w:rPr>
        <w:t>Sayedi</w:t>
      </w:r>
      <w:proofErr w:type="spellEnd"/>
      <w:r w:rsidRPr="00D275F9">
        <w:rPr>
          <w:rFonts w:asciiTheme="minorHAnsi" w:hAnsiTheme="minorHAnsi" w:cstheme="minorHAnsi"/>
          <w:sz w:val="20"/>
          <w:szCs w:val="20"/>
        </w:rPr>
        <w:t xml:space="preserve"> AK, </w:t>
      </w:r>
      <w:proofErr w:type="spellStart"/>
      <w:r w:rsidRPr="00D275F9">
        <w:rPr>
          <w:rFonts w:asciiTheme="minorHAnsi" w:hAnsiTheme="minorHAnsi" w:cstheme="minorHAnsi"/>
          <w:sz w:val="20"/>
          <w:szCs w:val="20"/>
        </w:rPr>
        <w:t>Gerritsma</w:t>
      </w:r>
      <w:proofErr w:type="spellEnd"/>
      <w:r w:rsidRPr="00D275F9">
        <w:rPr>
          <w:rFonts w:asciiTheme="minorHAnsi" w:hAnsiTheme="minorHAnsi" w:cstheme="minorHAnsi"/>
          <w:sz w:val="20"/>
          <w:szCs w:val="20"/>
        </w:rPr>
        <w:t xml:space="preserve"> JJ, et al (2021) Fluid overload due to intravenous fluid therapy for </w:t>
      </w:r>
      <w:proofErr w:type="spellStart"/>
      <w:r w:rsidRPr="00D275F9">
        <w:rPr>
          <w:rFonts w:asciiTheme="minorHAnsi" w:hAnsiTheme="minorHAnsi" w:cstheme="minorHAnsi"/>
          <w:sz w:val="20"/>
          <w:szCs w:val="20"/>
        </w:rPr>
        <w:t>vaso</w:t>
      </w:r>
      <w:proofErr w:type="spellEnd"/>
      <w:r w:rsidRPr="00D275F9">
        <w:rPr>
          <w:rFonts w:asciiTheme="minorHAnsi" w:hAnsiTheme="minorHAnsi" w:cstheme="minorHAnsi"/>
          <w:sz w:val="20"/>
          <w:szCs w:val="20"/>
        </w:rPr>
        <w:t xml:space="preserve">‐occlusive crisis in sickle cell disease: incidence and risk factors. Br J </w:t>
      </w:r>
      <w:proofErr w:type="spellStart"/>
      <w:r w:rsidRPr="00D275F9">
        <w:rPr>
          <w:rFonts w:asciiTheme="minorHAnsi" w:hAnsiTheme="minorHAnsi" w:cstheme="minorHAnsi"/>
          <w:sz w:val="20"/>
          <w:szCs w:val="20"/>
        </w:rPr>
        <w:t>Haematol</w:t>
      </w:r>
      <w:proofErr w:type="spellEnd"/>
      <w:r w:rsidRPr="00D275F9">
        <w:rPr>
          <w:rFonts w:asciiTheme="minorHAnsi" w:hAnsiTheme="minorHAnsi" w:cstheme="minorHAnsi"/>
          <w:sz w:val="20"/>
          <w:szCs w:val="20"/>
        </w:rPr>
        <w:t xml:space="preserve"> 194:899–907. https://doi.org/10.1111/bjh.17696</w:t>
      </w:r>
    </w:p>
    <w:p w14:paraId="795CABC3" w14:textId="77777777" w:rsidR="00B1006E" w:rsidRPr="00D275F9" w:rsidRDefault="00B1006E" w:rsidP="00B1006E">
      <w:pPr>
        <w:pStyle w:val="Bibliographie"/>
        <w:rPr>
          <w:rFonts w:asciiTheme="minorHAnsi" w:hAnsiTheme="minorHAnsi" w:cstheme="minorHAnsi"/>
          <w:sz w:val="20"/>
          <w:szCs w:val="20"/>
        </w:rPr>
      </w:pPr>
      <w:r w:rsidRPr="00D275F9">
        <w:rPr>
          <w:rFonts w:asciiTheme="minorHAnsi" w:hAnsiTheme="minorHAnsi" w:cstheme="minorHAnsi"/>
          <w:sz w:val="20"/>
          <w:szCs w:val="20"/>
        </w:rPr>
        <w:t xml:space="preserve">9. </w:t>
      </w:r>
      <w:r w:rsidRPr="00D275F9">
        <w:rPr>
          <w:rFonts w:asciiTheme="minorHAnsi" w:hAnsiTheme="minorHAnsi" w:cstheme="minorHAnsi"/>
          <w:sz w:val="20"/>
          <w:szCs w:val="20"/>
        </w:rPr>
        <w:tab/>
        <w:t xml:space="preserve">Glaser NS, Stoner MJ, </w:t>
      </w:r>
      <w:proofErr w:type="spellStart"/>
      <w:r w:rsidRPr="00D275F9">
        <w:rPr>
          <w:rFonts w:asciiTheme="minorHAnsi" w:hAnsiTheme="minorHAnsi" w:cstheme="minorHAnsi"/>
          <w:sz w:val="20"/>
          <w:szCs w:val="20"/>
        </w:rPr>
        <w:t>Garro</w:t>
      </w:r>
      <w:proofErr w:type="spellEnd"/>
      <w:r w:rsidRPr="00D275F9">
        <w:rPr>
          <w:rFonts w:asciiTheme="minorHAnsi" w:hAnsiTheme="minorHAnsi" w:cstheme="minorHAnsi"/>
          <w:sz w:val="20"/>
          <w:szCs w:val="20"/>
        </w:rPr>
        <w:t xml:space="preserve"> A, et al (2021) Serum Sodium Concentration and Mental Status in Children With Diabetic Ketoacidosis. Pediatrics 148:e2021050243. https://doi.org/10.1542/peds.2021-050243</w:t>
      </w:r>
    </w:p>
    <w:p w14:paraId="733643CF" w14:textId="77777777" w:rsidR="00B1006E" w:rsidRPr="00D275F9" w:rsidRDefault="00B1006E" w:rsidP="00B1006E">
      <w:pPr>
        <w:pStyle w:val="Bibliographie"/>
        <w:rPr>
          <w:rFonts w:asciiTheme="minorHAnsi" w:hAnsiTheme="minorHAnsi" w:cstheme="minorHAnsi"/>
          <w:sz w:val="20"/>
          <w:szCs w:val="20"/>
        </w:rPr>
      </w:pPr>
      <w:r w:rsidRPr="00D275F9">
        <w:rPr>
          <w:rFonts w:asciiTheme="minorHAnsi" w:hAnsiTheme="minorHAnsi" w:cstheme="minorHAnsi"/>
          <w:sz w:val="20"/>
          <w:szCs w:val="20"/>
        </w:rPr>
        <w:t xml:space="preserve">10. </w:t>
      </w:r>
      <w:r w:rsidRPr="00D275F9">
        <w:rPr>
          <w:rFonts w:asciiTheme="minorHAnsi" w:hAnsiTheme="minorHAnsi" w:cstheme="minorHAnsi"/>
          <w:sz w:val="20"/>
          <w:szCs w:val="20"/>
        </w:rPr>
        <w:tab/>
      </w:r>
      <w:proofErr w:type="spellStart"/>
      <w:r w:rsidRPr="00D275F9">
        <w:rPr>
          <w:rFonts w:asciiTheme="minorHAnsi" w:hAnsiTheme="minorHAnsi" w:cstheme="minorHAnsi"/>
          <w:sz w:val="20"/>
          <w:szCs w:val="20"/>
        </w:rPr>
        <w:t>Gorga</w:t>
      </w:r>
      <w:proofErr w:type="spellEnd"/>
      <w:r w:rsidRPr="00D275F9">
        <w:rPr>
          <w:rFonts w:asciiTheme="minorHAnsi" w:hAnsiTheme="minorHAnsi" w:cstheme="minorHAnsi"/>
          <w:sz w:val="20"/>
          <w:szCs w:val="20"/>
        </w:rPr>
        <w:t xml:space="preserve"> SM, Carlton EF, </w:t>
      </w:r>
      <w:proofErr w:type="spellStart"/>
      <w:r w:rsidRPr="00D275F9">
        <w:rPr>
          <w:rFonts w:asciiTheme="minorHAnsi" w:hAnsiTheme="minorHAnsi" w:cstheme="minorHAnsi"/>
          <w:sz w:val="20"/>
          <w:szCs w:val="20"/>
        </w:rPr>
        <w:t>Kohne</w:t>
      </w:r>
      <w:proofErr w:type="spellEnd"/>
      <w:r w:rsidRPr="00D275F9">
        <w:rPr>
          <w:rFonts w:asciiTheme="minorHAnsi" w:hAnsiTheme="minorHAnsi" w:cstheme="minorHAnsi"/>
          <w:sz w:val="20"/>
          <w:szCs w:val="20"/>
        </w:rPr>
        <w:t xml:space="preserve"> JG, et al (2021) Renal angina index predicts fluid overload in critically ill children: an observational cohort study. BMC </w:t>
      </w:r>
      <w:proofErr w:type="spellStart"/>
      <w:r w:rsidRPr="00D275F9">
        <w:rPr>
          <w:rFonts w:asciiTheme="minorHAnsi" w:hAnsiTheme="minorHAnsi" w:cstheme="minorHAnsi"/>
          <w:sz w:val="20"/>
          <w:szCs w:val="20"/>
        </w:rPr>
        <w:t>Nephrol</w:t>
      </w:r>
      <w:proofErr w:type="spellEnd"/>
      <w:r w:rsidRPr="00D275F9">
        <w:rPr>
          <w:rFonts w:asciiTheme="minorHAnsi" w:hAnsiTheme="minorHAnsi" w:cstheme="minorHAnsi"/>
          <w:sz w:val="20"/>
          <w:szCs w:val="20"/>
        </w:rPr>
        <w:t xml:space="preserve"> 22:336. https://doi.org/10.1186/s12882-021-02540-6</w:t>
      </w:r>
    </w:p>
    <w:p w14:paraId="03D452AA" w14:textId="77777777" w:rsidR="00B1006E" w:rsidRPr="00D275F9" w:rsidRDefault="00B1006E" w:rsidP="00B1006E">
      <w:pPr>
        <w:pStyle w:val="Bibliographie"/>
        <w:rPr>
          <w:rFonts w:asciiTheme="minorHAnsi" w:hAnsiTheme="minorHAnsi" w:cstheme="minorHAnsi"/>
          <w:sz w:val="20"/>
          <w:szCs w:val="20"/>
        </w:rPr>
      </w:pPr>
      <w:r w:rsidRPr="00D275F9">
        <w:rPr>
          <w:rFonts w:asciiTheme="minorHAnsi" w:hAnsiTheme="minorHAnsi" w:cstheme="minorHAnsi"/>
          <w:sz w:val="20"/>
          <w:szCs w:val="20"/>
        </w:rPr>
        <w:t xml:space="preserve">11. </w:t>
      </w:r>
      <w:r w:rsidRPr="00D275F9">
        <w:rPr>
          <w:rFonts w:asciiTheme="minorHAnsi" w:hAnsiTheme="minorHAnsi" w:cstheme="minorHAnsi"/>
          <w:sz w:val="20"/>
          <w:szCs w:val="20"/>
        </w:rPr>
        <w:tab/>
        <w:t>Hayes W, Laing E, Foley C, et al (2022) Multicentre randomised controlled trial: protocol for Plasma-</w:t>
      </w:r>
      <w:proofErr w:type="spellStart"/>
      <w:r w:rsidRPr="00D275F9">
        <w:rPr>
          <w:rFonts w:asciiTheme="minorHAnsi" w:hAnsiTheme="minorHAnsi" w:cstheme="minorHAnsi"/>
          <w:sz w:val="20"/>
          <w:szCs w:val="20"/>
        </w:rPr>
        <w:t>Lyte</w:t>
      </w:r>
      <w:proofErr w:type="spellEnd"/>
      <w:r w:rsidRPr="00D275F9">
        <w:rPr>
          <w:rFonts w:asciiTheme="minorHAnsi" w:hAnsiTheme="minorHAnsi" w:cstheme="minorHAnsi"/>
          <w:sz w:val="20"/>
          <w:szCs w:val="20"/>
        </w:rPr>
        <w:t xml:space="preserve"> Usage and Assessment of Kidney Transplant Outcomes in Children (PLUTO). BMJ Open 12:e055595. https://doi.org/10.1136/bmjopen-2021-055595</w:t>
      </w:r>
    </w:p>
    <w:p w14:paraId="0373FDFB" w14:textId="77777777" w:rsidR="00B1006E" w:rsidRPr="00D275F9" w:rsidRDefault="00B1006E" w:rsidP="00B1006E">
      <w:pPr>
        <w:pStyle w:val="Bibliographie"/>
        <w:rPr>
          <w:rFonts w:asciiTheme="minorHAnsi" w:hAnsiTheme="minorHAnsi" w:cstheme="minorHAnsi"/>
          <w:sz w:val="20"/>
          <w:szCs w:val="20"/>
        </w:rPr>
      </w:pPr>
      <w:r w:rsidRPr="00D275F9">
        <w:rPr>
          <w:rFonts w:asciiTheme="minorHAnsi" w:hAnsiTheme="minorHAnsi" w:cstheme="minorHAnsi"/>
          <w:sz w:val="20"/>
          <w:szCs w:val="20"/>
        </w:rPr>
        <w:t xml:space="preserve">12. </w:t>
      </w:r>
      <w:r w:rsidRPr="00D275F9">
        <w:rPr>
          <w:rFonts w:asciiTheme="minorHAnsi" w:hAnsiTheme="minorHAnsi" w:cstheme="minorHAnsi"/>
          <w:sz w:val="20"/>
          <w:szCs w:val="20"/>
        </w:rPr>
        <w:tab/>
      </w:r>
      <w:proofErr w:type="spellStart"/>
      <w:r w:rsidRPr="00D275F9">
        <w:rPr>
          <w:rFonts w:asciiTheme="minorHAnsi" w:hAnsiTheme="minorHAnsi" w:cstheme="minorHAnsi"/>
          <w:sz w:val="20"/>
          <w:szCs w:val="20"/>
        </w:rPr>
        <w:t>Lehtiranta</w:t>
      </w:r>
      <w:proofErr w:type="spellEnd"/>
      <w:r w:rsidRPr="00D275F9">
        <w:rPr>
          <w:rFonts w:asciiTheme="minorHAnsi" w:hAnsiTheme="minorHAnsi" w:cstheme="minorHAnsi"/>
          <w:sz w:val="20"/>
          <w:szCs w:val="20"/>
        </w:rPr>
        <w:t xml:space="preserve"> S, </w:t>
      </w:r>
      <w:proofErr w:type="spellStart"/>
      <w:r w:rsidRPr="00D275F9">
        <w:rPr>
          <w:rFonts w:asciiTheme="minorHAnsi" w:hAnsiTheme="minorHAnsi" w:cstheme="minorHAnsi"/>
          <w:sz w:val="20"/>
          <w:szCs w:val="20"/>
        </w:rPr>
        <w:t>Honkila</w:t>
      </w:r>
      <w:proofErr w:type="spellEnd"/>
      <w:r w:rsidRPr="00D275F9">
        <w:rPr>
          <w:rFonts w:asciiTheme="minorHAnsi" w:hAnsiTheme="minorHAnsi" w:cstheme="minorHAnsi"/>
          <w:sz w:val="20"/>
          <w:szCs w:val="20"/>
        </w:rPr>
        <w:t xml:space="preserve"> M, </w:t>
      </w:r>
      <w:proofErr w:type="spellStart"/>
      <w:r w:rsidRPr="00D275F9">
        <w:rPr>
          <w:rFonts w:asciiTheme="minorHAnsi" w:hAnsiTheme="minorHAnsi" w:cstheme="minorHAnsi"/>
          <w:sz w:val="20"/>
          <w:szCs w:val="20"/>
        </w:rPr>
        <w:t>Kallio</w:t>
      </w:r>
      <w:proofErr w:type="spellEnd"/>
      <w:r w:rsidRPr="00D275F9">
        <w:rPr>
          <w:rFonts w:asciiTheme="minorHAnsi" w:hAnsiTheme="minorHAnsi" w:cstheme="minorHAnsi"/>
          <w:sz w:val="20"/>
          <w:szCs w:val="20"/>
        </w:rPr>
        <w:t xml:space="preserve"> M, et al (2021) Risk of Electrolyte Disorders in Acutely Ill Children Receiving Commercially Available </w:t>
      </w:r>
      <w:proofErr w:type="spellStart"/>
      <w:r w:rsidRPr="00D275F9">
        <w:rPr>
          <w:rFonts w:asciiTheme="minorHAnsi" w:hAnsiTheme="minorHAnsi" w:cstheme="minorHAnsi"/>
          <w:sz w:val="20"/>
          <w:szCs w:val="20"/>
        </w:rPr>
        <w:t>Plasmalike</w:t>
      </w:r>
      <w:proofErr w:type="spellEnd"/>
      <w:r w:rsidRPr="00D275F9">
        <w:rPr>
          <w:rFonts w:asciiTheme="minorHAnsi" w:hAnsiTheme="minorHAnsi" w:cstheme="minorHAnsi"/>
          <w:sz w:val="20"/>
          <w:szCs w:val="20"/>
        </w:rPr>
        <w:t xml:space="preserve"> Isotonic Fluids: A Randomized Clinical Trial. JAMA </w:t>
      </w:r>
      <w:proofErr w:type="spellStart"/>
      <w:r w:rsidRPr="00D275F9">
        <w:rPr>
          <w:rFonts w:asciiTheme="minorHAnsi" w:hAnsiTheme="minorHAnsi" w:cstheme="minorHAnsi"/>
          <w:sz w:val="20"/>
          <w:szCs w:val="20"/>
        </w:rPr>
        <w:t>Pediatr</w:t>
      </w:r>
      <w:proofErr w:type="spellEnd"/>
      <w:r w:rsidRPr="00D275F9">
        <w:rPr>
          <w:rFonts w:asciiTheme="minorHAnsi" w:hAnsiTheme="minorHAnsi" w:cstheme="minorHAnsi"/>
          <w:sz w:val="20"/>
          <w:szCs w:val="20"/>
        </w:rPr>
        <w:t xml:space="preserve"> 175:28–35. https://doi.org/10.1001/jamapediatrics.2020.3383</w:t>
      </w:r>
    </w:p>
    <w:p w14:paraId="13E33ED5" w14:textId="77777777" w:rsidR="00B1006E" w:rsidRPr="00D275F9" w:rsidRDefault="00B1006E" w:rsidP="00B1006E">
      <w:pPr>
        <w:pStyle w:val="Bibliographie"/>
        <w:rPr>
          <w:rFonts w:asciiTheme="minorHAnsi" w:hAnsiTheme="minorHAnsi" w:cstheme="minorHAnsi"/>
          <w:sz w:val="20"/>
          <w:szCs w:val="20"/>
        </w:rPr>
      </w:pPr>
      <w:r w:rsidRPr="00D275F9">
        <w:rPr>
          <w:rFonts w:asciiTheme="minorHAnsi" w:hAnsiTheme="minorHAnsi" w:cstheme="minorHAnsi"/>
          <w:sz w:val="20"/>
          <w:szCs w:val="20"/>
        </w:rPr>
        <w:t xml:space="preserve">13. </w:t>
      </w:r>
      <w:r w:rsidRPr="00D275F9">
        <w:rPr>
          <w:rFonts w:asciiTheme="minorHAnsi" w:hAnsiTheme="minorHAnsi" w:cstheme="minorHAnsi"/>
          <w:sz w:val="20"/>
          <w:szCs w:val="20"/>
        </w:rPr>
        <w:tab/>
      </w:r>
      <w:proofErr w:type="spellStart"/>
      <w:r w:rsidRPr="00D275F9">
        <w:rPr>
          <w:rFonts w:asciiTheme="minorHAnsi" w:hAnsiTheme="minorHAnsi" w:cstheme="minorHAnsi"/>
          <w:sz w:val="20"/>
          <w:szCs w:val="20"/>
        </w:rPr>
        <w:t>Lehtiranta</w:t>
      </w:r>
      <w:proofErr w:type="spellEnd"/>
      <w:r w:rsidRPr="00D275F9">
        <w:rPr>
          <w:rFonts w:asciiTheme="minorHAnsi" w:hAnsiTheme="minorHAnsi" w:cstheme="minorHAnsi"/>
          <w:sz w:val="20"/>
          <w:szCs w:val="20"/>
        </w:rPr>
        <w:t xml:space="preserve"> S, </w:t>
      </w:r>
      <w:proofErr w:type="spellStart"/>
      <w:r w:rsidRPr="00D275F9">
        <w:rPr>
          <w:rFonts w:asciiTheme="minorHAnsi" w:hAnsiTheme="minorHAnsi" w:cstheme="minorHAnsi"/>
          <w:sz w:val="20"/>
          <w:szCs w:val="20"/>
        </w:rPr>
        <w:t>Honkila</w:t>
      </w:r>
      <w:proofErr w:type="spellEnd"/>
      <w:r w:rsidRPr="00D275F9">
        <w:rPr>
          <w:rFonts w:asciiTheme="minorHAnsi" w:hAnsiTheme="minorHAnsi" w:cstheme="minorHAnsi"/>
          <w:sz w:val="20"/>
          <w:szCs w:val="20"/>
        </w:rPr>
        <w:t xml:space="preserve"> M, </w:t>
      </w:r>
      <w:proofErr w:type="spellStart"/>
      <w:r w:rsidRPr="00D275F9">
        <w:rPr>
          <w:rFonts w:asciiTheme="minorHAnsi" w:hAnsiTheme="minorHAnsi" w:cstheme="minorHAnsi"/>
          <w:sz w:val="20"/>
          <w:szCs w:val="20"/>
        </w:rPr>
        <w:t>Kallio</w:t>
      </w:r>
      <w:proofErr w:type="spellEnd"/>
      <w:r w:rsidRPr="00D275F9">
        <w:rPr>
          <w:rFonts w:asciiTheme="minorHAnsi" w:hAnsiTheme="minorHAnsi" w:cstheme="minorHAnsi"/>
          <w:sz w:val="20"/>
          <w:szCs w:val="20"/>
        </w:rPr>
        <w:t xml:space="preserve"> M, et al (2022) Severe hospital-acquired hyponatremia in acutely ill children receiving moderately hypotonic fluids. </w:t>
      </w:r>
      <w:proofErr w:type="spellStart"/>
      <w:r w:rsidRPr="00D275F9">
        <w:rPr>
          <w:rFonts w:asciiTheme="minorHAnsi" w:hAnsiTheme="minorHAnsi" w:cstheme="minorHAnsi"/>
          <w:sz w:val="20"/>
          <w:szCs w:val="20"/>
        </w:rPr>
        <w:t>Pediatr</w:t>
      </w:r>
      <w:proofErr w:type="spellEnd"/>
      <w:r w:rsidRPr="00D275F9">
        <w:rPr>
          <w:rFonts w:asciiTheme="minorHAnsi" w:hAnsiTheme="minorHAnsi" w:cstheme="minorHAnsi"/>
          <w:sz w:val="20"/>
          <w:szCs w:val="20"/>
        </w:rPr>
        <w:t xml:space="preserve"> </w:t>
      </w:r>
      <w:proofErr w:type="spellStart"/>
      <w:r w:rsidRPr="00D275F9">
        <w:rPr>
          <w:rFonts w:asciiTheme="minorHAnsi" w:hAnsiTheme="minorHAnsi" w:cstheme="minorHAnsi"/>
          <w:sz w:val="20"/>
          <w:szCs w:val="20"/>
        </w:rPr>
        <w:t>Nephrol</w:t>
      </w:r>
      <w:proofErr w:type="spellEnd"/>
      <w:r w:rsidRPr="00D275F9">
        <w:rPr>
          <w:rFonts w:asciiTheme="minorHAnsi" w:hAnsiTheme="minorHAnsi" w:cstheme="minorHAnsi"/>
          <w:sz w:val="20"/>
          <w:szCs w:val="20"/>
        </w:rPr>
        <w:t xml:space="preserve"> 37:443–448. https://doi.org/10.1007/s00467-021-05227-0</w:t>
      </w:r>
    </w:p>
    <w:p w14:paraId="0FEE3125" w14:textId="77777777" w:rsidR="00B1006E" w:rsidRPr="00D275F9" w:rsidRDefault="00B1006E" w:rsidP="00B1006E">
      <w:pPr>
        <w:pStyle w:val="Bibliographie"/>
        <w:rPr>
          <w:rFonts w:asciiTheme="minorHAnsi" w:hAnsiTheme="minorHAnsi" w:cstheme="minorHAnsi"/>
          <w:sz w:val="20"/>
          <w:szCs w:val="20"/>
        </w:rPr>
      </w:pPr>
      <w:r w:rsidRPr="00D275F9">
        <w:rPr>
          <w:rFonts w:asciiTheme="minorHAnsi" w:hAnsiTheme="minorHAnsi" w:cstheme="minorHAnsi"/>
          <w:sz w:val="20"/>
          <w:szCs w:val="20"/>
        </w:rPr>
        <w:t xml:space="preserve">14. </w:t>
      </w:r>
      <w:r w:rsidRPr="00D275F9">
        <w:rPr>
          <w:rFonts w:asciiTheme="minorHAnsi" w:hAnsiTheme="minorHAnsi" w:cstheme="minorHAnsi"/>
          <w:sz w:val="20"/>
          <w:szCs w:val="20"/>
        </w:rPr>
        <w:tab/>
      </w:r>
      <w:proofErr w:type="spellStart"/>
      <w:r w:rsidRPr="00D275F9">
        <w:rPr>
          <w:rFonts w:asciiTheme="minorHAnsi" w:hAnsiTheme="minorHAnsi" w:cstheme="minorHAnsi"/>
          <w:sz w:val="20"/>
          <w:szCs w:val="20"/>
        </w:rPr>
        <w:t>Leow</w:t>
      </w:r>
      <w:proofErr w:type="spellEnd"/>
      <w:r w:rsidRPr="00D275F9">
        <w:rPr>
          <w:rFonts w:asciiTheme="minorHAnsi" w:hAnsiTheme="minorHAnsi" w:cstheme="minorHAnsi"/>
          <w:sz w:val="20"/>
          <w:szCs w:val="20"/>
        </w:rPr>
        <w:t xml:space="preserve"> EH, Wong JJ ‐</w:t>
      </w:r>
      <w:proofErr w:type="gramStart"/>
      <w:r w:rsidRPr="00D275F9">
        <w:rPr>
          <w:rFonts w:asciiTheme="minorHAnsi" w:hAnsiTheme="minorHAnsi" w:cstheme="minorHAnsi"/>
          <w:sz w:val="20"/>
          <w:szCs w:val="20"/>
        </w:rPr>
        <w:t>M.,</w:t>
      </w:r>
      <w:proofErr w:type="gramEnd"/>
      <w:r w:rsidRPr="00D275F9">
        <w:rPr>
          <w:rFonts w:asciiTheme="minorHAnsi" w:hAnsiTheme="minorHAnsi" w:cstheme="minorHAnsi"/>
          <w:sz w:val="20"/>
          <w:szCs w:val="20"/>
        </w:rPr>
        <w:t xml:space="preserve"> </w:t>
      </w:r>
      <w:proofErr w:type="spellStart"/>
      <w:r w:rsidRPr="00D275F9">
        <w:rPr>
          <w:rFonts w:asciiTheme="minorHAnsi" w:hAnsiTheme="minorHAnsi" w:cstheme="minorHAnsi"/>
          <w:sz w:val="20"/>
          <w:szCs w:val="20"/>
        </w:rPr>
        <w:t>Mok</w:t>
      </w:r>
      <w:proofErr w:type="spellEnd"/>
      <w:r w:rsidRPr="00D275F9">
        <w:rPr>
          <w:rFonts w:asciiTheme="minorHAnsi" w:hAnsiTheme="minorHAnsi" w:cstheme="minorHAnsi"/>
          <w:sz w:val="20"/>
          <w:szCs w:val="20"/>
        </w:rPr>
        <w:t xml:space="preserve"> YH, et al (2022) Fluid overload in children with </w:t>
      </w:r>
      <w:proofErr w:type="spellStart"/>
      <w:r w:rsidRPr="00D275F9">
        <w:rPr>
          <w:rFonts w:asciiTheme="minorHAnsi" w:hAnsiTheme="minorHAnsi" w:cstheme="minorHAnsi"/>
          <w:sz w:val="20"/>
          <w:szCs w:val="20"/>
        </w:rPr>
        <w:t>pediatric</w:t>
      </w:r>
      <w:proofErr w:type="spellEnd"/>
      <w:r w:rsidRPr="00D275F9">
        <w:rPr>
          <w:rFonts w:asciiTheme="minorHAnsi" w:hAnsiTheme="minorHAnsi" w:cstheme="minorHAnsi"/>
          <w:sz w:val="20"/>
          <w:szCs w:val="20"/>
        </w:rPr>
        <w:t xml:space="preserve"> acute respiratory distress syndrome: A retrospective cohort study. </w:t>
      </w:r>
      <w:proofErr w:type="spellStart"/>
      <w:r w:rsidRPr="00D275F9">
        <w:rPr>
          <w:rFonts w:asciiTheme="minorHAnsi" w:hAnsiTheme="minorHAnsi" w:cstheme="minorHAnsi"/>
          <w:sz w:val="20"/>
          <w:szCs w:val="20"/>
        </w:rPr>
        <w:t>Pediatr</w:t>
      </w:r>
      <w:proofErr w:type="spellEnd"/>
      <w:r w:rsidRPr="00D275F9">
        <w:rPr>
          <w:rFonts w:asciiTheme="minorHAnsi" w:hAnsiTheme="minorHAnsi" w:cstheme="minorHAnsi"/>
          <w:sz w:val="20"/>
          <w:szCs w:val="20"/>
        </w:rPr>
        <w:t xml:space="preserve"> </w:t>
      </w:r>
      <w:proofErr w:type="spellStart"/>
      <w:r w:rsidRPr="00D275F9">
        <w:rPr>
          <w:rFonts w:asciiTheme="minorHAnsi" w:hAnsiTheme="minorHAnsi" w:cstheme="minorHAnsi"/>
          <w:sz w:val="20"/>
          <w:szCs w:val="20"/>
        </w:rPr>
        <w:t>Pulmonol</w:t>
      </w:r>
      <w:proofErr w:type="spellEnd"/>
      <w:r w:rsidRPr="00D275F9">
        <w:rPr>
          <w:rFonts w:asciiTheme="minorHAnsi" w:hAnsiTheme="minorHAnsi" w:cstheme="minorHAnsi"/>
          <w:sz w:val="20"/>
          <w:szCs w:val="20"/>
        </w:rPr>
        <w:t xml:space="preserve"> 57:300–307. https://doi.org/10.1002/ppul.25720</w:t>
      </w:r>
    </w:p>
    <w:p w14:paraId="3FE02205" w14:textId="77777777" w:rsidR="00B1006E" w:rsidRPr="00D275F9" w:rsidRDefault="00B1006E" w:rsidP="00B1006E">
      <w:pPr>
        <w:pStyle w:val="Bibliographie"/>
        <w:rPr>
          <w:rFonts w:asciiTheme="minorHAnsi" w:hAnsiTheme="minorHAnsi" w:cstheme="minorHAnsi"/>
          <w:sz w:val="20"/>
          <w:szCs w:val="20"/>
        </w:rPr>
      </w:pPr>
      <w:r w:rsidRPr="00D275F9">
        <w:rPr>
          <w:rFonts w:asciiTheme="minorHAnsi" w:hAnsiTheme="minorHAnsi" w:cstheme="minorHAnsi"/>
          <w:sz w:val="20"/>
          <w:szCs w:val="20"/>
        </w:rPr>
        <w:t xml:space="preserve">15. </w:t>
      </w:r>
      <w:r w:rsidRPr="00D275F9">
        <w:rPr>
          <w:rFonts w:asciiTheme="minorHAnsi" w:hAnsiTheme="minorHAnsi" w:cstheme="minorHAnsi"/>
          <w:sz w:val="20"/>
          <w:szCs w:val="20"/>
        </w:rPr>
        <w:tab/>
        <w:t xml:space="preserve">Lima L, Menon S, Goldstein SL, </w:t>
      </w:r>
      <w:proofErr w:type="spellStart"/>
      <w:r w:rsidRPr="00D275F9">
        <w:rPr>
          <w:rFonts w:asciiTheme="minorHAnsi" w:hAnsiTheme="minorHAnsi" w:cstheme="minorHAnsi"/>
          <w:sz w:val="20"/>
          <w:szCs w:val="20"/>
        </w:rPr>
        <w:t>Basu</w:t>
      </w:r>
      <w:proofErr w:type="spellEnd"/>
      <w:r w:rsidRPr="00D275F9">
        <w:rPr>
          <w:rFonts w:asciiTheme="minorHAnsi" w:hAnsiTheme="minorHAnsi" w:cstheme="minorHAnsi"/>
          <w:sz w:val="20"/>
          <w:szCs w:val="20"/>
        </w:rPr>
        <w:t xml:space="preserve"> RK (2021) Timing of Fluid Overload and Association </w:t>
      </w:r>
      <w:proofErr w:type="gramStart"/>
      <w:r w:rsidRPr="00D275F9">
        <w:rPr>
          <w:rFonts w:asciiTheme="minorHAnsi" w:hAnsiTheme="minorHAnsi" w:cstheme="minorHAnsi"/>
          <w:sz w:val="20"/>
          <w:szCs w:val="20"/>
        </w:rPr>
        <w:t>With</w:t>
      </w:r>
      <w:proofErr w:type="gramEnd"/>
      <w:r w:rsidRPr="00D275F9">
        <w:rPr>
          <w:rFonts w:asciiTheme="minorHAnsi" w:hAnsiTheme="minorHAnsi" w:cstheme="minorHAnsi"/>
          <w:sz w:val="20"/>
          <w:szCs w:val="20"/>
        </w:rPr>
        <w:t xml:space="preserve"> Patient Outcome. </w:t>
      </w:r>
      <w:proofErr w:type="spellStart"/>
      <w:r w:rsidRPr="00D275F9">
        <w:rPr>
          <w:rFonts w:asciiTheme="minorHAnsi" w:hAnsiTheme="minorHAnsi" w:cstheme="minorHAnsi"/>
          <w:sz w:val="20"/>
          <w:szCs w:val="20"/>
        </w:rPr>
        <w:t>Pediatr</w:t>
      </w:r>
      <w:proofErr w:type="spellEnd"/>
      <w:r w:rsidRPr="00D275F9">
        <w:rPr>
          <w:rFonts w:asciiTheme="minorHAnsi" w:hAnsiTheme="minorHAnsi" w:cstheme="minorHAnsi"/>
          <w:sz w:val="20"/>
          <w:szCs w:val="20"/>
        </w:rPr>
        <w:t xml:space="preserve"> </w:t>
      </w:r>
      <w:proofErr w:type="spellStart"/>
      <w:r w:rsidRPr="00D275F9">
        <w:rPr>
          <w:rFonts w:asciiTheme="minorHAnsi" w:hAnsiTheme="minorHAnsi" w:cstheme="minorHAnsi"/>
          <w:sz w:val="20"/>
          <w:szCs w:val="20"/>
        </w:rPr>
        <w:t>Crit</w:t>
      </w:r>
      <w:proofErr w:type="spellEnd"/>
      <w:r w:rsidRPr="00D275F9">
        <w:rPr>
          <w:rFonts w:asciiTheme="minorHAnsi" w:hAnsiTheme="minorHAnsi" w:cstheme="minorHAnsi"/>
          <w:sz w:val="20"/>
          <w:szCs w:val="20"/>
        </w:rPr>
        <w:t xml:space="preserve"> Care Med 22:114–124. https://doi.org/10.1097/PCC.0000000000002547</w:t>
      </w:r>
    </w:p>
    <w:p w14:paraId="148601E5" w14:textId="77777777" w:rsidR="00B1006E" w:rsidRPr="00D275F9" w:rsidRDefault="00B1006E" w:rsidP="00B1006E">
      <w:pPr>
        <w:pStyle w:val="Bibliographie"/>
        <w:rPr>
          <w:rFonts w:asciiTheme="minorHAnsi" w:hAnsiTheme="minorHAnsi" w:cstheme="minorHAnsi"/>
          <w:sz w:val="20"/>
          <w:szCs w:val="20"/>
        </w:rPr>
      </w:pPr>
      <w:r w:rsidRPr="00D275F9">
        <w:rPr>
          <w:rFonts w:asciiTheme="minorHAnsi" w:hAnsiTheme="minorHAnsi" w:cstheme="minorHAnsi"/>
          <w:sz w:val="20"/>
          <w:szCs w:val="20"/>
        </w:rPr>
        <w:lastRenderedPageBreak/>
        <w:t xml:space="preserve">16. </w:t>
      </w:r>
      <w:r w:rsidRPr="00D275F9">
        <w:rPr>
          <w:rFonts w:asciiTheme="minorHAnsi" w:hAnsiTheme="minorHAnsi" w:cstheme="minorHAnsi"/>
          <w:sz w:val="20"/>
          <w:szCs w:val="20"/>
        </w:rPr>
        <w:tab/>
        <w:t xml:space="preserve">Maurice L, </w:t>
      </w:r>
      <w:proofErr w:type="spellStart"/>
      <w:r w:rsidRPr="00D275F9">
        <w:rPr>
          <w:rFonts w:asciiTheme="minorHAnsi" w:hAnsiTheme="minorHAnsi" w:cstheme="minorHAnsi"/>
          <w:sz w:val="20"/>
          <w:szCs w:val="20"/>
        </w:rPr>
        <w:t>Julliand</w:t>
      </w:r>
      <w:proofErr w:type="spellEnd"/>
      <w:r w:rsidRPr="00D275F9">
        <w:rPr>
          <w:rFonts w:asciiTheme="minorHAnsi" w:hAnsiTheme="minorHAnsi" w:cstheme="minorHAnsi"/>
          <w:sz w:val="20"/>
          <w:szCs w:val="20"/>
        </w:rPr>
        <w:t xml:space="preserve"> S, </w:t>
      </w:r>
      <w:proofErr w:type="spellStart"/>
      <w:r w:rsidRPr="00D275F9">
        <w:rPr>
          <w:rFonts w:asciiTheme="minorHAnsi" w:hAnsiTheme="minorHAnsi" w:cstheme="minorHAnsi"/>
          <w:sz w:val="20"/>
          <w:szCs w:val="20"/>
        </w:rPr>
        <w:t>Polak</w:t>
      </w:r>
      <w:proofErr w:type="spellEnd"/>
      <w:r w:rsidRPr="00D275F9">
        <w:rPr>
          <w:rFonts w:asciiTheme="minorHAnsi" w:hAnsiTheme="minorHAnsi" w:cstheme="minorHAnsi"/>
          <w:sz w:val="20"/>
          <w:szCs w:val="20"/>
        </w:rPr>
        <w:t xml:space="preserve"> M, et al (2022) Management of severe inaugural diabetic ketoacidosis in paediatric intensive care: retrospective comparison of two protocols. </w:t>
      </w:r>
      <w:proofErr w:type="spellStart"/>
      <w:r w:rsidRPr="00D275F9">
        <w:rPr>
          <w:rFonts w:asciiTheme="minorHAnsi" w:hAnsiTheme="minorHAnsi" w:cstheme="minorHAnsi"/>
          <w:sz w:val="20"/>
          <w:szCs w:val="20"/>
        </w:rPr>
        <w:t>Eur</w:t>
      </w:r>
      <w:proofErr w:type="spellEnd"/>
      <w:r w:rsidRPr="00D275F9">
        <w:rPr>
          <w:rFonts w:asciiTheme="minorHAnsi" w:hAnsiTheme="minorHAnsi" w:cstheme="minorHAnsi"/>
          <w:sz w:val="20"/>
          <w:szCs w:val="20"/>
        </w:rPr>
        <w:t xml:space="preserve"> J </w:t>
      </w:r>
      <w:proofErr w:type="spellStart"/>
      <w:r w:rsidRPr="00D275F9">
        <w:rPr>
          <w:rFonts w:asciiTheme="minorHAnsi" w:hAnsiTheme="minorHAnsi" w:cstheme="minorHAnsi"/>
          <w:sz w:val="20"/>
          <w:szCs w:val="20"/>
        </w:rPr>
        <w:t>Pediatr</w:t>
      </w:r>
      <w:proofErr w:type="spellEnd"/>
      <w:r w:rsidRPr="00D275F9">
        <w:rPr>
          <w:rFonts w:asciiTheme="minorHAnsi" w:hAnsiTheme="minorHAnsi" w:cstheme="minorHAnsi"/>
          <w:sz w:val="20"/>
          <w:szCs w:val="20"/>
        </w:rPr>
        <w:t xml:space="preserve"> 181:1497–1506. https://doi.org/10.1007/s00431-021-04332-4</w:t>
      </w:r>
    </w:p>
    <w:p w14:paraId="74036D21" w14:textId="77777777" w:rsidR="00B1006E" w:rsidRPr="00D275F9" w:rsidRDefault="00B1006E" w:rsidP="00B1006E">
      <w:pPr>
        <w:pStyle w:val="Bibliographie"/>
        <w:rPr>
          <w:rFonts w:asciiTheme="minorHAnsi" w:hAnsiTheme="minorHAnsi" w:cstheme="minorHAnsi"/>
          <w:sz w:val="20"/>
          <w:szCs w:val="20"/>
        </w:rPr>
      </w:pPr>
      <w:r w:rsidRPr="00D275F9">
        <w:rPr>
          <w:rFonts w:asciiTheme="minorHAnsi" w:hAnsiTheme="minorHAnsi" w:cstheme="minorHAnsi"/>
          <w:sz w:val="20"/>
          <w:szCs w:val="20"/>
        </w:rPr>
        <w:t xml:space="preserve">17. </w:t>
      </w:r>
      <w:r w:rsidRPr="00D275F9">
        <w:rPr>
          <w:rFonts w:asciiTheme="minorHAnsi" w:hAnsiTheme="minorHAnsi" w:cstheme="minorHAnsi"/>
          <w:sz w:val="20"/>
          <w:szCs w:val="20"/>
        </w:rPr>
        <w:tab/>
        <w:t xml:space="preserve">Moretti ME, </w:t>
      </w:r>
      <w:proofErr w:type="spellStart"/>
      <w:r w:rsidRPr="00D275F9">
        <w:rPr>
          <w:rFonts w:asciiTheme="minorHAnsi" w:hAnsiTheme="minorHAnsi" w:cstheme="minorHAnsi"/>
          <w:sz w:val="20"/>
          <w:szCs w:val="20"/>
        </w:rPr>
        <w:t>Ungar</w:t>
      </w:r>
      <w:proofErr w:type="spellEnd"/>
      <w:r w:rsidRPr="00D275F9">
        <w:rPr>
          <w:rFonts w:asciiTheme="minorHAnsi" w:hAnsiTheme="minorHAnsi" w:cstheme="minorHAnsi"/>
          <w:sz w:val="20"/>
          <w:szCs w:val="20"/>
        </w:rPr>
        <w:t xml:space="preserve"> WJ, Freedman SB, </w:t>
      </w:r>
      <w:proofErr w:type="spellStart"/>
      <w:r w:rsidRPr="00D275F9">
        <w:rPr>
          <w:rFonts w:asciiTheme="minorHAnsi" w:hAnsiTheme="minorHAnsi" w:cstheme="minorHAnsi"/>
          <w:sz w:val="20"/>
          <w:szCs w:val="20"/>
        </w:rPr>
        <w:t>Schuh</w:t>
      </w:r>
      <w:proofErr w:type="spellEnd"/>
      <w:r w:rsidRPr="00D275F9">
        <w:rPr>
          <w:rFonts w:asciiTheme="minorHAnsi" w:hAnsiTheme="minorHAnsi" w:cstheme="minorHAnsi"/>
          <w:sz w:val="20"/>
          <w:szCs w:val="20"/>
        </w:rPr>
        <w:t xml:space="preserve"> S (2021) Cost-effectiveness of preferred fluids versus electrolytes in </w:t>
      </w:r>
      <w:proofErr w:type="spellStart"/>
      <w:r w:rsidRPr="00D275F9">
        <w:rPr>
          <w:rFonts w:asciiTheme="minorHAnsi" w:hAnsiTheme="minorHAnsi" w:cstheme="minorHAnsi"/>
          <w:sz w:val="20"/>
          <w:szCs w:val="20"/>
        </w:rPr>
        <w:t>pediatric</w:t>
      </w:r>
      <w:proofErr w:type="spellEnd"/>
      <w:r w:rsidRPr="00D275F9">
        <w:rPr>
          <w:rFonts w:asciiTheme="minorHAnsi" w:hAnsiTheme="minorHAnsi" w:cstheme="minorHAnsi"/>
          <w:sz w:val="20"/>
          <w:szCs w:val="20"/>
        </w:rPr>
        <w:t xml:space="preserve"> gastroenteritis. Can J </w:t>
      </w:r>
      <w:proofErr w:type="spellStart"/>
      <w:r w:rsidRPr="00D275F9">
        <w:rPr>
          <w:rFonts w:asciiTheme="minorHAnsi" w:hAnsiTheme="minorHAnsi" w:cstheme="minorHAnsi"/>
          <w:sz w:val="20"/>
          <w:szCs w:val="20"/>
        </w:rPr>
        <w:t>Emerg</w:t>
      </w:r>
      <w:proofErr w:type="spellEnd"/>
      <w:r w:rsidRPr="00D275F9">
        <w:rPr>
          <w:rFonts w:asciiTheme="minorHAnsi" w:hAnsiTheme="minorHAnsi" w:cstheme="minorHAnsi"/>
          <w:sz w:val="20"/>
          <w:szCs w:val="20"/>
        </w:rPr>
        <w:t xml:space="preserve"> Med 23:646–654. https://doi.org/10.1007/s43678-021-00108-9</w:t>
      </w:r>
    </w:p>
    <w:p w14:paraId="427E7B02" w14:textId="77777777" w:rsidR="00B1006E" w:rsidRPr="00D275F9" w:rsidRDefault="00B1006E" w:rsidP="00B1006E">
      <w:pPr>
        <w:pStyle w:val="Bibliographie"/>
        <w:rPr>
          <w:rFonts w:asciiTheme="minorHAnsi" w:hAnsiTheme="minorHAnsi" w:cstheme="minorHAnsi"/>
          <w:sz w:val="20"/>
          <w:szCs w:val="20"/>
        </w:rPr>
      </w:pPr>
      <w:r w:rsidRPr="00D275F9">
        <w:rPr>
          <w:rFonts w:asciiTheme="minorHAnsi" w:hAnsiTheme="minorHAnsi" w:cstheme="minorHAnsi"/>
          <w:sz w:val="20"/>
          <w:szCs w:val="20"/>
        </w:rPr>
        <w:t xml:space="preserve">18. </w:t>
      </w:r>
      <w:r w:rsidRPr="00D275F9">
        <w:rPr>
          <w:rFonts w:asciiTheme="minorHAnsi" w:hAnsiTheme="minorHAnsi" w:cstheme="minorHAnsi"/>
          <w:sz w:val="20"/>
          <w:szCs w:val="20"/>
        </w:rPr>
        <w:tab/>
      </w:r>
      <w:proofErr w:type="spellStart"/>
      <w:r w:rsidRPr="00D275F9">
        <w:rPr>
          <w:rFonts w:asciiTheme="minorHAnsi" w:hAnsiTheme="minorHAnsi" w:cstheme="minorHAnsi"/>
          <w:sz w:val="20"/>
          <w:szCs w:val="20"/>
        </w:rPr>
        <w:t>Ottolini</w:t>
      </w:r>
      <w:proofErr w:type="spellEnd"/>
      <w:r w:rsidRPr="00D275F9">
        <w:rPr>
          <w:rFonts w:asciiTheme="minorHAnsi" w:hAnsiTheme="minorHAnsi" w:cstheme="minorHAnsi"/>
          <w:sz w:val="20"/>
          <w:szCs w:val="20"/>
        </w:rPr>
        <w:t xml:space="preserve"> KM, </w:t>
      </w:r>
      <w:proofErr w:type="spellStart"/>
      <w:r w:rsidRPr="00D275F9">
        <w:rPr>
          <w:rFonts w:asciiTheme="minorHAnsi" w:hAnsiTheme="minorHAnsi" w:cstheme="minorHAnsi"/>
          <w:sz w:val="20"/>
          <w:szCs w:val="20"/>
        </w:rPr>
        <w:t>Basu</w:t>
      </w:r>
      <w:proofErr w:type="spellEnd"/>
      <w:r w:rsidRPr="00D275F9">
        <w:rPr>
          <w:rFonts w:asciiTheme="minorHAnsi" w:hAnsiTheme="minorHAnsi" w:cstheme="minorHAnsi"/>
          <w:sz w:val="20"/>
          <w:szCs w:val="20"/>
        </w:rPr>
        <w:t xml:space="preserve"> SK, Herrera N, et al (2021) Positive fluid balance is associated with death and severity of brain injury in neonates with hypoxic–ischemic encephalopathy. J </w:t>
      </w:r>
      <w:proofErr w:type="spellStart"/>
      <w:r w:rsidRPr="00D275F9">
        <w:rPr>
          <w:rFonts w:asciiTheme="minorHAnsi" w:hAnsiTheme="minorHAnsi" w:cstheme="minorHAnsi"/>
          <w:sz w:val="20"/>
          <w:szCs w:val="20"/>
        </w:rPr>
        <w:t>Perinatol</w:t>
      </w:r>
      <w:proofErr w:type="spellEnd"/>
      <w:r w:rsidRPr="00D275F9">
        <w:rPr>
          <w:rFonts w:asciiTheme="minorHAnsi" w:hAnsiTheme="minorHAnsi" w:cstheme="minorHAnsi"/>
          <w:sz w:val="20"/>
          <w:szCs w:val="20"/>
        </w:rPr>
        <w:t xml:space="preserve"> 41:1331–1338. https://doi.org/10.1038/s41372-021-00988-w</w:t>
      </w:r>
    </w:p>
    <w:p w14:paraId="0941C47C" w14:textId="77777777" w:rsidR="00B1006E" w:rsidRPr="00D275F9" w:rsidRDefault="00B1006E" w:rsidP="00B1006E">
      <w:pPr>
        <w:pStyle w:val="Bibliographie"/>
        <w:rPr>
          <w:rFonts w:asciiTheme="minorHAnsi" w:hAnsiTheme="minorHAnsi" w:cstheme="minorHAnsi"/>
          <w:sz w:val="20"/>
          <w:szCs w:val="20"/>
        </w:rPr>
      </w:pPr>
      <w:r w:rsidRPr="00D275F9">
        <w:rPr>
          <w:rFonts w:asciiTheme="minorHAnsi" w:hAnsiTheme="minorHAnsi" w:cstheme="minorHAnsi"/>
          <w:sz w:val="20"/>
          <w:szCs w:val="20"/>
        </w:rPr>
        <w:t xml:space="preserve">19. </w:t>
      </w:r>
      <w:r w:rsidRPr="00D275F9">
        <w:rPr>
          <w:rFonts w:asciiTheme="minorHAnsi" w:hAnsiTheme="minorHAnsi" w:cstheme="minorHAnsi"/>
          <w:sz w:val="20"/>
          <w:szCs w:val="20"/>
        </w:rPr>
        <w:tab/>
      </w:r>
      <w:proofErr w:type="spellStart"/>
      <w:r w:rsidRPr="00D275F9">
        <w:rPr>
          <w:rFonts w:asciiTheme="minorHAnsi" w:hAnsiTheme="minorHAnsi" w:cstheme="minorHAnsi"/>
          <w:sz w:val="20"/>
          <w:szCs w:val="20"/>
        </w:rPr>
        <w:t>Poonai</w:t>
      </w:r>
      <w:proofErr w:type="spellEnd"/>
      <w:r w:rsidRPr="00D275F9">
        <w:rPr>
          <w:rFonts w:asciiTheme="minorHAnsi" w:hAnsiTheme="minorHAnsi" w:cstheme="minorHAnsi"/>
          <w:sz w:val="20"/>
          <w:szCs w:val="20"/>
        </w:rPr>
        <w:t xml:space="preserve"> N, Powell EC, </w:t>
      </w:r>
      <w:proofErr w:type="spellStart"/>
      <w:r w:rsidRPr="00D275F9">
        <w:rPr>
          <w:rFonts w:asciiTheme="minorHAnsi" w:hAnsiTheme="minorHAnsi" w:cstheme="minorHAnsi"/>
          <w:sz w:val="20"/>
          <w:szCs w:val="20"/>
        </w:rPr>
        <w:t>Schnadower</w:t>
      </w:r>
      <w:proofErr w:type="spellEnd"/>
      <w:r w:rsidRPr="00D275F9">
        <w:rPr>
          <w:rFonts w:asciiTheme="minorHAnsi" w:hAnsiTheme="minorHAnsi" w:cstheme="minorHAnsi"/>
          <w:sz w:val="20"/>
          <w:szCs w:val="20"/>
        </w:rPr>
        <w:t xml:space="preserve"> D, et al (2021) Variables Associated With Intravenous Rehydration and Hospitalization in Children With Acute Gastroenteritis: A Secondary Analysis of 2 Randomized Clinical Trials. JAMA </w:t>
      </w:r>
      <w:proofErr w:type="spellStart"/>
      <w:r w:rsidRPr="00D275F9">
        <w:rPr>
          <w:rFonts w:asciiTheme="minorHAnsi" w:hAnsiTheme="minorHAnsi" w:cstheme="minorHAnsi"/>
          <w:sz w:val="20"/>
          <w:szCs w:val="20"/>
        </w:rPr>
        <w:t>Netw</w:t>
      </w:r>
      <w:proofErr w:type="spellEnd"/>
      <w:r w:rsidRPr="00D275F9">
        <w:rPr>
          <w:rFonts w:asciiTheme="minorHAnsi" w:hAnsiTheme="minorHAnsi" w:cstheme="minorHAnsi"/>
          <w:sz w:val="20"/>
          <w:szCs w:val="20"/>
        </w:rPr>
        <w:t xml:space="preserve"> Open 4:e216433. https://doi.org/10.1001/jamanetworkopen.2021.6433</w:t>
      </w:r>
    </w:p>
    <w:p w14:paraId="3B1B8AD6" w14:textId="77777777" w:rsidR="00B1006E" w:rsidRPr="00D275F9" w:rsidRDefault="00B1006E" w:rsidP="00B1006E">
      <w:pPr>
        <w:pStyle w:val="Bibliographie"/>
        <w:rPr>
          <w:rFonts w:asciiTheme="minorHAnsi" w:hAnsiTheme="minorHAnsi" w:cstheme="minorHAnsi"/>
          <w:sz w:val="20"/>
          <w:szCs w:val="20"/>
        </w:rPr>
      </w:pPr>
      <w:r w:rsidRPr="00D275F9">
        <w:rPr>
          <w:rFonts w:asciiTheme="minorHAnsi" w:hAnsiTheme="minorHAnsi" w:cstheme="minorHAnsi"/>
          <w:sz w:val="20"/>
          <w:szCs w:val="20"/>
        </w:rPr>
        <w:t xml:space="preserve">20. </w:t>
      </w:r>
      <w:r w:rsidRPr="00D275F9">
        <w:rPr>
          <w:rFonts w:asciiTheme="minorHAnsi" w:hAnsiTheme="minorHAnsi" w:cstheme="minorHAnsi"/>
          <w:sz w:val="20"/>
          <w:szCs w:val="20"/>
        </w:rPr>
        <w:tab/>
        <w:t xml:space="preserve">Raman S, </w:t>
      </w:r>
      <w:proofErr w:type="spellStart"/>
      <w:r w:rsidRPr="00D275F9">
        <w:rPr>
          <w:rFonts w:asciiTheme="minorHAnsi" w:hAnsiTheme="minorHAnsi" w:cstheme="minorHAnsi"/>
          <w:sz w:val="20"/>
          <w:szCs w:val="20"/>
        </w:rPr>
        <w:t>Schibler</w:t>
      </w:r>
      <w:proofErr w:type="spellEnd"/>
      <w:r w:rsidRPr="00D275F9">
        <w:rPr>
          <w:rFonts w:asciiTheme="minorHAnsi" w:hAnsiTheme="minorHAnsi" w:cstheme="minorHAnsi"/>
          <w:sz w:val="20"/>
          <w:szCs w:val="20"/>
        </w:rPr>
        <w:t xml:space="preserve"> A, </w:t>
      </w:r>
      <w:proofErr w:type="spellStart"/>
      <w:r w:rsidRPr="00D275F9">
        <w:rPr>
          <w:rFonts w:asciiTheme="minorHAnsi" w:hAnsiTheme="minorHAnsi" w:cstheme="minorHAnsi"/>
          <w:sz w:val="20"/>
          <w:szCs w:val="20"/>
        </w:rPr>
        <w:t>Marsney</w:t>
      </w:r>
      <w:proofErr w:type="spellEnd"/>
      <w:r w:rsidRPr="00D275F9">
        <w:rPr>
          <w:rFonts w:asciiTheme="minorHAnsi" w:hAnsiTheme="minorHAnsi" w:cstheme="minorHAnsi"/>
          <w:sz w:val="20"/>
          <w:szCs w:val="20"/>
        </w:rPr>
        <w:t xml:space="preserve"> RL, et al (2021) 0.9% Sodium chloride solution versus Plasma-</w:t>
      </w:r>
      <w:proofErr w:type="spellStart"/>
      <w:r w:rsidRPr="00D275F9">
        <w:rPr>
          <w:rFonts w:asciiTheme="minorHAnsi" w:hAnsiTheme="minorHAnsi" w:cstheme="minorHAnsi"/>
          <w:sz w:val="20"/>
          <w:szCs w:val="20"/>
        </w:rPr>
        <w:t>Lyte</w:t>
      </w:r>
      <w:proofErr w:type="spellEnd"/>
      <w:r w:rsidRPr="00D275F9">
        <w:rPr>
          <w:rFonts w:asciiTheme="minorHAnsi" w:hAnsiTheme="minorHAnsi" w:cstheme="minorHAnsi"/>
          <w:sz w:val="20"/>
          <w:szCs w:val="20"/>
        </w:rPr>
        <w:t xml:space="preserve"> 148 versus compound sodium </w:t>
      </w:r>
      <w:proofErr w:type="spellStart"/>
      <w:r w:rsidRPr="00D275F9">
        <w:rPr>
          <w:rFonts w:asciiTheme="minorHAnsi" w:hAnsiTheme="minorHAnsi" w:cstheme="minorHAnsi"/>
          <w:sz w:val="20"/>
          <w:szCs w:val="20"/>
        </w:rPr>
        <w:t>lacTate</w:t>
      </w:r>
      <w:proofErr w:type="spellEnd"/>
      <w:r w:rsidRPr="00D275F9">
        <w:rPr>
          <w:rFonts w:asciiTheme="minorHAnsi" w:hAnsiTheme="minorHAnsi" w:cstheme="minorHAnsi"/>
          <w:sz w:val="20"/>
          <w:szCs w:val="20"/>
        </w:rPr>
        <w:t xml:space="preserve"> solution in children admitted to PICU—a randomized controlled trial (SPLYT-P): study protocol for an intravenous fluid therapy trial. Trials 22:427. https://doi.org/10.1186/s13063-021-05376-5</w:t>
      </w:r>
    </w:p>
    <w:p w14:paraId="2AA9F9A7" w14:textId="77777777" w:rsidR="00B1006E" w:rsidRPr="00D275F9" w:rsidRDefault="00B1006E" w:rsidP="00B1006E">
      <w:pPr>
        <w:pStyle w:val="Bibliographie"/>
        <w:rPr>
          <w:rFonts w:asciiTheme="minorHAnsi" w:hAnsiTheme="minorHAnsi" w:cstheme="minorHAnsi"/>
          <w:sz w:val="20"/>
          <w:szCs w:val="20"/>
        </w:rPr>
      </w:pPr>
      <w:r w:rsidRPr="00D275F9">
        <w:rPr>
          <w:rFonts w:asciiTheme="minorHAnsi" w:hAnsiTheme="minorHAnsi" w:cstheme="minorHAnsi"/>
          <w:sz w:val="20"/>
          <w:szCs w:val="20"/>
        </w:rPr>
        <w:t xml:space="preserve">21. </w:t>
      </w:r>
      <w:r w:rsidRPr="00D275F9">
        <w:rPr>
          <w:rFonts w:asciiTheme="minorHAnsi" w:hAnsiTheme="minorHAnsi" w:cstheme="minorHAnsi"/>
          <w:sz w:val="20"/>
          <w:szCs w:val="20"/>
        </w:rPr>
        <w:tab/>
      </w:r>
      <w:proofErr w:type="spellStart"/>
      <w:r w:rsidRPr="00D275F9">
        <w:rPr>
          <w:rFonts w:asciiTheme="minorHAnsi" w:hAnsiTheme="minorHAnsi" w:cstheme="minorHAnsi"/>
          <w:sz w:val="20"/>
          <w:szCs w:val="20"/>
        </w:rPr>
        <w:t>Rewers</w:t>
      </w:r>
      <w:proofErr w:type="spellEnd"/>
      <w:r w:rsidRPr="00D275F9">
        <w:rPr>
          <w:rFonts w:asciiTheme="minorHAnsi" w:hAnsiTheme="minorHAnsi" w:cstheme="minorHAnsi"/>
          <w:sz w:val="20"/>
          <w:szCs w:val="20"/>
        </w:rPr>
        <w:t xml:space="preserve"> A, </w:t>
      </w:r>
      <w:proofErr w:type="spellStart"/>
      <w:r w:rsidRPr="00D275F9">
        <w:rPr>
          <w:rFonts w:asciiTheme="minorHAnsi" w:hAnsiTheme="minorHAnsi" w:cstheme="minorHAnsi"/>
          <w:sz w:val="20"/>
          <w:szCs w:val="20"/>
        </w:rPr>
        <w:t>Kuppermann</w:t>
      </w:r>
      <w:proofErr w:type="spellEnd"/>
      <w:r w:rsidRPr="00D275F9">
        <w:rPr>
          <w:rFonts w:asciiTheme="minorHAnsi" w:hAnsiTheme="minorHAnsi" w:cstheme="minorHAnsi"/>
          <w:sz w:val="20"/>
          <w:szCs w:val="20"/>
        </w:rPr>
        <w:t xml:space="preserve"> N, Stoner MJ, et al (2021) Effects of Fluid Rehydration Strategy on Correction of Acidosis and Electrolyte Abnormalities in Children With Diabetic Ketoacidosis. Diabetes Care 44:2061–2068. https://doi.org/10.2337/dc20-3113</w:t>
      </w:r>
    </w:p>
    <w:p w14:paraId="55DB4133" w14:textId="77777777" w:rsidR="00B1006E" w:rsidRPr="00D275F9" w:rsidRDefault="00B1006E" w:rsidP="00B1006E">
      <w:pPr>
        <w:pStyle w:val="Bibliographie"/>
        <w:rPr>
          <w:rFonts w:asciiTheme="minorHAnsi" w:hAnsiTheme="minorHAnsi" w:cstheme="minorHAnsi"/>
          <w:sz w:val="20"/>
          <w:szCs w:val="20"/>
        </w:rPr>
      </w:pPr>
      <w:r w:rsidRPr="00D275F9">
        <w:rPr>
          <w:rFonts w:asciiTheme="minorHAnsi" w:hAnsiTheme="minorHAnsi" w:cstheme="minorHAnsi"/>
          <w:sz w:val="20"/>
          <w:szCs w:val="20"/>
        </w:rPr>
        <w:t xml:space="preserve">22. </w:t>
      </w:r>
      <w:r w:rsidRPr="00D275F9">
        <w:rPr>
          <w:rFonts w:asciiTheme="minorHAnsi" w:hAnsiTheme="minorHAnsi" w:cstheme="minorHAnsi"/>
          <w:sz w:val="20"/>
          <w:szCs w:val="20"/>
        </w:rPr>
        <w:tab/>
        <w:t xml:space="preserve">Shrestha AL, </w:t>
      </w:r>
      <w:proofErr w:type="spellStart"/>
      <w:r w:rsidRPr="00D275F9">
        <w:rPr>
          <w:rFonts w:asciiTheme="minorHAnsi" w:hAnsiTheme="minorHAnsi" w:cstheme="minorHAnsi"/>
          <w:sz w:val="20"/>
          <w:szCs w:val="20"/>
        </w:rPr>
        <w:t>Jehangir</w:t>
      </w:r>
      <w:proofErr w:type="spellEnd"/>
      <w:r w:rsidRPr="00D275F9">
        <w:rPr>
          <w:rFonts w:asciiTheme="minorHAnsi" w:hAnsiTheme="minorHAnsi" w:cstheme="minorHAnsi"/>
          <w:sz w:val="20"/>
          <w:szCs w:val="20"/>
        </w:rPr>
        <w:t xml:space="preserve"> S, Thomas RJ (2021) Hyponatremia among Postoperative Children Administered with Hypotonic Fluids in a Tertiary Care Hospital: A Descriptive Cross-sectional Study. J Nepal Med </w:t>
      </w:r>
      <w:proofErr w:type="spellStart"/>
      <w:r w:rsidRPr="00D275F9">
        <w:rPr>
          <w:rFonts w:asciiTheme="minorHAnsi" w:hAnsiTheme="minorHAnsi" w:cstheme="minorHAnsi"/>
          <w:sz w:val="20"/>
          <w:szCs w:val="20"/>
        </w:rPr>
        <w:t>Assoc</w:t>
      </w:r>
      <w:proofErr w:type="spellEnd"/>
      <w:r w:rsidRPr="00D275F9">
        <w:rPr>
          <w:rFonts w:asciiTheme="minorHAnsi" w:hAnsiTheme="minorHAnsi" w:cstheme="minorHAnsi"/>
          <w:sz w:val="20"/>
          <w:szCs w:val="20"/>
        </w:rPr>
        <w:t xml:space="preserve"> 59:1131–1135. https://doi.org/10.31729/jnma.7133</w:t>
      </w:r>
    </w:p>
    <w:p w14:paraId="576130F2" w14:textId="77777777" w:rsidR="00B1006E" w:rsidRPr="00D275F9" w:rsidRDefault="00B1006E" w:rsidP="00B1006E">
      <w:pPr>
        <w:pStyle w:val="Bibliographie"/>
        <w:rPr>
          <w:rFonts w:asciiTheme="minorHAnsi" w:hAnsiTheme="minorHAnsi" w:cstheme="minorHAnsi"/>
          <w:sz w:val="20"/>
          <w:szCs w:val="20"/>
        </w:rPr>
      </w:pPr>
      <w:r w:rsidRPr="00D275F9">
        <w:rPr>
          <w:rFonts w:asciiTheme="minorHAnsi" w:hAnsiTheme="minorHAnsi" w:cstheme="minorHAnsi"/>
          <w:sz w:val="20"/>
          <w:szCs w:val="20"/>
        </w:rPr>
        <w:t xml:space="preserve">23. </w:t>
      </w:r>
      <w:r w:rsidRPr="00D275F9">
        <w:rPr>
          <w:rFonts w:asciiTheme="minorHAnsi" w:hAnsiTheme="minorHAnsi" w:cstheme="minorHAnsi"/>
          <w:sz w:val="20"/>
          <w:szCs w:val="20"/>
        </w:rPr>
        <w:tab/>
      </w:r>
      <w:proofErr w:type="spellStart"/>
      <w:r w:rsidRPr="00D275F9">
        <w:rPr>
          <w:rFonts w:asciiTheme="minorHAnsi" w:hAnsiTheme="minorHAnsi" w:cstheme="minorHAnsi"/>
          <w:sz w:val="20"/>
          <w:szCs w:val="20"/>
        </w:rPr>
        <w:t>Tuzun</w:t>
      </w:r>
      <w:proofErr w:type="spellEnd"/>
      <w:r w:rsidRPr="00D275F9">
        <w:rPr>
          <w:rFonts w:asciiTheme="minorHAnsi" w:hAnsiTheme="minorHAnsi" w:cstheme="minorHAnsi"/>
          <w:sz w:val="20"/>
          <w:szCs w:val="20"/>
        </w:rPr>
        <w:t xml:space="preserve"> F, </w:t>
      </w:r>
      <w:proofErr w:type="spellStart"/>
      <w:r w:rsidRPr="00D275F9">
        <w:rPr>
          <w:rFonts w:asciiTheme="minorHAnsi" w:hAnsiTheme="minorHAnsi" w:cstheme="minorHAnsi"/>
          <w:sz w:val="20"/>
          <w:szCs w:val="20"/>
        </w:rPr>
        <w:t>Akcura</w:t>
      </w:r>
      <w:proofErr w:type="spellEnd"/>
      <w:r w:rsidRPr="00D275F9">
        <w:rPr>
          <w:rFonts w:asciiTheme="minorHAnsi" w:hAnsiTheme="minorHAnsi" w:cstheme="minorHAnsi"/>
          <w:sz w:val="20"/>
          <w:szCs w:val="20"/>
        </w:rPr>
        <w:t xml:space="preserve"> Y, </w:t>
      </w:r>
      <w:proofErr w:type="spellStart"/>
      <w:r w:rsidRPr="00D275F9">
        <w:rPr>
          <w:rFonts w:asciiTheme="minorHAnsi" w:hAnsiTheme="minorHAnsi" w:cstheme="minorHAnsi"/>
          <w:sz w:val="20"/>
          <w:szCs w:val="20"/>
        </w:rPr>
        <w:t>Duman</w:t>
      </w:r>
      <w:proofErr w:type="spellEnd"/>
      <w:r w:rsidRPr="00D275F9">
        <w:rPr>
          <w:rFonts w:asciiTheme="minorHAnsi" w:hAnsiTheme="minorHAnsi" w:cstheme="minorHAnsi"/>
          <w:sz w:val="20"/>
          <w:szCs w:val="20"/>
        </w:rPr>
        <w:t xml:space="preserve"> N, </w:t>
      </w:r>
      <w:proofErr w:type="spellStart"/>
      <w:proofErr w:type="gramStart"/>
      <w:r w:rsidRPr="00D275F9">
        <w:rPr>
          <w:rFonts w:asciiTheme="minorHAnsi" w:hAnsiTheme="minorHAnsi" w:cstheme="minorHAnsi"/>
          <w:sz w:val="20"/>
          <w:szCs w:val="20"/>
        </w:rPr>
        <w:t>Ozkan</w:t>
      </w:r>
      <w:proofErr w:type="spellEnd"/>
      <w:proofErr w:type="gramEnd"/>
      <w:r w:rsidRPr="00D275F9">
        <w:rPr>
          <w:rFonts w:asciiTheme="minorHAnsi" w:hAnsiTheme="minorHAnsi" w:cstheme="minorHAnsi"/>
          <w:sz w:val="20"/>
          <w:szCs w:val="20"/>
        </w:rPr>
        <w:t xml:space="preserve"> H (2022) Comparison of isotonic and hypotonic intravenous fluids in term </w:t>
      </w:r>
      <w:proofErr w:type="spellStart"/>
      <w:r w:rsidRPr="00D275F9">
        <w:rPr>
          <w:rFonts w:asciiTheme="minorHAnsi" w:hAnsiTheme="minorHAnsi" w:cstheme="minorHAnsi"/>
          <w:sz w:val="20"/>
          <w:szCs w:val="20"/>
        </w:rPr>
        <w:t>newborns</w:t>
      </w:r>
      <w:proofErr w:type="spellEnd"/>
      <w:r w:rsidRPr="00D275F9">
        <w:rPr>
          <w:rFonts w:asciiTheme="minorHAnsi" w:hAnsiTheme="minorHAnsi" w:cstheme="minorHAnsi"/>
          <w:sz w:val="20"/>
          <w:szCs w:val="20"/>
        </w:rPr>
        <w:t xml:space="preserve">: is it time to quit hypotonic fluids. J </w:t>
      </w:r>
      <w:proofErr w:type="spellStart"/>
      <w:r w:rsidRPr="00D275F9">
        <w:rPr>
          <w:rFonts w:asciiTheme="minorHAnsi" w:hAnsiTheme="minorHAnsi" w:cstheme="minorHAnsi"/>
          <w:sz w:val="20"/>
          <w:szCs w:val="20"/>
        </w:rPr>
        <w:t>Matern</w:t>
      </w:r>
      <w:proofErr w:type="spellEnd"/>
      <w:r w:rsidRPr="00D275F9">
        <w:rPr>
          <w:rFonts w:asciiTheme="minorHAnsi" w:hAnsiTheme="minorHAnsi" w:cstheme="minorHAnsi"/>
          <w:sz w:val="20"/>
          <w:szCs w:val="20"/>
        </w:rPr>
        <w:t xml:space="preserve"> </w:t>
      </w:r>
      <w:proofErr w:type="spellStart"/>
      <w:r w:rsidRPr="00D275F9">
        <w:rPr>
          <w:rFonts w:asciiTheme="minorHAnsi" w:hAnsiTheme="minorHAnsi" w:cstheme="minorHAnsi"/>
          <w:sz w:val="20"/>
          <w:szCs w:val="20"/>
        </w:rPr>
        <w:t>Fetal</w:t>
      </w:r>
      <w:proofErr w:type="spellEnd"/>
      <w:r w:rsidRPr="00D275F9">
        <w:rPr>
          <w:rFonts w:asciiTheme="minorHAnsi" w:hAnsiTheme="minorHAnsi" w:cstheme="minorHAnsi"/>
          <w:sz w:val="20"/>
          <w:szCs w:val="20"/>
        </w:rPr>
        <w:t xml:space="preserve"> Neonatal Med 35:356–361. https://doi.org/10.1080/14767058.2020.1718094</w:t>
      </w:r>
    </w:p>
    <w:p w14:paraId="469F9193" w14:textId="77777777" w:rsidR="00B1006E" w:rsidRPr="00D275F9" w:rsidRDefault="00B1006E" w:rsidP="00B1006E">
      <w:pPr>
        <w:pStyle w:val="Bibliographie"/>
        <w:rPr>
          <w:rFonts w:asciiTheme="minorHAnsi" w:hAnsiTheme="minorHAnsi" w:cstheme="minorHAnsi"/>
          <w:sz w:val="20"/>
          <w:szCs w:val="20"/>
        </w:rPr>
      </w:pPr>
      <w:r w:rsidRPr="00D275F9">
        <w:rPr>
          <w:rFonts w:asciiTheme="minorHAnsi" w:hAnsiTheme="minorHAnsi" w:cstheme="minorHAnsi"/>
          <w:sz w:val="20"/>
          <w:szCs w:val="20"/>
        </w:rPr>
        <w:t xml:space="preserve">24. </w:t>
      </w:r>
      <w:r w:rsidRPr="00D275F9">
        <w:rPr>
          <w:rFonts w:asciiTheme="minorHAnsi" w:hAnsiTheme="minorHAnsi" w:cstheme="minorHAnsi"/>
          <w:sz w:val="20"/>
          <w:szCs w:val="20"/>
        </w:rPr>
        <w:tab/>
        <w:t xml:space="preserve">Weiss SL, </w:t>
      </w:r>
      <w:proofErr w:type="spellStart"/>
      <w:r w:rsidRPr="00D275F9">
        <w:rPr>
          <w:rFonts w:asciiTheme="minorHAnsi" w:hAnsiTheme="minorHAnsi" w:cstheme="minorHAnsi"/>
          <w:sz w:val="20"/>
          <w:szCs w:val="20"/>
        </w:rPr>
        <w:t>Balamuth</w:t>
      </w:r>
      <w:proofErr w:type="spellEnd"/>
      <w:r w:rsidRPr="00D275F9">
        <w:rPr>
          <w:rFonts w:asciiTheme="minorHAnsi" w:hAnsiTheme="minorHAnsi" w:cstheme="minorHAnsi"/>
          <w:sz w:val="20"/>
          <w:szCs w:val="20"/>
        </w:rPr>
        <w:t xml:space="preserve"> F, Long E, et al (2021) </w:t>
      </w:r>
      <w:proofErr w:type="spellStart"/>
      <w:r w:rsidRPr="00D275F9">
        <w:rPr>
          <w:rFonts w:asciiTheme="minorHAnsi" w:hAnsiTheme="minorHAnsi" w:cstheme="minorHAnsi"/>
          <w:sz w:val="20"/>
          <w:szCs w:val="20"/>
        </w:rPr>
        <w:t>PRagMatic</w:t>
      </w:r>
      <w:proofErr w:type="spellEnd"/>
      <w:r w:rsidRPr="00D275F9">
        <w:rPr>
          <w:rFonts w:asciiTheme="minorHAnsi" w:hAnsiTheme="minorHAnsi" w:cstheme="minorHAnsi"/>
          <w:sz w:val="20"/>
          <w:szCs w:val="20"/>
        </w:rPr>
        <w:t xml:space="preserve"> </w:t>
      </w:r>
      <w:proofErr w:type="spellStart"/>
      <w:r w:rsidRPr="00D275F9">
        <w:rPr>
          <w:rFonts w:asciiTheme="minorHAnsi" w:hAnsiTheme="minorHAnsi" w:cstheme="minorHAnsi"/>
          <w:sz w:val="20"/>
          <w:szCs w:val="20"/>
        </w:rPr>
        <w:t>Pediatric</w:t>
      </w:r>
      <w:proofErr w:type="spellEnd"/>
      <w:r w:rsidRPr="00D275F9">
        <w:rPr>
          <w:rFonts w:asciiTheme="minorHAnsi" w:hAnsiTheme="minorHAnsi" w:cstheme="minorHAnsi"/>
          <w:sz w:val="20"/>
          <w:szCs w:val="20"/>
        </w:rPr>
        <w:t xml:space="preserve"> Trial of Balanced vs </w:t>
      </w:r>
      <w:proofErr w:type="spellStart"/>
      <w:r w:rsidRPr="00D275F9">
        <w:rPr>
          <w:rFonts w:asciiTheme="minorHAnsi" w:hAnsiTheme="minorHAnsi" w:cstheme="minorHAnsi"/>
          <w:sz w:val="20"/>
          <w:szCs w:val="20"/>
        </w:rPr>
        <w:t>nOrmaL</w:t>
      </w:r>
      <w:proofErr w:type="spellEnd"/>
      <w:r w:rsidRPr="00D275F9">
        <w:rPr>
          <w:rFonts w:asciiTheme="minorHAnsi" w:hAnsiTheme="minorHAnsi" w:cstheme="minorHAnsi"/>
          <w:sz w:val="20"/>
          <w:szCs w:val="20"/>
        </w:rPr>
        <w:t xml:space="preserve"> Saline </w:t>
      </w:r>
      <w:proofErr w:type="spellStart"/>
      <w:r w:rsidRPr="00D275F9">
        <w:rPr>
          <w:rFonts w:asciiTheme="minorHAnsi" w:hAnsiTheme="minorHAnsi" w:cstheme="minorHAnsi"/>
          <w:sz w:val="20"/>
          <w:szCs w:val="20"/>
        </w:rPr>
        <w:t>FlUid</w:t>
      </w:r>
      <w:proofErr w:type="spellEnd"/>
      <w:r w:rsidRPr="00D275F9">
        <w:rPr>
          <w:rFonts w:asciiTheme="minorHAnsi" w:hAnsiTheme="minorHAnsi" w:cstheme="minorHAnsi"/>
          <w:sz w:val="20"/>
          <w:szCs w:val="20"/>
        </w:rPr>
        <w:t xml:space="preserve"> in Sepsis: study protocol for the </w:t>
      </w:r>
      <w:proofErr w:type="spellStart"/>
      <w:r w:rsidRPr="00D275F9">
        <w:rPr>
          <w:rFonts w:asciiTheme="minorHAnsi" w:hAnsiTheme="minorHAnsi" w:cstheme="minorHAnsi"/>
          <w:sz w:val="20"/>
          <w:szCs w:val="20"/>
        </w:rPr>
        <w:t>PRoMPT</w:t>
      </w:r>
      <w:proofErr w:type="spellEnd"/>
      <w:r w:rsidRPr="00D275F9">
        <w:rPr>
          <w:rFonts w:asciiTheme="minorHAnsi" w:hAnsiTheme="minorHAnsi" w:cstheme="minorHAnsi"/>
          <w:sz w:val="20"/>
          <w:szCs w:val="20"/>
        </w:rPr>
        <w:t xml:space="preserve"> BOLUS randomized interventional trial. Trials 22:776. https://doi.org/10.1186/s13063-021-05717-4</w:t>
      </w:r>
    </w:p>
    <w:p w14:paraId="72A09030" w14:textId="77777777" w:rsidR="00B1006E" w:rsidRPr="00D275F9" w:rsidRDefault="00B1006E" w:rsidP="00B1006E">
      <w:pPr>
        <w:rPr>
          <w:rFonts w:asciiTheme="minorHAnsi" w:hAnsiTheme="minorHAnsi" w:cstheme="minorHAnsi"/>
          <w:sz w:val="20"/>
          <w:szCs w:val="20"/>
        </w:rPr>
      </w:pPr>
      <w:r w:rsidRPr="00D275F9">
        <w:rPr>
          <w:rFonts w:asciiTheme="minorHAnsi" w:hAnsiTheme="minorHAnsi" w:cstheme="minorHAnsi"/>
          <w:sz w:val="20"/>
          <w:szCs w:val="20"/>
        </w:rPr>
        <w:fldChar w:fldCharType="end"/>
      </w:r>
    </w:p>
    <w:p w14:paraId="4F18F067" w14:textId="77777777" w:rsidR="00B1006E" w:rsidRPr="00B1006E" w:rsidRDefault="00B1006E" w:rsidP="00B1006E"/>
    <w:sectPr w:rsidR="00B1006E" w:rsidRPr="00B1006E">
      <w:pgSz w:w="16838" w:h="11906" w:orient="landscape"/>
      <w:pgMar w:top="1417" w:right="1417" w:bottom="1417" w:left="1417" w:header="708" w:footer="708"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7BA6BC" w16cex:dateUtc="2022-07-15T07:41:00Z"/>
  <w16cex:commentExtensible w16cex:durableId="267BA739" w16cex:dateUtc="2022-07-15T07:43:00Z"/>
  <w16cex:commentExtensible w16cex:durableId="267BA792" w16cex:dateUtc="2022-07-15T07:45:00Z"/>
  <w16cex:commentExtensible w16cex:durableId="267BA7B3" w16cex:dateUtc="2022-07-15T07:45: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5A3029"/>
    <w:multiLevelType w:val="hybridMultilevel"/>
    <w:tmpl w:val="19B22C44"/>
    <w:lvl w:ilvl="0" w:tplc="8DD0FCD4">
      <w:start w:val="184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EF18F8"/>
    <w:multiLevelType w:val="multilevel"/>
    <w:tmpl w:val="44028CD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6C8D23E1"/>
    <w:multiLevelType w:val="multilevel"/>
    <w:tmpl w:val="539E582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74291261"/>
    <w:multiLevelType w:val="multilevel"/>
    <w:tmpl w:val="8A08D2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7E374890"/>
    <w:multiLevelType w:val="hybridMultilevel"/>
    <w:tmpl w:val="04C097D2"/>
    <w:lvl w:ilvl="0" w:tplc="8DD0FCD4">
      <w:start w:val="184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D1F"/>
    <w:rsid w:val="00003EB4"/>
    <w:rsid w:val="00024C37"/>
    <w:rsid w:val="00062347"/>
    <w:rsid w:val="000A6E85"/>
    <w:rsid w:val="000B5558"/>
    <w:rsid w:val="000C76E7"/>
    <w:rsid w:val="0016223B"/>
    <w:rsid w:val="00190A7E"/>
    <w:rsid w:val="001B30A9"/>
    <w:rsid w:val="001D41A3"/>
    <w:rsid w:val="00216454"/>
    <w:rsid w:val="00267BA8"/>
    <w:rsid w:val="00297E6D"/>
    <w:rsid w:val="002C2C55"/>
    <w:rsid w:val="00353CE5"/>
    <w:rsid w:val="003C0B90"/>
    <w:rsid w:val="003E4483"/>
    <w:rsid w:val="00452524"/>
    <w:rsid w:val="004F3289"/>
    <w:rsid w:val="00542740"/>
    <w:rsid w:val="00560EE3"/>
    <w:rsid w:val="005A293F"/>
    <w:rsid w:val="005F6303"/>
    <w:rsid w:val="00615DA5"/>
    <w:rsid w:val="006A6C29"/>
    <w:rsid w:val="006B2DD3"/>
    <w:rsid w:val="006E348D"/>
    <w:rsid w:val="0070157B"/>
    <w:rsid w:val="00712D1F"/>
    <w:rsid w:val="00773376"/>
    <w:rsid w:val="00821517"/>
    <w:rsid w:val="008B7F79"/>
    <w:rsid w:val="0092224A"/>
    <w:rsid w:val="00935B7B"/>
    <w:rsid w:val="00A13D86"/>
    <w:rsid w:val="00A55937"/>
    <w:rsid w:val="00AA02CB"/>
    <w:rsid w:val="00AF4FEB"/>
    <w:rsid w:val="00B1006E"/>
    <w:rsid w:val="00B34E29"/>
    <w:rsid w:val="00B3678E"/>
    <w:rsid w:val="00B62CF1"/>
    <w:rsid w:val="00BD1B9F"/>
    <w:rsid w:val="00BE6002"/>
    <w:rsid w:val="00BF3BB9"/>
    <w:rsid w:val="00C15932"/>
    <w:rsid w:val="00C34BE4"/>
    <w:rsid w:val="00C63156"/>
    <w:rsid w:val="00C76AB4"/>
    <w:rsid w:val="00CC525E"/>
    <w:rsid w:val="00CC55F2"/>
    <w:rsid w:val="00CD126D"/>
    <w:rsid w:val="00D275F9"/>
    <w:rsid w:val="00D34FA1"/>
    <w:rsid w:val="00DE1BA8"/>
    <w:rsid w:val="00DE7D4D"/>
    <w:rsid w:val="00E80F9D"/>
    <w:rsid w:val="00F15702"/>
    <w:rsid w:val="00F77C46"/>
    <w:rsid w:val="00FB74A3"/>
    <w:rsid w:val="00FF2DC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A703E"/>
  <w15:docId w15:val="{812E6498-B6ED-4501-996F-A856BCC41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2552"/>
    <w:rPr>
      <w:lang w:eastAsia="en-GB"/>
    </w:rPr>
  </w:style>
  <w:style w:type="paragraph" w:styleId="Titre1">
    <w:name w:val="heading 1"/>
    <w:basedOn w:val="Normal"/>
    <w:next w:val="Normal"/>
    <w:pPr>
      <w:keepNext/>
      <w:keepLines/>
      <w:spacing w:before="480" w:after="120"/>
      <w:outlineLvl w:val="0"/>
    </w:pPr>
    <w:rPr>
      <w:b/>
      <w:sz w:val="48"/>
      <w:szCs w:val="48"/>
    </w:rPr>
  </w:style>
  <w:style w:type="paragraph" w:styleId="Titre2">
    <w:name w:val="heading 2"/>
    <w:basedOn w:val="Normal"/>
    <w:next w:val="Normal"/>
    <w:pPr>
      <w:keepNext/>
      <w:keepLines/>
      <w:spacing w:before="360" w:after="80"/>
      <w:outlineLvl w:val="1"/>
    </w:pPr>
    <w:rPr>
      <w:b/>
      <w:sz w:val="36"/>
      <w:szCs w:val="36"/>
    </w:rPr>
  </w:style>
  <w:style w:type="paragraph" w:styleId="Titre3">
    <w:name w:val="heading 3"/>
    <w:basedOn w:val="Normal"/>
    <w:next w:val="Normal"/>
    <w:pPr>
      <w:keepNext/>
      <w:keepLines/>
      <w:spacing w:before="280" w:after="80"/>
      <w:outlineLvl w:val="2"/>
    </w:pPr>
    <w:rPr>
      <w:b/>
      <w:sz w:val="28"/>
      <w:szCs w:val="28"/>
    </w:rPr>
  </w:style>
  <w:style w:type="paragraph" w:styleId="Titre4">
    <w:name w:val="heading 4"/>
    <w:basedOn w:val="Normal"/>
    <w:next w:val="Normal"/>
    <w:pPr>
      <w:keepNext/>
      <w:keepLines/>
      <w:spacing w:before="240" w:after="40"/>
      <w:outlineLvl w:val="3"/>
    </w:pPr>
    <w:rPr>
      <w:b/>
      <w:sz w:val="24"/>
      <w:szCs w:val="24"/>
    </w:rPr>
  </w:style>
  <w:style w:type="paragraph" w:styleId="Titre5">
    <w:name w:val="heading 5"/>
    <w:basedOn w:val="Normal"/>
    <w:next w:val="Normal"/>
    <w:pPr>
      <w:keepNext/>
      <w:keepLines/>
      <w:spacing w:before="220" w:after="40"/>
      <w:outlineLvl w:val="4"/>
    </w:pPr>
    <w:rPr>
      <w:b/>
    </w:rPr>
  </w:style>
  <w:style w:type="paragraph" w:styleId="Titre6">
    <w:name w:val="heading 6"/>
    <w:basedOn w:val="Normal"/>
    <w:next w:val="Normal"/>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re">
    <w:name w:val="Title"/>
    <w:basedOn w:val="Normal"/>
    <w:next w:val="Normal"/>
    <w:pPr>
      <w:keepNext/>
      <w:keepLines/>
      <w:spacing w:before="480" w:after="120"/>
    </w:pPr>
    <w:rPr>
      <w:b/>
      <w:sz w:val="72"/>
      <w:szCs w:val="72"/>
    </w:rPr>
  </w:style>
  <w:style w:type="table" w:styleId="Grilledutableau">
    <w:name w:val="Table Grid"/>
    <w:basedOn w:val="TableauNormal"/>
    <w:uiPriority w:val="39"/>
    <w:rsid w:val="002725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611CDA"/>
    <w:rPr>
      <w:sz w:val="16"/>
      <w:szCs w:val="16"/>
    </w:rPr>
  </w:style>
  <w:style w:type="paragraph" w:styleId="Commentaire">
    <w:name w:val="annotation text"/>
    <w:basedOn w:val="Normal"/>
    <w:link w:val="CommentaireCar"/>
    <w:uiPriority w:val="99"/>
    <w:unhideWhenUsed/>
    <w:rsid w:val="00611CDA"/>
    <w:pPr>
      <w:spacing w:line="240" w:lineRule="auto"/>
    </w:pPr>
    <w:rPr>
      <w:sz w:val="20"/>
      <w:szCs w:val="20"/>
    </w:rPr>
  </w:style>
  <w:style w:type="character" w:customStyle="1" w:styleId="CommentaireCar">
    <w:name w:val="Commentaire Car"/>
    <w:basedOn w:val="Policepardfaut"/>
    <w:link w:val="Commentaire"/>
    <w:uiPriority w:val="99"/>
    <w:rsid w:val="00611CDA"/>
    <w:rPr>
      <w:rFonts w:ascii="Calibri" w:eastAsia="Calibri" w:hAnsi="Calibri" w:cs="Calibri"/>
      <w:sz w:val="20"/>
      <w:szCs w:val="20"/>
      <w:lang w:val="en-GB" w:eastAsia="en-GB"/>
    </w:rPr>
  </w:style>
  <w:style w:type="paragraph" w:styleId="Objetducommentaire">
    <w:name w:val="annotation subject"/>
    <w:basedOn w:val="Commentaire"/>
    <w:next w:val="Commentaire"/>
    <w:link w:val="ObjetducommentaireCar"/>
    <w:uiPriority w:val="99"/>
    <w:semiHidden/>
    <w:unhideWhenUsed/>
    <w:rsid w:val="00611CDA"/>
    <w:rPr>
      <w:b/>
      <w:bCs/>
    </w:rPr>
  </w:style>
  <w:style w:type="character" w:customStyle="1" w:styleId="ObjetducommentaireCar">
    <w:name w:val="Objet du commentaire Car"/>
    <w:basedOn w:val="CommentaireCar"/>
    <w:link w:val="Objetducommentaire"/>
    <w:uiPriority w:val="99"/>
    <w:semiHidden/>
    <w:rsid w:val="00611CDA"/>
    <w:rPr>
      <w:rFonts w:ascii="Calibri" w:eastAsia="Calibri" w:hAnsi="Calibri" w:cs="Calibri"/>
      <w:b/>
      <w:bCs/>
      <w:sz w:val="20"/>
      <w:szCs w:val="20"/>
      <w:lang w:val="en-GB" w:eastAsia="en-GB"/>
    </w:rPr>
  </w:style>
  <w:style w:type="paragraph" w:styleId="Textedebulles">
    <w:name w:val="Balloon Text"/>
    <w:basedOn w:val="Normal"/>
    <w:link w:val="TextedebullesCar"/>
    <w:uiPriority w:val="99"/>
    <w:semiHidden/>
    <w:unhideWhenUsed/>
    <w:rsid w:val="00611CD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11CDA"/>
    <w:rPr>
      <w:rFonts w:ascii="Segoe UI" w:eastAsia="Calibri" w:hAnsi="Segoe UI" w:cs="Segoe UI"/>
      <w:sz w:val="18"/>
      <w:szCs w:val="18"/>
      <w:lang w:val="en-GB" w:eastAsia="en-GB"/>
    </w:rPr>
  </w:style>
  <w:style w:type="paragraph" w:styleId="Paragraphedeliste">
    <w:name w:val="List Paragraph"/>
    <w:basedOn w:val="Normal"/>
    <w:uiPriority w:val="34"/>
    <w:qFormat/>
    <w:rsid w:val="0080098D"/>
    <w:pPr>
      <w:ind w:left="720"/>
      <w:contextualSpacing/>
    </w:pPr>
  </w:style>
  <w:style w:type="paragraph" w:styleId="Rvision">
    <w:name w:val="Revision"/>
    <w:hidden/>
    <w:uiPriority w:val="99"/>
    <w:semiHidden/>
    <w:rsid w:val="0064360F"/>
    <w:pPr>
      <w:spacing w:after="0" w:line="240" w:lineRule="auto"/>
    </w:pPr>
    <w:rPr>
      <w:lang w:eastAsia="en-GB"/>
    </w:rPr>
  </w:style>
  <w:style w:type="paragraph" w:styleId="Sous-titr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paragraph" w:styleId="Bibliographie">
    <w:name w:val="Bibliography"/>
    <w:basedOn w:val="Normal"/>
    <w:next w:val="Normal"/>
    <w:uiPriority w:val="37"/>
    <w:unhideWhenUsed/>
    <w:rsid w:val="00353CE5"/>
    <w:pPr>
      <w:tabs>
        <w:tab w:val="left" w:pos="504"/>
      </w:tabs>
      <w:spacing w:after="240" w:line="240" w:lineRule="auto"/>
      <w:ind w:left="504" w:hanging="5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18/08/relationships/commentsExtensible" Target="commentsExtensi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NhPxJKKikyYZBxfqEbB08HQ0vJw==">AMUW2mW4+B6m0J9nldhxZ1+6pcOIXXgEXcb4AKfJTazc88iChtUVs2nwIo9aa/ChKvWiH3uLG8GuNZYfIO84KieRK14Xv0caH52HGe2D0Rbf84lFaXgoJUhMVLKiSTYRaipZt8jyjFiO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7</Pages>
  <Words>14109</Words>
  <Characters>77601</Characters>
  <Application>Microsoft Office Word</Application>
  <DocSecurity>0</DocSecurity>
  <Lines>646</Lines>
  <Paragraphs>183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CHU Caen Normandie</Company>
  <LinksUpToDate>false</LinksUpToDate>
  <CharactersWithSpaces>91527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frederic valla</dc:creator>
  <cp:lastModifiedBy>VALLA, Frederic</cp:lastModifiedBy>
  <cp:revision>7</cp:revision>
  <dcterms:created xsi:type="dcterms:W3CDTF">2022-07-20T16:25:00Z</dcterms:created>
  <dcterms:modified xsi:type="dcterms:W3CDTF">2022-07-20T18:01:00Z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zotero-version="6.0.9"&gt;&lt;session id="cbCdcOOF"/&gt;&lt;style id="http://www.zotero.org/styles/intensive-care-medicine" hasBibliography="1" bibliographyStyleHasBeenSet="1"/&gt;&lt;prefs&gt;&lt;pref name="fieldType" value="Field"/&gt;&lt;pref name="automaticJ</vt:lpwstr>
  </property>
  <property fmtid="{D5CDD505-2E9C-101B-9397-08002B2CF9AE}" pid="3" name="ZOTERO_PREF_2">
    <vt:lpwstr>ournalAbbreviations" value="true"/&gt;&lt;/prefs&gt;&lt;/data&gt;</vt:lpwstr>
  </property>
</Properties>
</file>