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75436" w14:textId="77777777" w:rsidR="001E6249" w:rsidRPr="00EA3E15" w:rsidRDefault="001E6249" w:rsidP="00C20428">
      <w:pPr>
        <w:pStyle w:val="Heading1"/>
        <w:rPr>
          <w:lang w:val="en-US"/>
        </w:rPr>
      </w:pPr>
      <w:r>
        <w:rPr>
          <w:lang w:val="en-US"/>
        </w:rPr>
        <w:t>Contemporary m</w:t>
      </w:r>
      <w:r w:rsidRPr="00EA3E15">
        <w:rPr>
          <w:lang w:val="en-US"/>
        </w:rPr>
        <w:t>anagement of Aneurysmal Subarachnoid Hemorrhage. An update</w:t>
      </w:r>
      <w:r>
        <w:rPr>
          <w:lang w:val="en-US"/>
        </w:rPr>
        <w:t xml:space="preserve"> for the intensivist</w:t>
      </w:r>
      <w:r w:rsidRPr="00EA3E15">
        <w:rPr>
          <w:lang w:val="en-US"/>
        </w:rPr>
        <w:t>.</w:t>
      </w:r>
    </w:p>
    <w:p w14:paraId="2C368963" w14:textId="2262B6C2" w:rsidR="001E6249" w:rsidRPr="003937C8" w:rsidRDefault="001E6249" w:rsidP="001E6249">
      <w:pPr>
        <w:spacing w:after="0" w:line="360" w:lineRule="auto"/>
        <w:jc w:val="center"/>
        <w:rPr>
          <w:rFonts w:asciiTheme="majorHAnsi" w:hAnsiTheme="majorHAnsi" w:cstheme="majorHAnsi"/>
          <w:sz w:val="20"/>
          <w:szCs w:val="20"/>
          <w:lang w:val="en-US"/>
        </w:rPr>
      </w:pPr>
      <w:r w:rsidRPr="003937C8">
        <w:rPr>
          <w:rFonts w:asciiTheme="majorHAnsi" w:hAnsiTheme="majorHAnsi" w:cstheme="majorHAnsi"/>
          <w:sz w:val="20"/>
          <w:szCs w:val="20"/>
          <w:lang w:val="en-US"/>
        </w:rPr>
        <w:t xml:space="preserve">Chiara </w:t>
      </w:r>
      <w:proofErr w:type="gramStart"/>
      <w:r w:rsidRPr="003937C8">
        <w:rPr>
          <w:rFonts w:asciiTheme="majorHAnsi" w:hAnsiTheme="majorHAnsi" w:cstheme="majorHAnsi"/>
          <w:sz w:val="20"/>
          <w:szCs w:val="20"/>
          <w:lang w:val="en-US"/>
        </w:rPr>
        <w:t>Robba</w:t>
      </w:r>
      <w:r w:rsidRPr="003937C8">
        <w:rPr>
          <w:rFonts w:asciiTheme="majorHAnsi" w:hAnsiTheme="majorHAnsi" w:cstheme="majorHAnsi"/>
          <w:sz w:val="20"/>
          <w:szCs w:val="20"/>
          <w:vertAlign w:val="superscript"/>
          <w:lang w:val="en-US"/>
        </w:rPr>
        <w:t xml:space="preserve"> </w:t>
      </w:r>
      <w:r w:rsidRPr="003937C8">
        <w:rPr>
          <w:rFonts w:asciiTheme="majorHAnsi" w:hAnsiTheme="majorHAnsi" w:cstheme="majorHAnsi"/>
          <w:sz w:val="20"/>
          <w:szCs w:val="20"/>
          <w:lang w:val="en-US"/>
        </w:rPr>
        <w:t>,Katharina</w:t>
      </w:r>
      <w:proofErr w:type="gramEnd"/>
      <w:r w:rsidRPr="003937C8">
        <w:rPr>
          <w:rFonts w:asciiTheme="majorHAnsi" w:hAnsiTheme="majorHAnsi" w:cstheme="majorHAnsi"/>
          <w:sz w:val="20"/>
          <w:szCs w:val="20"/>
          <w:lang w:val="en-US"/>
        </w:rPr>
        <w:t xml:space="preserve"> M. </w:t>
      </w:r>
      <w:proofErr w:type="spellStart"/>
      <w:r w:rsidRPr="003937C8">
        <w:rPr>
          <w:rFonts w:asciiTheme="majorHAnsi" w:hAnsiTheme="majorHAnsi" w:cstheme="majorHAnsi"/>
          <w:sz w:val="20"/>
          <w:szCs w:val="20"/>
          <w:lang w:val="en-US"/>
        </w:rPr>
        <w:t>Busl</w:t>
      </w:r>
      <w:proofErr w:type="spellEnd"/>
      <w:r w:rsidRPr="003937C8">
        <w:rPr>
          <w:rFonts w:asciiTheme="majorHAnsi" w:hAnsiTheme="majorHAnsi" w:cstheme="majorHAnsi"/>
          <w:sz w:val="20"/>
          <w:szCs w:val="20"/>
          <w:lang w:val="en-US"/>
        </w:rPr>
        <w:t>, Jan Cl</w:t>
      </w:r>
      <w:r>
        <w:rPr>
          <w:rFonts w:asciiTheme="majorHAnsi" w:hAnsiTheme="majorHAnsi" w:cstheme="majorHAnsi"/>
          <w:sz w:val="20"/>
          <w:szCs w:val="20"/>
          <w:lang w:val="en-US"/>
        </w:rPr>
        <w:t>a</w:t>
      </w:r>
      <w:r w:rsidRPr="003937C8">
        <w:rPr>
          <w:rFonts w:asciiTheme="majorHAnsi" w:hAnsiTheme="majorHAnsi" w:cstheme="majorHAnsi"/>
          <w:sz w:val="20"/>
          <w:szCs w:val="20"/>
          <w:lang w:val="en-US"/>
        </w:rPr>
        <w:t>assen</w:t>
      </w:r>
      <w:r w:rsidRPr="001E6249">
        <w:rPr>
          <w:rFonts w:asciiTheme="majorHAnsi" w:hAnsiTheme="majorHAnsi" w:cstheme="majorHAnsi"/>
          <w:sz w:val="20"/>
          <w:szCs w:val="20"/>
          <w:vertAlign w:val="subscript"/>
          <w:lang w:val="en-US"/>
        </w:rPr>
        <w:t>,</w:t>
      </w:r>
      <w:r w:rsidRPr="003937C8">
        <w:rPr>
          <w:rFonts w:asciiTheme="majorHAnsi" w:hAnsiTheme="majorHAnsi" w:cstheme="majorHAnsi"/>
          <w:sz w:val="20"/>
          <w:szCs w:val="20"/>
          <w:lang w:val="en-US"/>
        </w:rPr>
        <w:t xml:space="preserve"> Michael N </w:t>
      </w:r>
      <w:proofErr w:type="spellStart"/>
      <w:r w:rsidRPr="003937C8">
        <w:rPr>
          <w:rFonts w:asciiTheme="majorHAnsi" w:hAnsiTheme="majorHAnsi" w:cstheme="majorHAnsi"/>
          <w:sz w:val="20"/>
          <w:szCs w:val="20"/>
          <w:lang w:val="en-US"/>
        </w:rPr>
        <w:t>Diringer</w:t>
      </w:r>
      <w:proofErr w:type="spellEnd"/>
      <w:r w:rsidRPr="003937C8">
        <w:rPr>
          <w:rFonts w:asciiTheme="majorHAnsi" w:hAnsiTheme="majorHAnsi" w:cstheme="majorHAnsi"/>
          <w:sz w:val="20"/>
          <w:szCs w:val="20"/>
          <w:lang w:val="en-US"/>
        </w:rPr>
        <w:t xml:space="preserve">, </w:t>
      </w:r>
      <w:proofErr w:type="spellStart"/>
      <w:r w:rsidRPr="003937C8">
        <w:rPr>
          <w:rFonts w:asciiTheme="majorHAnsi" w:hAnsiTheme="majorHAnsi" w:cstheme="majorHAnsi"/>
          <w:sz w:val="20"/>
          <w:szCs w:val="20"/>
          <w:lang w:val="en-US"/>
        </w:rPr>
        <w:t>Raimund</w:t>
      </w:r>
      <w:proofErr w:type="spellEnd"/>
      <w:r w:rsidRPr="003937C8">
        <w:rPr>
          <w:rFonts w:asciiTheme="majorHAnsi" w:hAnsiTheme="majorHAnsi" w:cstheme="majorHAnsi"/>
          <w:sz w:val="20"/>
          <w:szCs w:val="20"/>
          <w:lang w:val="en-US"/>
        </w:rPr>
        <w:t xml:space="preserve"> </w:t>
      </w:r>
      <w:proofErr w:type="spellStart"/>
      <w:r w:rsidRPr="003937C8">
        <w:rPr>
          <w:rFonts w:asciiTheme="majorHAnsi" w:hAnsiTheme="majorHAnsi" w:cstheme="majorHAnsi"/>
          <w:sz w:val="20"/>
          <w:szCs w:val="20"/>
          <w:lang w:val="en-US"/>
        </w:rPr>
        <w:t>Helbok</w:t>
      </w:r>
      <w:proofErr w:type="spellEnd"/>
      <w:r w:rsidRPr="003937C8">
        <w:rPr>
          <w:rFonts w:asciiTheme="majorHAnsi" w:hAnsiTheme="majorHAnsi" w:cstheme="majorHAnsi"/>
          <w:sz w:val="20"/>
          <w:szCs w:val="20"/>
          <w:lang w:val="en-US"/>
        </w:rPr>
        <w:t xml:space="preserve">, </w:t>
      </w:r>
      <w:proofErr w:type="spellStart"/>
      <w:r w:rsidRPr="003937C8">
        <w:rPr>
          <w:rFonts w:asciiTheme="majorHAnsi" w:hAnsiTheme="majorHAnsi" w:cstheme="majorHAnsi"/>
          <w:sz w:val="20"/>
          <w:szCs w:val="20"/>
          <w:lang w:val="en-US"/>
        </w:rPr>
        <w:t>Soojin</w:t>
      </w:r>
      <w:proofErr w:type="spellEnd"/>
      <w:r w:rsidRPr="003937C8">
        <w:rPr>
          <w:rFonts w:asciiTheme="majorHAnsi" w:hAnsiTheme="majorHAnsi" w:cstheme="majorHAnsi"/>
          <w:sz w:val="20"/>
          <w:szCs w:val="20"/>
          <w:lang w:val="en-US"/>
        </w:rPr>
        <w:t xml:space="preserve"> Park, Alejandro </w:t>
      </w:r>
      <w:proofErr w:type="spellStart"/>
      <w:r w:rsidRPr="003937C8">
        <w:rPr>
          <w:rFonts w:asciiTheme="majorHAnsi" w:hAnsiTheme="majorHAnsi" w:cstheme="majorHAnsi"/>
          <w:sz w:val="20"/>
          <w:szCs w:val="20"/>
          <w:lang w:val="en-US"/>
        </w:rPr>
        <w:t>Rabinstein</w:t>
      </w:r>
      <w:proofErr w:type="spellEnd"/>
      <w:r w:rsidRPr="003937C8">
        <w:rPr>
          <w:rFonts w:asciiTheme="majorHAnsi" w:hAnsiTheme="majorHAnsi" w:cstheme="majorHAnsi"/>
          <w:sz w:val="20"/>
          <w:szCs w:val="20"/>
          <w:lang w:val="en-US"/>
        </w:rPr>
        <w:t xml:space="preserve">, Miriam </w:t>
      </w:r>
      <w:proofErr w:type="spellStart"/>
      <w:r w:rsidRPr="003937C8">
        <w:rPr>
          <w:rFonts w:asciiTheme="majorHAnsi" w:hAnsiTheme="majorHAnsi" w:cstheme="majorHAnsi"/>
          <w:sz w:val="20"/>
          <w:szCs w:val="20"/>
          <w:lang w:val="en-US"/>
        </w:rPr>
        <w:t>Treggiari</w:t>
      </w:r>
      <w:proofErr w:type="spellEnd"/>
      <w:r w:rsidRPr="003937C8">
        <w:rPr>
          <w:rFonts w:asciiTheme="majorHAnsi" w:hAnsiTheme="majorHAnsi" w:cstheme="majorHAnsi"/>
          <w:sz w:val="20"/>
          <w:szCs w:val="20"/>
          <w:lang w:val="en-US"/>
        </w:rPr>
        <w:t xml:space="preserve">, Mervyn D.I. </w:t>
      </w:r>
      <w:proofErr w:type="spellStart"/>
      <w:r w:rsidRPr="003937C8">
        <w:rPr>
          <w:rFonts w:asciiTheme="majorHAnsi" w:hAnsiTheme="majorHAnsi" w:cstheme="majorHAnsi"/>
          <w:sz w:val="20"/>
          <w:szCs w:val="20"/>
          <w:lang w:val="en-US"/>
        </w:rPr>
        <w:t>Vergouwen</w:t>
      </w:r>
      <w:proofErr w:type="spellEnd"/>
      <w:r w:rsidRPr="003937C8">
        <w:rPr>
          <w:rFonts w:asciiTheme="majorHAnsi" w:hAnsiTheme="majorHAnsi" w:cstheme="majorHAnsi"/>
          <w:sz w:val="20"/>
          <w:szCs w:val="20"/>
          <w:lang w:val="en-US"/>
        </w:rPr>
        <w:t xml:space="preserve">, Giuseppe </w:t>
      </w:r>
      <w:proofErr w:type="spellStart"/>
      <w:r w:rsidRPr="003937C8">
        <w:rPr>
          <w:rFonts w:asciiTheme="majorHAnsi" w:hAnsiTheme="majorHAnsi" w:cstheme="majorHAnsi"/>
          <w:sz w:val="20"/>
          <w:szCs w:val="20"/>
          <w:lang w:val="en-US"/>
        </w:rPr>
        <w:t>Citerio</w:t>
      </w:r>
      <w:proofErr w:type="spellEnd"/>
    </w:p>
    <w:p w14:paraId="78B9B8B5" w14:textId="77777777" w:rsidR="00DB1173" w:rsidRDefault="00DB1173">
      <w:pPr>
        <w:rPr>
          <w:lang w:val="en-US"/>
        </w:rPr>
      </w:pPr>
    </w:p>
    <w:p w14:paraId="5B8E1EDB" w14:textId="77777777" w:rsidR="001E6249" w:rsidRDefault="001E6249">
      <w:pPr>
        <w:rPr>
          <w:lang w:val="en-US"/>
        </w:rPr>
      </w:pPr>
    </w:p>
    <w:p w14:paraId="754EEB03" w14:textId="77777777" w:rsidR="001E6249" w:rsidRDefault="001E6249">
      <w:pPr>
        <w:rPr>
          <w:lang w:val="en-US"/>
        </w:rPr>
      </w:pPr>
    </w:p>
    <w:p w14:paraId="22514FAF" w14:textId="24DE4FC4" w:rsidR="001E6249" w:rsidRDefault="001E6249">
      <w:pPr>
        <w:rPr>
          <w:lang w:val="en-US"/>
        </w:rPr>
      </w:pPr>
      <w:r>
        <w:rPr>
          <w:lang w:val="en-US"/>
        </w:rPr>
        <w:t>Electronic Supplementary materials</w:t>
      </w:r>
    </w:p>
    <w:p w14:paraId="335DDD3E" w14:textId="77777777" w:rsidR="006B1B5E" w:rsidRDefault="006B1B5E">
      <w:pPr>
        <w:rPr>
          <w:lang w:val="en-US"/>
        </w:rPr>
      </w:pPr>
    </w:p>
    <w:p w14:paraId="091F3ECB" w14:textId="1BA674B2" w:rsidR="006B1B5E" w:rsidRPr="00DC0FD6" w:rsidRDefault="006B1B5E" w:rsidP="006B1B5E">
      <w:pPr>
        <w:spacing w:after="0" w:line="240" w:lineRule="auto"/>
        <w:jc w:val="both"/>
        <w:rPr>
          <w:rFonts w:asciiTheme="majorHAnsi" w:hAnsiTheme="majorHAnsi" w:cstheme="majorHAnsi"/>
          <w:sz w:val="20"/>
          <w:szCs w:val="20"/>
          <w:lang w:val="en-US"/>
        </w:rPr>
      </w:pPr>
      <w:r>
        <w:rPr>
          <w:lang w:val="en-US"/>
        </w:rPr>
        <w:t xml:space="preserve">Figure S1. </w:t>
      </w:r>
      <w:r w:rsidRPr="00DC0FD6">
        <w:rPr>
          <w:rFonts w:asciiTheme="majorHAnsi" w:hAnsiTheme="majorHAnsi" w:cstheme="majorHAnsi"/>
          <w:sz w:val="20"/>
          <w:szCs w:val="20"/>
          <w:lang w:val="en-US"/>
        </w:rPr>
        <w:t>Clinical scales for</w:t>
      </w:r>
      <w:r>
        <w:rPr>
          <w:rFonts w:asciiTheme="majorHAnsi" w:hAnsiTheme="majorHAnsi" w:cstheme="majorHAnsi"/>
          <w:sz w:val="20"/>
          <w:szCs w:val="20"/>
          <w:lang w:val="en-US"/>
        </w:rPr>
        <w:t xml:space="preserve"> </w:t>
      </w:r>
      <w:r w:rsidRPr="00DC0FD6">
        <w:rPr>
          <w:rFonts w:asciiTheme="majorHAnsi" w:hAnsiTheme="majorHAnsi" w:cstheme="majorHAnsi"/>
          <w:sz w:val="20"/>
          <w:szCs w:val="20"/>
          <w:lang w:val="en-US"/>
        </w:rPr>
        <w:t xml:space="preserve">the initial assessment of patients with </w:t>
      </w:r>
      <w:proofErr w:type="spellStart"/>
      <w:r w:rsidRPr="00DC0FD6">
        <w:rPr>
          <w:rFonts w:asciiTheme="majorHAnsi" w:hAnsiTheme="majorHAnsi" w:cstheme="majorHAnsi"/>
          <w:sz w:val="20"/>
          <w:szCs w:val="20"/>
          <w:lang w:val="en-US"/>
        </w:rPr>
        <w:t>aSAH</w:t>
      </w:r>
      <w:proofErr w:type="spellEnd"/>
      <w:r w:rsidRPr="00DC0FD6">
        <w:rPr>
          <w:rFonts w:asciiTheme="majorHAnsi" w:hAnsiTheme="majorHAnsi" w:cstheme="majorHAnsi"/>
          <w:sz w:val="20"/>
          <w:szCs w:val="20"/>
          <w:lang w:val="en-US"/>
        </w:rPr>
        <w:t xml:space="preserve">. </w:t>
      </w:r>
      <w:proofErr w:type="spellStart"/>
      <w:r w:rsidRPr="00DC0FD6">
        <w:rPr>
          <w:rFonts w:asciiTheme="majorHAnsi" w:hAnsiTheme="majorHAnsi" w:cstheme="majorHAnsi"/>
          <w:sz w:val="20"/>
          <w:szCs w:val="20"/>
          <w:lang w:val="en-US"/>
        </w:rPr>
        <w:t>Abbreviations:WFNS</w:t>
      </w:r>
      <w:proofErr w:type="spellEnd"/>
      <w:r w:rsidRPr="00DC0FD6">
        <w:rPr>
          <w:rFonts w:asciiTheme="majorHAnsi" w:hAnsiTheme="majorHAnsi" w:cstheme="majorHAnsi"/>
          <w:sz w:val="20"/>
          <w:szCs w:val="20"/>
          <w:lang w:val="en-US"/>
        </w:rPr>
        <w:t xml:space="preserve">, World Federation of Neurological Surgeons; GCS, Glasgow Coma Scale. </w:t>
      </w:r>
    </w:p>
    <w:p w14:paraId="567F35F6" w14:textId="0EB8B6E9" w:rsidR="006B1B5E" w:rsidRDefault="006B1B5E">
      <w:pPr>
        <w:rPr>
          <w:lang w:val="en-US"/>
        </w:rPr>
      </w:pPr>
    </w:p>
    <w:p w14:paraId="3E890152" w14:textId="77777777" w:rsidR="006B1B5E" w:rsidRDefault="006B1B5E">
      <w:pPr>
        <w:rPr>
          <w:lang w:val="en-US"/>
        </w:rPr>
      </w:pPr>
    </w:p>
    <w:p w14:paraId="2B2984C9" w14:textId="77777777" w:rsidR="006B1B5E" w:rsidRDefault="006B1B5E">
      <w:pPr>
        <w:rPr>
          <w:lang w:val="en-US"/>
        </w:rPr>
      </w:pPr>
    </w:p>
    <w:p w14:paraId="5D87698B" w14:textId="77777777" w:rsidR="006B1B5E" w:rsidRDefault="006B1B5E">
      <w:pPr>
        <w:rPr>
          <w:lang w:val="en-US"/>
        </w:rPr>
      </w:pPr>
    </w:p>
    <w:p w14:paraId="3FCC5549" w14:textId="72D7D807" w:rsidR="006B1B5E" w:rsidRDefault="006B1B5E">
      <w:pPr>
        <w:rPr>
          <w:lang w:val="en-US"/>
        </w:rPr>
      </w:pPr>
      <w:r>
        <w:rPr>
          <w:noProof/>
          <w:lang w:val="en-US"/>
        </w:rPr>
        <w:drawing>
          <wp:inline distT="0" distB="0" distL="0" distR="0" wp14:anchorId="1BEDB9F3" wp14:editId="0C0C4370">
            <wp:extent cx="5731510" cy="3223895"/>
            <wp:effectExtent l="0" t="0" r="0" b="1905"/>
            <wp:docPr id="799157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57752" name="Picture 799157752"/>
                    <pic:cNvPicPr/>
                  </pic:nvPicPr>
                  <pic:blipFill>
                    <a:blip r:embed="rId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424B9E8" w14:textId="77777777" w:rsidR="00074433" w:rsidRDefault="00074433">
      <w:pPr>
        <w:rPr>
          <w:lang w:val="en-US"/>
        </w:rPr>
      </w:pPr>
    </w:p>
    <w:p w14:paraId="6D28ACE0" w14:textId="77777777" w:rsidR="00074433" w:rsidRDefault="00074433">
      <w:pPr>
        <w:rPr>
          <w:lang w:val="en-US"/>
        </w:rPr>
      </w:pPr>
    </w:p>
    <w:p w14:paraId="0AE5E073" w14:textId="77777777" w:rsidR="00074433" w:rsidRDefault="00074433">
      <w:pPr>
        <w:rPr>
          <w:lang w:val="en-US"/>
        </w:rPr>
      </w:pPr>
    </w:p>
    <w:p w14:paraId="4BEE3B0B" w14:textId="77777777" w:rsidR="00074433" w:rsidRDefault="00074433">
      <w:pPr>
        <w:rPr>
          <w:lang w:val="en-US"/>
        </w:rPr>
      </w:pPr>
    </w:p>
    <w:p w14:paraId="1ABE1B3A" w14:textId="77777777" w:rsidR="00074433" w:rsidRDefault="00074433">
      <w:pPr>
        <w:rPr>
          <w:lang w:val="en-US"/>
        </w:rPr>
      </w:pPr>
    </w:p>
    <w:p w14:paraId="7464D999" w14:textId="77777777" w:rsidR="00074433" w:rsidRDefault="00074433">
      <w:pPr>
        <w:rPr>
          <w:lang w:val="en-US"/>
        </w:rPr>
      </w:pPr>
    </w:p>
    <w:p w14:paraId="4F63332C" w14:textId="77777777" w:rsidR="00074433" w:rsidRDefault="00074433" w:rsidP="00074433">
      <w:pPr>
        <w:spacing w:line="360" w:lineRule="auto"/>
        <w:rPr>
          <w:rFonts w:asciiTheme="majorHAnsi" w:hAnsiTheme="majorHAnsi" w:cstheme="majorHAnsi"/>
          <w:b/>
          <w:bCs/>
        </w:rPr>
      </w:pPr>
    </w:p>
    <w:p w14:paraId="71D49099" w14:textId="77777777" w:rsidR="00074433" w:rsidRDefault="00074433" w:rsidP="00074433">
      <w:pPr>
        <w:spacing w:line="360" w:lineRule="auto"/>
        <w:rPr>
          <w:rFonts w:asciiTheme="majorHAnsi" w:hAnsiTheme="majorHAnsi" w:cstheme="majorHAnsi"/>
          <w:b/>
          <w:bCs/>
        </w:rPr>
      </w:pPr>
    </w:p>
    <w:p w14:paraId="3CDFA5AA" w14:textId="2BAEF408" w:rsidR="00074433" w:rsidRPr="00C20428" w:rsidRDefault="00074433" w:rsidP="00074433">
      <w:pPr>
        <w:spacing w:line="360" w:lineRule="auto"/>
        <w:rPr>
          <w:rFonts w:asciiTheme="majorHAnsi" w:hAnsiTheme="majorHAnsi" w:cstheme="majorHAnsi"/>
          <w:lang w:val="en-US"/>
        </w:rPr>
      </w:pPr>
      <w:r w:rsidRPr="00C20428">
        <w:rPr>
          <w:rFonts w:asciiTheme="majorHAnsi" w:hAnsiTheme="majorHAnsi" w:cstheme="majorHAnsi"/>
          <w:b/>
          <w:bCs/>
          <w:lang w:val="en-US"/>
        </w:rPr>
        <w:t>Table S1</w:t>
      </w:r>
      <w:r w:rsidRPr="00C20428">
        <w:rPr>
          <w:rFonts w:asciiTheme="majorHAnsi" w:hAnsiTheme="majorHAnsi" w:cstheme="majorHAnsi"/>
          <w:lang w:val="en-US"/>
        </w:rPr>
        <w:t>. Epidemiology of seizures and other abnormal EEG findings</w:t>
      </w:r>
    </w:p>
    <w:tbl>
      <w:tblPr>
        <w:tblStyle w:val="TableGrid"/>
        <w:tblpPr w:leftFromText="180" w:rightFromText="180" w:vertAnchor="text" w:horzAnchor="margin" w:tblpY="522"/>
        <w:tblW w:w="10187" w:type="dxa"/>
        <w:tblLook w:val="04A0" w:firstRow="1" w:lastRow="0" w:firstColumn="1" w:lastColumn="0" w:noHBand="0" w:noVBand="1"/>
      </w:tblPr>
      <w:tblGrid>
        <w:gridCol w:w="2250"/>
        <w:gridCol w:w="3145"/>
        <w:gridCol w:w="3060"/>
        <w:gridCol w:w="1732"/>
      </w:tblGrid>
      <w:tr w:rsidR="00074433" w:rsidRPr="008C508F" w14:paraId="5755B8D2" w14:textId="77777777" w:rsidTr="006F6734">
        <w:tc>
          <w:tcPr>
            <w:tcW w:w="2250" w:type="dxa"/>
          </w:tcPr>
          <w:p w14:paraId="02D0B76F" w14:textId="77777777" w:rsidR="00074433" w:rsidRPr="00C20428" w:rsidRDefault="00074433" w:rsidP="006F6734">
            <w:pPr>
              <w:spacing w:line="360" w:lineRule="auto"/>
              <w:rPr>
                <w:rFonts w:asciiTheme="majorHAnsi" w:hAnsiTheme="majorHAnsi" w:cstheme="majorHAnsi"/>
                <w:lang w:val="en-US"/>
              </w:rPr>
            </w:pPr>
          </w:p>
        </w:tc>
        <w:tc>
          <w:tcPr>
            <w:tcW w:w="3145" w:type="dxa"/>
          </w:tcPr>
          <w:p w14:paraId="1C19D419" w14:textId="77777777" w:rsidR="00074433" w:rsidRPr="008C508F" w:rsidRDefault="00074433" w:rsidP="006F6734">
            <w:pPr>
              <w:spacing w:line="360" w:lineRule="auto"/>
              <w:rPr>
                <w:rFonts w:asciiTheme="majorHAnsi" w:hAnsiTheme="majorHAnsi" w:cstheme="majorHAnsi"/>
              </w:rPr>
            </w:pPr>
            <w:proofErr w:type="spellStart"/>
            <w:r w:rsidRPr="008C508F">
              <w:rPr>
                <w:rFonts w:asciiTheme="majorHAnsi" w:hAnsiTheme="majorHAnsi" w:cstheme="majorHAnsi"/>
              </w:rPr>
              <w:t>Prevalence</w:t>
            </w:r>
            <w:proofErr w:type="spellEnd"/>
            <w:r w:rsidRPr="008C508F">
              <w:rPr>
                <w:rFonts w:asciiTheme="majorHAnsi" w:hAnsiTheme="majorHAnsi" w:cstheme="majorHAnsi"/>
              </w:rPr>
              <w:t xml:space="preserve"> range</w:t>
            </w:r>
          </w:p>
        </w:tc>
        <w:tc>
          <w:tcPr>
            <w:tcW w:w="3060" w:type="dxa"/>
          </w:tcPr>
          <w:p w14:paraId="25EA9475"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 xml:space="preserve">Association </w:t>
            </w:r>
            <w:proofErr w:type="spellStart"/>
            <w:r w:rsidRPr="008C508F">
              <w:rPr>
                <w:rFonts w:asciiTheme="majorHAnsi" w:hAnsiTheme="majorHAnsi" w:cstheme="majorHAnsi"/>
              </w:rPr>
              <w:t>with</w:t>
            </w:r>
            <w:proofErr w:type="spellEnd"/>
            <w:r w:rsidRPr="008C508F">
              <w:rPr>
                <w:rFonts w:asciiTheme="majorHAnsi" w:hAnsiTheme="majorHAnsi" w:cstheme="majorHAnsi"/>
              </w:rPr>
              <w:t xml:space="preserve"> </w:t>
            </w:r>
            <w:proofErr w:type="spellStart"/>
            <w:r w:rsidRPr="008C508F">
              <w:rPr>
                <w:rFonts w:asciiTheme="majorHAnsi" w:hAnsiTheme="majorHAnsi" w:cstheme="majorHAnsi"/>
              </w:rPr>
              <w:t>outcome</w:t>
            </w:r>
            <w:proofErr w:type="spellEnd"/>
          </w:p>
        </w:tc>
        <w:tc>
          <w:tcPr>
            <w:tcW w:w="1732" w:type="dxa"/>
          </w:tcPr>
          <w:p w14:paraId="334E2106"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Study design</w:t>
            </w:r>
          </w:p>
        </w:tc>
      </w:tr>
      <w:tr w:rsidR="00074433" w:rsidRPr="008C508F" w14:paraId="1692FBE0" w14:textId="77777777" w:rsidTr="006F6734">
        <w:tc>
          <w:tcPr>
            <w:tcW w:w="2250" w:type="dxa"/>
          </w:tcPr>
          <w:p w14:paraId="0EA041BC" w14:textId="77777777" w:rsidR="00074433" w:rsidRPr="00C20428" w:rsidRDefault="00074433" w:rsidP="006F6734">
            <w:pPr>
              <w:spacing w:line="360" w:lineRule="auto"/>
              <w:rPr>
                <w:rFonts w:asciiTheme="majorHAnsi" w:hAnsiTheme="majorHAnsi" w:cstheme="majorHAnsi"/>
                <w:lang w:val="en-US"/>
              </w:rPr>
            </w:pPr>
            <w:r w:rsidRPr="00C20428">
              <w:rPr>
                <w:rFonts w:asciiTheme="majorHAnsi" w:hAnsiTheme="majorHAnsi" w:cstheme="majorHAnsi"/>
                <w:lang w:val="en-US"/>
              </w:rPr>
              <w:t>Pre-hospital (at SAH onset)</w:t>
            </w:r>
          </w:p>
        </w:tc>
        <w:tc>
          <w:tcPr>
            <w:tcW w:w="3145" w:type="dxa"/>
          </w:tcPr>
          <w:p w14:paraId="35067CEC"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7.3-7.8%</w:t>
            </w:r>
          </w:p>
        </w:tc>
        <w:tc>
          <w:tcPr>
            <w:tcW w:w="3060" w:type="dxa"/>
          </w:tcPr>
          <w:p w14:paraId="54F34958" w14:textId="77777777" w:rsidR="00074433" w:rsidRPr="008C508F" w:rsidRDefault="00074433" w:rsidP="006F6734">
            <w:pPr>
              <w:spacing w:line="360" w:lineRule="auto"/>
              <w:rPr>
                <w:rFonts w:asciiTheme="majorHAnsi" w:hAnsiTheme="majorHAnsi" w:cstheme="majorHAnsi"/>
              </w:rPr>
            </w:pPr>
            <w:proofErr w:type="spellStart"/>
            <w:r w:rsidRPr="008C508F">
              <w:rPr>
                <w:rFonts w:asciiTheme="majorHAnsi" w:hAnsiTheme="majorHAnsi" w:cstheme="majorHAnsi"/>
              </w:rPr>
              <w:t>Conflicting</w:t>
            </w:r>
            <w:proofErr w:type="spellEnd"/>
            <w:r w:rsidRPr="008C508F">
              <w:rPr>
                <w:rFonts w:asciiTheme="majorHAnsi" w:hAnsiTheme="majorHAnsi" w:cstheme="majorHAnsi"/>
              </w:rPr>
              <w:t xml:space="preserve"> </w:t>
            </w:r>
            <w:proofErr w:type="spellStart"/>
            <w:r w:rsidRPr="008C508F">
              <w:rPr>
                <w:rFonts w:asciiTheme="majorHAnsi" w:hAnsiTheme="majorHAnsi" w:cstheme="majorHAnsi"/>
              </w:rPr>
              <w:t>results</w:t>
            </w:r>
            <w:proofErr w:type="spellEnd"/>
          </w:p>
        </w:tc>
        <w:tc>
          <w:tcPr>
            <w:tcW w:w="1732" w:type="dxa"/>
          </w:tcPr>
          <w:p w14:paraId="1451861E"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Case series</w:t>
            </w:r>
            <w:r>
              <w:rPr>
                <w:rFonts w:asciiTheme="majorHAnsi" w:hAnsiTheme="majorHAnsi" w:cstheme="majorHAnsi"/>
              </w:rPr>
              <w:t xml:space="preserve"> [</w:t>
            </w:r>
            <w:r>
              <w:rPr>
                <w:rFonts w:asciiTheme="majorHAnsi" w:hAnsiTheme="majorHAnsi" w:cstheme="majorHAnsi"/>
              </w:rPr>
              <w:fldChar w:fldCharType="begin"/>
            </w:r>
            <w:r>
              <w:rPr>
                <w:rFonts w:asciiTheme="majorHAnsi" w:hAnsiTheme="majorHAnsi" w:cstheme="majorHAnsi"/>
              </w:rPr>
              <w:instrText xml:space="preserve"> ADDIN ZOTERO_ITEM CSL_CITATION {"citationID":"mTRrmo0Z","properties":{"formattedCitation":"[1]","plainCitation":"[1]","noteIndex":0},"citationItems":[{"id":1355,"uris":["http://zotero.org/users/local/GZYUSITa/items/KY84NA47"],"itemData":{"id":1355,"type":"article-journal","abstract":"Abstract\n            \n              Background\n              We aimed to evaluate the association between seizures as divided by timing and type (seizures or status epilepticus) and outcome in patients with aneurysmal subarachnoid hemorrhage (aSAH).\n            \n            \n              Methods\n              All consecutive patients with aSAH admitted to the neurocritical care unit of the University Hospital Zurich between 2016 and 2020 were included. Seizure type and frequency were extracted from electronic patient files.\n            \n            \n              Results\n              \n                Out of 245 patients, 76 experienced acute symptomatic seizures, with 39 experiencing seizures at onset, 18 experiencing acute seizures, and 19 experiencing acute nonconvulsive status epilepticus (NCSE). Multivariate analysis revealed that acute symptomatic NCSE was an independent predictor of unfavorable outcome (odds ratio 14.20, 95% confidence interval 1.74–116.17,\n                p\n                 = 0.013) after correction for age, Hunt-Hess grade, Fisher grade, and delayed cerebral ischemia. Subgroup analysis showed a significant association of all seizures/NCSE with higher Fisher grade (\n                p\n                 &lt; 0.001 for acute symptomatic seizures/NCSE,\n                p\n                 = 0.031 for remote symptomatic seizures). However, although acute seizures/NCSE (\n                p\n                 = 0.750 and 0.060 for acute seizures/NCSE respectively) were not associated with unfavorable outcome in patients with a high Hunt-Hess grade, they were significantly associated with unfavorable outcome in patients with a low Hunt-Hess grade (\n                p\n                 = 0.019 and\n                p\n                 &lt; 0.001 for acute seizures/NCSE, respectively).\n              \n            \n            \n              Conclusions\n              Acute symptomatic NCSE independently predicts unfavorable outcome after aSAH. Seizures and NCSE are associated with unfavorable outcome, particularly in patients with a low Hunt-Hess grade. We propose that NCSE and the ictal or postictal reduction of Glasgow Coma Scale may hamper close clinical evaluation for signs of delayed cerebral ischemia, and thus possibly leading to delayed diagnosis and therapy thereof in patients with a low Hunt-Hess grade.","container-title":"Neurocritical Care","DOI":"10.1007/s12028-022-01489-0","ISSN":"1541-6933, 1556-0961","issue":"3","journalAbbreviation":"Neurocrit Care","language":"en","page":"751-759","source":"DOI.org (Crossref)","title":"Impact of Seizures and Status Epilepticus on Outcome in Patients with Aneurysmal Subarachnoid Hemorrhage","volume":"36","author":[{"family":"Bögli","given":"Stefan Yu"},{"family":"Wang","given":"Sophie"},{"family":"Romaguera","given":"Natalia"},{"family":"Schütz","given":"Valerie"},{"family":"Rafi","given":"Omar"},{"family":"Gilone","given":"Marco"},{"family":"Keller","given":"Emanuela"},{"family":"Imbach","given":"Lukas L."},{"family":"Brandi","given":"Giovanna"}],"issued":{"date-parts":[["2022",6]]}}}],"schema":"https://github.com/citation-style-language/schema/raw/master/csl-citation.json"}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[1]</w:t>
            </w:r>
            <w:r>
              <w:rPr>
                <w:rFonts w:asciiTheme="majorHAnsi" w:hAnsiTheme="majorHAnsi" w:cstheme="majorHAnsi"/>
              </w:rPr>
              <w:fldChar w:fldCharType="end"/>
            </w:r>
            <w:r>
              <w:rPr>
                <w:rFonts w:asciiTheme="majorHAnsi" w:hAnsiTheme="majorHAnsi" w:cstheme="majorHAnsi"/>
              </w:rPr>
              <w:t>,</w:t>
            </w:r>
            <w:r>
              <w:rPr>
                <w:rFonts w:asciiTheme="majorHAnsi" w:hAnsiTheme="majorHAnsi" w:cstheme="majorHAnsi"/>
              </w:rPr>
              <w:fldChar w:fldCharType="begin"/>
            </w:r>
            <w:r>
              <w:rPr>
                <w:rFonts w:asciiTheme="majorHAnsi" w:hAnsiTheme="majorHAnsi" w:cstheme="majorHAnsi"/>
              </w:rPr>
              <w:instrText xml:space="preserve"> ADDIN ZOTERO_ITEM CSL_CITATION {"citationID":"gekC5EvV","properties":{"formattedCitation":"[2]","plainCitation":"[2]","noteIndex":0},"citationItems":[{"id":1353,"uris":["http://zotero.org/users/local/GZYUSITa/items/G2LPP8C6"],"itemData":{"id":1353,"type":"article-journal","container-title":"Neurology","DOI":"10.1212/WNL.55.9.1315","ISSN":"0028-3878, 1526-632X","issue":"9","journalAbbreviation":"Neurology","language":"en","page":"1315-1320","source":"DOI.org (Crossref)","title":"Onset seizures independently predict poor outcome after subarachnoid hemorrhage","volume":"55","author":[{"family":"Butzkueven","given":"H."},{"family":"Evans","given":"A. H."},{"family":"Pitman","given":"A."},{"family":"Leopold","given":"C."},{"family":"Jolley","given":"D. J."},{"family":"Kaye","given":"A. H."},{"family":"Kilpatrick","given":"C. J."},{"family":"Davis","given":"S. M."}],"issued":{"date-parts":[["2000",11,14]]}}}],"schema":"https://github.com/citation-style-language/schema/raw/master/csl-citation.json"}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[2]</w:t>
            </w:r>
            <w:r>
              <w:rPr>
                <w:rFonts w:asciiTheme="majorHAnsi" w:hAnsiTheme="majorHAnsi" w:cstheme="majorHAnsi"/>
              </w:rPr>
              <w:fldChar w:fldCharType="end"/>
            </w:r>
            <w:r>
              <w:rPr>
                <w:rFonts w:asciiTheme="majorHAnsi" w:hAnsiTheme="majorHAnsi" w:cstheme="majorHAnsi"/>
              </w:rPr>
              <w:t>]</w:t>
            </w:r>
          </w:p>
        </w:tc>
      </w:tr>
      <w:tr w:rsidR="00074433" w:rsidRPr="008C508F" w14:paraId="4BF6188B" w14:textId="77777777" w:rsidTr="006F6734">
        <w:tc>
          <w:tcPr>
            <w:tcW w:w="2250" w:type="dxa"/>
          </w:tcPr>
          <w:p w14:paraId="1FD58516"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In-</w:t>
            </w:r>
            <w:proofErr w:type="spellStart"/>
            <w:r w:rsidRPr="008C508F">
              <w:rPr>
                <w:rFonts w:asciiTheme="majorHAnsi" w:hAnsiTheme="majorHAnsi" w:cstheme="majorHAnsi"/>
              </w:rPr>
              <w:t>hospital</w:t>
            </w:r>
            <w:proofErr w:type="spellEnd"/>
          </w:p>
        </w:tc>
        <w:tc>
          <w:tcPr>
            <w:tcW w:w="3145" w:type="dxa"/>
          </w:tcPr>
          <w:p w14:paraId="5D5F661F"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 xml:space="preserve">Post </w:t>
            </w:r>
            <w:proofErr w:type="spellStart"/>
            <w:r w:rsidRPr="008C508F">
              <w:rPr>
                <w:rFonts w:asciiTheme="majorHAnsi" w:hAnsiTheme="majorHAnsi" w:cstheme="majorHAnsi"/>
              </w:rPr>
              <w:t>intervention</w:t>
            </w:r>
            <w:proofErr w:type="spellEnd"/>
            <w:r w:rsidRPr="008C508F">
              <w:rPr>
                <w:rFonts w:asciiTheme="majorHAnsi" w:hAnsiTheme="majorHAnsi" w:cstheme="majorHAnsi"/>
              </w:rPr>
              <w:t xml:space="preserve"> 2.3% (</w:t>
            </w:r>
            <w:proofErr w:type="spellStart"/>
            <w:r w:rsidRPr="008C508F">
              <w:rPr>
                <w:rFonts w:asciiTheme="majorHAnsi" w:hAnsiTheme="majorHAnsi" w:cstheme="majorHAnsi"/>
              </w:rPr>
              <w:t>clipped</w:t>
            </w:r>
            <w:proofErr w:type="spellEnd"/>
            <w:r w:rsidRPr="008C508F">
              <w:rPr>
                <w:rFonts w:asciiTheme="majorHAnsi" w:hAnsiTheme="majorHAnsi" w:cstheme="majorHAnsi"/>
              </w:rPr>
              <w:t xml:space="preserve"> 2.4%, </w:t>
            </w:r>
            <w:proofErr w:type="spellStart"/>
            <w:r w:rsidRPr="008C508F">
              <w:rPr>
                <w:rFonts w:asciiTheme="majorHAnsi" w:hAnsiTheme="majorHAnsi" w:cstheme="majorHAnsi"/>
              </w:rPr>
              <w:t>coiled</w:t>
            </w:r>
            <w:proofErr w:type="spellEnd"/>
            <w:r w:rsidRPr="008C508F">
              <w:rPr>
                <w:rFonts w:asciiTheme="majorHAnsi" w:hAnsiTheme="majorHAnsi" w:cstheme="majorHAnsi"/>
              </w:rPr>
              <w:t xml:space="preserve"> 1.4%)</w:t>
            </w:r>
          </w:p>
        </w:tc>
        <w:tc>
          <w:tcPr>
            <w:tcW w:w="3060" w:type="dxa"/>
          </w:tcPr>
          <w:p w14:paraId="2FDD97E4" w14:textId="77777777" w:rsidR="00074433" w:rsidRPr="008C508F" w:rsidRDefault="00074433" w:rsidP="006F6734">
            <w:pPr>
              <w:spacing w:line="360" w:lineRule="auto"/>
              <w:rPr>
                <w:rFonts w:asciiTheme="majorHAnsi" w:hAnsiTheme="majorHAnsi" w:cstheme="majorHAnsi"/>
              </w:rPr>
            </w:pPr>
            <w:proofErr w:type="spellStart"/>
            <w:r w:rsidRPr="008C508F">
              <w:rPr>
                <w:rFonts w:asciiTheme="majorHAnsi" w:hAnsiTheme="majorHAnsi" w:cstheme="majorHAnsi"/>
              </w:rPr>
              <w:t>Not</w:t>
            </w:r>
            <w:proofErr w:type="spellEnd"/>
            <w:r w:rsidRPr="008C508F">
              <w:rPr>
                <w:rFonts w:asciiTheme="majorHAnsi" w:hAnsiTheme="majorHAnsi" w:cstheme="majorHAnsi"/>
              </w:rPr>
              <w:t xml:space="preserve"> </w:t>
            </w:r>
            <w:proofErr w:type="spellStart"/>
            <w:r w:rsidRPr="008C508F">
              <w:rPr>
                <w:rFonts w:asciiTheme="majorHAnsi" w:hAnsiTheme="majorHAnsi" w:cstheme="majorHAnsi"/>
              </w:rPr>
              <w:t>reported</w:t>
            </w:r>
            <w:proofErr w:type="spellEnd"/>
          </w:p>
        </w:tc>
        <w:tc>
          <w:tcPr>
            <w:tcW w:w="1732" w:type="dxa"/>
          </w:tcPr>
          <w:p w14:paraId="6318DD7E"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Meta-analysis</w:t>
            </w:r>
            <w:r>
              <w:rPr>
                <w:rFonts w:asciiTheme="majorHAnsi" w:hAnsiTheme="majorHAnsi" w:cstheme="majorHAnsi"/>
              </w:rPr>
              <w:t xml:space="preserve"> [</w:t>
            </w:r>
            <w:r>
              <w:rPr>
                <w:rFonts w:asciiTheme="majorHAnsi" w:hAnsiTheme="majorHAnsi" w:cstheme="majorHAnsi"/>
              </w:rPr>
              <w:fldChar w:fldCharType="begin"/>
            </w:r>
            <w:r>
              <w:rPr>
                <w:rFonts w:asciiTheme="majorHAnsi" w:hAnsiTheme="majorHAnsi" w:cstheme="majorHAnsi"/>
              </w:rPr>
              <w:instrText xml:space="preserve"> ADDIN ZOTERO_ITEM CSL_CITATION {"citationID":"ug3i3HnX","properties":{"formattedCitation":"[3]","plainCitation":"[3]","noteIndex":0},"citationItems":[{"id":1354,"uris":["http://zotero.org/users/local/GZYUSITa/items/FQYHY4KR"],"itemData":{"id":1354,"type":"article-journal","container-title":"World Neurosurgery","DOI":"10.1016/j.wneu.2012.08.006","ISSN":"18788750","issue":"5-6","journalAbbreviation":"World Neurosurgery","language":"en","page":"682-690","source":"DOI.org (Crossref)","title":"Seizures After Aneurysmal Subarachnoid Hemorrhage: A Systematic Review of Outcomes","title-short":"Seizures After Aneurysmal Subarachnoid Hemorrhage","volume":"79","author":[{"family":"Raper","given":"Daniel M.S."},{"family":"Starke","given":"Robert M."},{"family":"Komotar","given":"Ricardo J."},{"family":"Allan","given":"Rodney"},{"family":"Connolly","given":"E. Sander"}],"issued":{"date-parts":[["2013",5]]}}}],"schema":"https://github.com/citation-style-language/schema/raw/master/csl-citation.json"}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[3]</w:t>
            </w:r>
            <w:r>
              <w:rPr>
                <w:rFonts w:asciiTheme="majorHAnsi" w:hAnsiTheme="majorHAnsi" w:cstheme="majorHAnsi"/>
              </w:rPr>
              <w:fldChar w:fldCharType="end"/>
            </w:r>
            <w:r>
              <w:rPr>
                <w:rFonts w:asciiTheme="majorHAnsi" w:hAnsiTheme="majorHAnsi" w:cstheme="majorHAnsi"/>
              </w:rPr>
              <w:t>]</w:t>
            </w:r>
          </w:p>
        </w:tc>
      </w:tr>
      <w:tr w:rsidR="00074433" w:rsidRPr="008C508F" w14:paraId="15790B78" w14:textId="77777777" w:rsidTr="006F6734">
        <w:tc>
          <w:tcPr>
            <w:tcW w:w="2250" w:type="dxa"/>
          </w:tcPr>
          <w:p w14:paraId="3B186A4F" w14:textId="77777777" w:rsidR="00074433" w:rsidRPr="008C508F" w:rsidRDefault="00074433" w:rsidP="006F6734">
            <w:pPr>
              <w:spacing w:line="360" w:lineRule="auto"/>
              <w:rPr>
                <w:rFonts w:asciiTheme="majorHAnsi" w:hAnsiTheme="majorHAnsi" w:cstheme="majorHAnsi"/>
              </w:rPr>
            </w:pPr>
          </w:p>
        </w:tc>
        <w:tc>
          <w:tcPr>
            <w:tcW w:w="3145" w:type="dxa"/>
          </w:tcPr>
          <w:p w14:paraId="32B31C10" w14:textId="77777777" w:rsidR="00074433" w:rsidRPr="00C20428" w:rsidRDefault="00074433" w:rsidP="006F6734">
            <w:pPr>
              <w:spacing w:line="360" w:lineRule="auto"/>
              <w:rPr>
                <w:rFonts w:asciiTheme="majorHAnsi" w:hAnsiTheme="majorHAnsi" w:cstheme="majorHAnsi"/>
                <w:lang w:val="en-US"/>
              </w:rPr>
            </w:pPr>
            <w:r w:rsidRPr="00C20428">
              <w:rPr>
                <w:rFonts w:asciiTheme="majorHAnsi" w:hAnsiTheme="majorHAnsi" w:cstheme="majorHAnsi"/>
                <w:lang w:val="en-US"/>
              </w:rPr>
              <w:t>12-15% clipped and coiled (includes nonconvulsive)</w:t>
            </w:r>
          </w:p>
        </w:tc>
        <w:tc>
          <w:tcPr>
            <w:tcW w:w="3060" w:type="dxa"/>
          </w:tcPr>
          <w:p w14:paraId="1C48509B" w14:textId="77777777" w:rsidR="00074433" w:rsidRPr="008C508F" w:rsidRDefault="00074433" w:rsidP="006F6734">
            <w:pPr>
              <w:spacing w:line="360" w:lineRule="auto"/>
              <w:rPr>
                <w:rFonts w:asciiTheme="majorHAnsi" w:hAnsiTheme="majorHAnsi" w:cstheme="majorHAnsi"/>
              </w:rPr>
            </w:pPr>
            <w:proofErr w:type="spellStart"/>
            <w:r w:rsidRPr="008C508F">
              <w:rPr>
                <w:rFonts w:asciiTheme="majorHAnsi" w:hAnsiTheme="majorHAnsi" w:cstheme="majorHAnsi"/>
              </w:rPr>
              <w:t>Worse</w:t>
            </w:r>
            <w:proofErr w:type="spellEnd"/>
            <w:r w:rsidRPr="008C508F">
              <w:rPr>
                <w:rFonts w:asciiTheme="majorHAnsi" w:hAnsiTheme="majorHAnsi" w:cstheme="majorHAnsi"/>
              </w:rPr>
              <w:t xml:space="preserve"> 3 </w:t>
            </w:r>
            <w:proofErr w:type="spellStart"/>
            <w:r w:rsidRPr="008C508F">
              <w:rPr>
                <w:rFonts w:asciiTheme="majorHAnsi" w:hAnsiTheme="majorHAnsi" w:cstheme="majorHAnsi"/>
              </w:rPr>
              <w:t>months</w:t>
            </w:r>
            <w:proofErr w:type="spellEnd"/>
            <w:r w:rsidRPr="008C508F">
              <w:rPr>
                <w:rFonts w:asciiTheme="majorHAnsi" w:hAnsiTheme="majorHAnsi" w:cstheme="majorHAnsi"/>
              </w:rPr>
              <w:t xml:space="preserve"> </w:t>
            </w:r>
            <w:proofErr w:type="spellStart"/>
            <w:r w:rsidRPr="008C508F">
              <w:rPr>
                <w:rFonts w:asciiTheme="majorHAnsi" w:hAnsiTheme="majorHAnsi" w:cstheme="majorHAnsi"/>
              </w:rPr>
              <w:t>functional</w:t>
            </w:r>
            <w:proofErr w:type="spellEnd"/>
            <w:r w:rsidRPr="008C508F">
              <w:rPr>
                <w:rFonts w:asciiTheme="majorHAnsi" w:hAnsiTheme="majorHAnsi" w:cstheme="majorHAnsi"/>
              </w:rPr>
              <w:t xml:space="preserve"> recovery</w:t>
            </w:r>
          </w:p>
        </w:tc>
        <w:tc>
          <w:tcPr>
            <w:tcW w:w="1732" w:type="dxa"/>
          </w:tcPr>
          <w:p w14:paraId="1D490607"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Case series</w:t>
            </w:r>
            <w:r>
              <w:rPr>
                <w:rFonts w:asciiTheme="majorHAnsi" w:hAnsiTheme="majorHAnsi" w:cstheme="majorHAnsi"/>
              </w:rPr>
              <w:t xml:space="preserve"> [</w:t>
            </w:r>
            <w:r>
              <w:rPr>
                <w:rFonts w:asciiTheme="majorHAnsi" w:hAnsiTheme="majorHAnsi" w:cstheme="majorHAnsi"/>
              </w:rPr>
              <w:fldChar w:fldCharType="begin"/>
            </w:r>
            <w:r>
              <w:rPr>
                <w:rFonts w:asciiTheme="majorHAnsi" w:hAnsiTheme="majorHAnsi" w:cstheme="majorHAnsi"/>
              </w:rPr>
              <w:instrText xml:space="preserve"> ADDIN ZOTERO_ITEM CSL_CITATION {"citationID":"yzKwzxQi","properties":{"formattedCitation":"[1]","plainCitation":"[1]","noteIndex":0},"citationItems":[{"id":1355,"uris":["http://zotero.org/users/local/GZYUSITa/items/KY84NA47"],"itemData":{"id":1355,"type":"article-journal","abstract":"Abstract\n            \n              Background\n              We aimed to evaluate the association between seizures as divided by timing and type (seizures or status epilepticus) and outcome in patients with aneurysmal subarachnoid hemorrhage (aSAH).\n            \n            \n              Methods\n              All consecutive patients with aSAH admitted to the neurocritical care unit of the University Hospital Zurich between 2016 and 2020 were included. Seizure type and frequency were extracted from electronic patient files.\n            \n            \n              Results\n              \n                Out of 245 patients, 76 experienced acute symptomatic seizures, with 39 experiencing seizures at onset, 18 experiencing acute seizures, and 19 experiencing acute nonconvulsive status epilepticus (NCSE). Multivariate analysis revealed that acute symptomatic NCSE was an independent predictor of unfavorable outcome (odds ratio 14.20, 95% confidence interval 1.74–116.17,\n                p\n                 = 0.013) after correction for age, Hunt-Hess grade, Fisher grade, and delayed cerebral ischemia. Subgroup analysis showed a significant association of all seizures/NCSE with higher Fisher grade (\n                p\n                 &lt; 0.001 for acute symptomatic seizures/NCSE,\n                p\n                 = 0.031 for remote symptomatic seizures). However, although acute seizures/NCSE (\n                p\n                 = 0.750 and 0.060 for acute seizures/NCSE respectively) were not associated with unfavorable outcome in patients with a high Hunt-Hess grade, they were significantly associated with unfavorable outcome in patients with a low Hunt-Hess grade (\n                p\n                 = 0.019 and\n                p\n                 &lt; 0.001 for acute seizures/NCSE, respectively).\n              \n            \n            \n              Conclusions\n              Acute symptomatic NCSE independently predicts unfavorable outcome after aSAH. Seizures and NCSE are associated with unfavorable outcome, particularly in patients with a low Hunt-Hess grade. We propose that NCSE and the ictal or postictal reduction of Glasgow Coma Scale may hamper close clinical evaluation for signs of delayed cerebral ischemia, and thus possibly leading to delayed diagnosis and therapy thereof in patients with a low Hunt-Hess grade.","container-title":"Neurocritical Care","DOI":"10.1007/s12028-022-01489-0","ISSN":"1541-6933, 1556-0961","issue":"3","journalAbbreviation":"Neurocrit Care","language":"en","page":"751-759","source":"DOI.org (Crossref)","title":"Impact of Seizures and Status Epilepticus on Outcome in Patients with Aneurysmal Subarachnoid Hemorrhage","volume":"36","author":[{"family":"Bögli","given":"Stefan Yu"},{"family":"Wang","given":"Sophie"},{"family":"Romaguera","given":"Natalia"},{"family":"Schütz","given":"Valerie"},{"family":"Rafi","given":"Omar"},{"family":"Gilone","given":"Marco"},{"family":"Keller","given":"Emanuela"},{"family":"Imbach","given":"Lukas L."},{"family":"Brandi","given":"Giovanna"}],"issued":{"date-parts":[["2022",6]]}}}],"schema":"https://github.com/citation-style-language/schema/raw/master/csl-citation.json"}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[1]</w:t>
            </w:r>
            <w:r>
              <w:rPr>
                <w:rFonts w:asciiTheme="majorHAnsi" w:hAnsiTheme="majorHAnsi" w:cstheme="majorHAnsi"/>
              </w:rPr>
              <w:fldChar w:fldCharType="end"/>
            </w:r>
            <w:r>
              <w:rPr>
                <w:rFonts w:asciiTheme="majorHAnsi" w:hAnsiTheme="majorHAnsi" w:cstheme="majorHAnsi"/>
              </w:rPr>
              <w:t>,</w:t>
            </w:r>
            <w:r>
              <w:rPr>
                <w:rFonts w:asciiTheme="majorHAnsi" w:hAnsiTheme="majorHAnsi" w:cstheme="majorHAnsi"/>
              </w:rPr>
              <w:fldChar w:fldCharType="begin"/>
            </w:r>
            <w:r>
              <w:rPr>
                <w:rFonts w:asciiTheme="majorHAnsi" w:hAnsiTheme="majorHAnsi" w:cstheme="majorHAnsi"/>
              </w:rPr>
              <w:instrText xml:space="preserve"> ADDIN ZOTERO_ITEM CSL_CITATION {"citationID":"k8b1itUx","properties":{"formattedCitation":"[4]","plainCitation":"[4]","noteIndex":0},"citationItems":[{"id":1357,"uris":["http://zotero.org/users/local/GZYUSITa/items/YVGC86IH"],"itemData":{"id":1357,"type":"article-journal","container-title":"Neurology","DOI":"10.1212/WNL.0000000000002281","ISSN":"0028-3878, 1526-632X","issue":"3","journalAbbreviation":"Neurology","language":"en","page":"253-260","source":"DOI.org (Crossref)","title":"Seizure burden in subarachnoid hemorrhage associated with functional and cognitive outcome","volume":"86","author":[{"family":"De Marchis","given":"Gian Marco"},{"family":"Pugin","given":"Deborah"},{"family":"Meyers","given":"Emma"},{"family":"Velasquez","given":"Angela"},{"family":"Suwatcharangkoon","given":"Sureerat"},{"family":"Park","given":"Soojin"},{"family":"Falo","given":"M. Cristina"},{"family":"Agarwal","given":"Sachin"},{"family":"Mayer","given":"Stephan"},{"family":"Schmidt","given":"J. Michael"},{"family":"Connolly","given":"E. Sander"},{"family":"Claassen","given":"Jan"}],"issued":{"date-parts":[["2016",1,19]]}}}],"schema":"https://github.com/citation-style-language/schema/raw/master/csl-citation.json"}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[4]</w:t>
            </w:r>
            <w:r>
              <w:rPr>
                <w:rFonts w:asciiTheme="majorHAnsi" w:hAnsiTheme="majorHAnsi" w:cstheme="majorHAnsi"/>
              </w:rPr>
              <w:fldChar w:fldCharType="end"/>
            </w:r>
            <w:r>
              <w:rPr>
                <w:rFonts w:asciiTheme="majorHAnsi" w:hAnsiTheme="majorHAnsi" w:cstheme="majorHAnsi"/>
              </w:rPr>
              <w:t>]</w:t>
            </w:r>
          </w:p>
        </w:tc>
      </w:tr>
      <w:tr w:rsidR="00074433" w:rsidRPr="008C508F" w14:paraId="0BC0BD54" w14:textId="77777777" w:rsidTr="006F6734">
        <w:tc>
          <w:tcPr>
            <w:tcW w:w="2250" w:type="dxa"/>
          </w:tcPr>
          <w:p w14:paraId="5FB9B4A9"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Post-</w:t>
            </w:r>
            <w:proofErr w:type="spellStart"/>
            <w:r w:rsidRPr="008C508F">
              <w:rPr>
                <w:rFonts w:asciiTheme="majorHAnsi" w:hAnsiTheme="majorHAnsi" w:cstheme="majorHAnsi"/>
              </w:rPr>
              <w:t>hospital</w:t>
            </w:r>
            <w:proofErr w:type="spellEnd"/>
            <w:r w:rsidRPr="008C508F">
              <w:rPr>
                <w:rFonts w:asciiTheme="majorHAnsi" w:hAnsiTheme="majorHAnsi" w:cstheme="majorHAnsi"/>
              </w:rPr>
              <w:t xml:space="preserve"> discharge </w:t>
            </w:r>
            <w:proofErr w:type="spellStart"/>
            <w:r w:rsidRPr="008C508F">
              <w:rPr>
                <w:rFonts w:asciiTheme="majorHAnsi" w:hAnsiTheme="majorHAnsi" w:cstheme="majorHAnsi"/>
              </w:rPr>
              <w:t>epilepsy</w:t>
            </w:r>
            <w:proofErr w:type="spellEnd"/>
          </w:p>
        </w:tc>
        <w:tc>
          <w:tcPr>
            <w:tcW w:w="3145" w:type="dxa"/>
          </w:tcPr>
          <w:p w14:paraId="7254AED4"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 xml:space="preserve">Overall 5.5% </w:t>
            </w:r>
          </w:p>
          <w:p w14:paraId="35C3E963"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w:t>
            </w:r>
            <w:proofErr w:type="spellStart"/>
            <w:r w:rsidRPr="008C508F">
              <w:rPr>
                <w:rFonts w:asciiTheme="majorHAnsi" w:hAnsiTheme="majorHAnsi" w:cstheme="majorHAnsi"/>
              </w:rPr>
              <w:t>clipped</w:t>
            </w:r>
            <w:proofErr w:type="spellEnd"/>
            <w:r w:rsidRPr="008C508F">
              <w:rPr>
                <w:rFonts w:asciiTheme="majorHAnsi" w:hAnsiTheme="majorHAnsi" w:cstheme="majorHAnsi"/>
              </w:rPr>
              <w:t xml:space="preserve"> 6.5%, </w:t>
            </w:r>
            <w:proofErr w:type="spellStart"/>
            <w:r w:rsidRPr="008C508F">
              <w:rPr>
                <w:rFonts w:asciiTheme="majorHAnsi" w:hAnsiTheme="majorHAnsi" w:cstheme="majorHAnsi"/>
              </w:rPr>
              <w:t>coiled</w:t>
            </w:r>
            <w:proofErr w:type="spellEnd"/>
            <w:r w:rsidRPr="008C508F">
              <w:rPr>
                <w:rFonts w:asciiTheme="majorHAnsi" w:hAnsiTheme="majorHAnsi" w:cstheme="majorHAnsi"/>
              </w:rPr>
              <w:t xml:space="preserve"> 3.3%)</w:t>
            </w:r>
          </w:p>
        </w:tc>
        <w:tc>
          <w:tcPr>
            <w:tcW w:w="3060" w:type="dxa"/>
          </w:tcPr>
          <w:p w14:paraId="37DD43DF" w14:textId="77777777" w:rsidR="00074433" w:rsidRPr="008C508F" w:rsidRDefault="00074433" w:rsidP="006F6734">
            <w:pPr>
              <w:spacing w:line="360" w:lineRule="auto"/>
              <w:rPr>
                <w:rFonts w:asciiTheme="majorHAnsi" w:hAnsiTheme="majorHAnsi" w:cstheme="majorHAnsi"/>
              </w:rPr>
            </w:pPr>
            <w:proofErr w:type="spellStart"/>
            <w:r w:rsidRPr="008C508F">
              <w:rPr>
                <w:rFonts w:asciiTheme="majorHAnsi" w:hAnsiTheme="majorHAnsi" w:cstheme="majorHAnsi"/>
              </w:rPr>
              <w:t>Not</w:t>
            </w:r>
            <w:proofErr w:type="spellEnd"/>
            <w:r w:rsidRPr="008C508F">
              <w:rPr>
                <w:rFonts w:asciiTheme="majorHAnsi" w:hAnsiTheme="majorHAnsi" w:cstheme="majorHAnsi"/>
              </w:rPr>
              <w:t xml:space="preserve"> </w:t>
            </w:r>
            <w:proofErr w:type="spellStart"/>
            <w:r w:rsidRPr="008C508F">
              <w:rPr>
                <w:rFonts w:asciiTheme="majorHAnsi" w:hAnsiTheme="majorHAnsi" w:cstheme="majorHAnsi"/>
              </w:rPr>
              <w:t>reported</w:t>
            </w:r>
            <w:proofErr w:type="spellEnd"/>
          </w:p>
        </w:tc>
        <w:tc>
          <w:tcPr>
            <w:tcW w:w="1732" w:type="dxa"/>
          </w:tcPr>
          <w:p w14:paraId="3E8191BC"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Meta-analysis</w:t>
            </w:r>
            <w:r>
              <w:rPr>
                <w:rFonts w:asciiTheme="majorHAnsi" w:hAnsiTheme="majorHAnsi" w:cstheme="majorHAnsi"/>
              </w:rPr>
              <w:t xml:space="preserve"> [</w:t>
            </w:r>
            <w:r>
              <w:rPr>
                <w:rFonts w:asciiTheme="majorHAnsi" w:hAnsiTheme="majorHAnsi" w:cstheme="majorHAnsi"/>
              </w:rPr>
              <w:fldChar w:fldCharType="begin"/>
            </w:r>
            <w:r>
              <w:rPr>
                <w:rFonts w:asciiTheme="majorHAnsi" w:hAnsiTheme="majorHAnsi" w:cstheme="majorHAnsi"/>
              </w:rPr>
              <w:instrText xml:space="preserve"> ADDIN ZOTERO_ITEM CSL_CITATION {"citationID":"gULHWHNE","properties":{"formattedCitation":"[3]","plainCitation":"[3]","noteIndex":0},"citationItems":[{"id":1354,"uris":["http://zotero.org/users/local/GZYUSITa/items/FQYHY4KR"],"itemData":{"id":1354,"type":"article-journal","container-title":"World Neurosurgery","DOI":"10.1016/j.wneu.2012.08.006","ISSN":"18788750","issue":"5-6","journalAbbreviation":"World Neurosurgery","language":"en","page":"682-690","source":"DOI.org (Crossref)","title":"Seizures After Aneurysmal Subarachnoid Hemorrhage: A Systematic Review of Outcomes","title-short":"Seizures After Aneurysmal Subarachnoid Hemorrhage","volume":"79","author":[{"family":"Raper","given":"Daniel M.S."},{"family":"Starke","given":"Robert M."},{"family":"Komotar","given":"Ricardo J."},{"family":"Allan","given":"Rodney"},{"family":"Connolly","given":"E. Sander"}],"issued":{"date-parts":[["2013",5]]}}}],"schema":"https://github.com/citation-style-language/schema/raw/master/csl-citation.json"}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[3]</w:t>
            </w:r>
            <w:r>
              <w:rPr>
                <w:rFonts w:asciiTheme="majorHAnsi" w:hAnsiTheme="majorHAnsi" w:cstheme="majorHAnsi"/>
              </w:rPr>
              <w:fldChar w:fldCharType="end"/>
            </w:r>
            <w:r>
              <w:rPr>
                <w:rFonts w:asciiTheme="majorHAnsi" w:hAnsiTheme="majorHAnsi" w:cstheme="majorHAnsi"/>
              </w:rPr>
              <w:t>]</w:t>
            </w:r>
          </w:p>
        </w:tc>
      </w:tr>
      <w:tr w:rsidR="00074433" w:rsidRPr="008C508F" w14:paraId="4BB37593" w14:textId="77777777" w:rsidTr="006F6734">
        <w:tc>
          <w:tcPr>
            <w:tcW w:w="2250" w:type="dxa"/>
          </w:tcPr>
          <w:p w14:paraId="7C2C05CC" w14:textId="77777777" w:rsidR="00074433" w:rsidRPr="008C508F" w:rsidRDefault="00074433" w:rsidP="006F6734">
            <w:pPr>
              <w:spacing w:line="360" w:lineRule="auto"/>
              <w:rPr>
                <w:rFonts w:asciiTheme="majorHAnsi" w:hAnsiTheme="majorHAnsi" w:cstheme="majorHAnsi"/>
              </w:rPr>
            </w:pPr>
          </w:p>
        </w:tc>
        <w:tc>
          <w:tcPr>
            <w:tcW w:w="3145" w:type="dxa"/>
          </w:tcPr>
          <w:p w14:paraId="3FE74B7C"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 xml:space="preserve">15.0-16.3% </w:t>
            </w:r>
          </w:p>
        </w:tc>
        <w:tc>
          <w:tcPr>
            <w:tcW w:w="3060" w:type="dxa"/>
          </w:tcPr>
          <w:p w14:paraId="2747AEF0" w14:textId="77777777" w:rsidR="00074433" w:rsidRPr="00C20428" w:rsidRDefault="00074433" w:rsidP="006F6734">
            <w:pPr>
              <w:spacing w:line="360" w:lineRule="auto"/>
              <w:rPr>
                <w:rFonts w:asciiTheme="majorHAnsi" w:hAnsiTheme="majorHAnsi" w:cstheme="majorHAnsi"/>
                <w:lang w:val="en-US"/>
              </w:rPr>
            </w:pPr>
            <w:r w:rsidRPr="00C20428">
              <w:rPr>
                <w:rFonts w:asciiTheme="majorHAnsi" w:hAnsiTheme="majorHAnsi" w:cstheme="majorHAnsi"/>
                <w:lang w:val="en-US"/>
              </w:rPr>
              <w:t>Higher mortality, worse functional recovery</w:t>
            </w:r>
          </w:p>
        </w:tc>
        <w:tc>
          <w:tcPr>
            <w:tcW w:w="1732" w:type="dxa"/>
          </w:tcPr>
          <w:p w14:paraId="040EED55" w14:textId="77777777" w:rsidR="00074433" w:rsidRPr="008C508F" w:rsidRDefault="00074433" w:rsidP="006F6734">
            <w:pPr>
              <w:spacing w:line="360" w:lineRule="auto"/>
              <w:rPr>
                <w:rFonts w:asciiTheme="majorHAnsi" w:hAnsiTheme="majorHAnsi" w:cstheme="majorHAnsi"/>
              </w:rPr>
            </w:pPr>
            <w:r w:rsidRPr="008C508F">
              <w:rPr>
                <w:rFonts w:asciiTheme="majorHAnsi" w:hAnsiTheme="majorHAnsi" w:cstheme="majorHAnsi"/>
              </w:rPr>
              <w:t>Case series</w:t>
            </w:r>
            <w:r>
              <w:rPr>
                <w:rFonts w:asciiTheme="majorHAnsi" w:hAnsiTheme="majorHAnsi" w:cstheme="majorHAnsi"/>
              </w:rPr>
              <w:t xml:space="preserve"> [</w:t>
            </w:r>
            <w:r>
              <w:rPr>
                <w:rFonts w:asciiTheme="majorHAnsi" w:hAnsiTheme="majorHAnsi" w:cstheme="majorHAnsi"/>
              </w:rPr>
              <w:fldChar w:fldCharType="begin"/>
            </w:r>
            <w:r>
              <w:rPr>
                <w:rFonts w:asciiTheme="majorHAnsi" w:hAnsiTheme="majorHAnsi" w:cstheme="majorHAnsi"/>
              </w:rPr>
              <w:instrText xml:space="preserve"> ADDIN ZOTERO_ITEM CSL_CITATION {"citationID":"E4CyAM2R","properties":{"formattedCitation":"[1]","plainCitation":"[1]","noteIndex":0},"citationItems":[{"id":1355,"uris":["http://zotero.org/users/local/GZYUSITa/items/KY84NA47"],"itemData":{"id":1355,"type":"article-journal","abstract":"Abstract\n            \n              Background\n              We aimed to evaluate the association between seizures as divided by timing and type (seizures or status epilepticus) and outcome in patients with aneurysmal subarachnoid hemorrhage (aSAH).\n            \n            \n              Methods\n              All consecutive patients with aSAH admitted to the neurocritical care unit of the University Hospital Zurich between 2016 and 2020 were included. Seizure type and frequency were extracted from electronic patient files.\n            \n            \n              Results\n              \n                Out of 245 patients, 76 experienced acute symptomatic seizures, with 39 experiencing seizures at onset, 18 experiencing acute seizures, and 19 experiencing acute nonconvulsive status epilepticus (NCSE). Multivariate analysis revealed that acute symptomatic NCSE was an independent predictor of unfavorable outcome (odds ratio 14.20, 95% confidence interval 1.74–116.17,\n                p\n                 = 0.013) after correction for age, Hunt-Hess grade, Fisher grade, and delayed cerebral ischemia. Subgroup analysis showed a significant association of all seizures/NCSE with higher Fisher grade (\n                p\n                 &lt; 0.001 for acute symptomatic seizures/NCSE,\n                p\n                 = 0.031 for remote symptomatic seizures). However, although acute seizures/NCSE (\n                p\n                 = 0.750 and 0.060 for acute seizures/NCSE respectively) were not associated with unfavorable outcome in patients with a high Hunt-Hess grade, they were significantly associated with unfavorable outcome in patients with a low Hunt-Hess grade (\n                p\n                 = 0.019 and\n                p\n                 &lt; 0.001 for acute seizures/NCSE, respectively).\n              \n            \n            \n              Conclusions\n              Acute symptomatic NCSE independently predicts unfavorable outcome after aSAH. Seizures and NCSE are associated with unfavorable outcome, particularly in patients with a low Hunt-Hess grade. We propose that NCSE and the ictal or postictal reduction of Glasgow Coma Scale may hamper close clinical evaluation for signs of delayed cerebral ischemia, and thus possibly leading to delayed diagnosis and therapy thereof in patients with a low Hunt-Hess grade.","container-title":"Neurocritical Care","DOI":"10.1007/s12028-022-01489-0","ISSN":"1541-6933, 1556-0961","issue":"3","journalAbbreviation":"Neurocrit Care","language":"en","page":"751-759","source":"DOI.org (Crossref)","title":"Impact of Seizures and Status Epilepticus on Outcome in Patients with Aneurysmal Subarachnoid Hemorrhage","volume":"36","author":[{"family":"Bögli","given":"Stefan Yu"},{"family":"Wang","given":"Sophie"},{"family":"Romaguera","given":"Natalia"},{"family":"Schütz","given":"Valerie"},{"family":"Rafi","given":"Omar"},{"family":"Gilone","given":"Marco"},{"family":"Keller","given":"Emanuela"},{"family":"Imbach","given":"Lukas L."},{"family":"Brandi","given":"Giovanna"}],"issued":{"date-parts":[["2022",6]]}}}],"schema":"https://github.com/citation-style-language/schema/raw/master/csl-citation.json"}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[1]</w:t>
            </w:r>
            <w:r>
              <w:rPr>
                <w:rFonts w:asciiTheme="majorHAnsi" w:hAnsiTheme="majorHAnsi" w:cstheme="majorHAnsi"/>
              </w:rPr>
              <w:fldChar w:fldCharType="end"/>
            </w:r>
            <w:r>
              <w:rPr>
                <w:rFonts w:asciiTheme="majorHAnsi" w:hAnsiTheme="majorHAnsi" w:cstheme="majorHAnsi"/>
              </w:rPr>
              <w:t>,</w:t>
            </w:r>
            <w:r>
              <w:rPr>
                <w:rFonts w:asciiTheme="majorHAnsi" w:hAnsiTheme="majorHAnsi" w:cstheme="majorHAnsi"/>
              </w:rPr>
              <w:fldChar w:fldCharType="begin"/>
            </w:r>
            <w:r>
              <w:rPr>
                <w:rFonts w:asciiTheme="majorHAnsi" w:hAnsiTheme="majorHAnsi" w:cstheme="majorHAnsi"/>
              </w:rPr>
              <w:instrText xml:space="preserve"> ADDIN ZOTERO_ITEM CSL_CITATION {"citationID":"EbvVm7oU","properties":{"formattedCitation":"[5]","plainCitation":"[5]","noteIndex":0},"citationItems":[{"id":1362,"uris":["http://zotero.org/users/local/GZYUSITa/items/HK2RXQYW"],"itemData":{"id":1362,"type":"article-journal","abstract":"Objective:\n              To elucidate the epilepsy-associated causes of death and subsequent excess long-term mortality among 12-month survivors of subarachnoid hemorrhage from saccular intracranial aneurysm (SIA-SAH).\n            \n            \n              Methods:\n              \n                The Kuopio SIA Database (\n                kuopioneurosurgery.fi\n                ) includes all SIA-SAH patients admitted to the Kuopio University Hospital from its defined catchment population in Eastern Finland. The study cohort consists of 779 patients, admitted from 1995 to 2007, who were alive at 12 months after SIA-SAH. Their use of reimbursable antiepileptic drugs and the causes of death (ICD-10) were fused from the Finnish national registries from 1994 to 2014.\n              \n            \n            \n              Results:\n              The 779 12-month survivors were followed up until death (n = 197) or December 31, 2014, a median of 12.0 years after SIA-SAH. Epilepsy had been diagnosed in 121 (15%) patients after SIA-SAH, and 34/121 (28%) had died at the end of follow-up, with epilepsy as the immediate cause of death in 7/34 (21%). In the 779 patients alive at 12 months after SIA-SAH, epilepsy was an independent risk factor for mortality (hazard ratio 1.8, 95% confidence interval 1.1–3.0).\n            \n            \n              Conclusions:\n              Comorbid epilepsy in 12-month survivors of SIA-SAH is associated with increased risk of death in long-term follow-up. Survivors of SIA-SAH require long-term dedicated follow-up, including identification and effective treatment of comorbid epilepsy to prevent avoidable deaths.","container-title":"Neurology","DOI":"10.1212/WNL.0000000000004113","ISSN":"0028-3878, 1526-632X","issue":"3","journalAbbreviation":"Neurology","language":"en","page":"263-268","source":"DOI.org (Crossref)","title":"Epilepsy-associated long-term mortality after aneurysmal subarachnoid hemorrhage","volume":"89","author":[{"family":"Huttunen","given":"Jukka"},{"family":"Lindgren","given":"Antti"},{"family":"Kurki","given":"Mitja I."},{"family":"Huttunen","given":"Terhi"},{"family":"Frösen","given":"Juhana"},{"family":"Koivisto","given":"Timo"},{"family":"Von Und Zu Fraunberg","given":"Mikael"},{"family":"Immonen","given":"Arto"},{"family":"Jääskeläinen","given":"Juha E."},{"family":"Kälviäinen","given":"Reetta"}],"issued":{"date-parts":[["2017",7,18]]}}}],"schema":"https://github.com/citation-style-language/schema/raw/master/csl-citation.json"}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[5]</w:t>
            </w:r>
            <w:r>
              <w:rPr>
                <w:rFonts w:asciiTheme="majorHAnsi" w:hAnsiTheme="majorHAnsi" w:cstheme="majorHAnsi"/>
              </w:rPr>
              <w:fldChar w:fldCharType="end"/>
            </w:r>
            <w:r>
              <w:rPr>
                <w:rFonts w:asciiTheme="majorHAnsi" w:hAnsiTheme="majorHAnsi" w:cstheme="majorHAnsi"/>
              </w:rPr>
              <w:t xml:space="preserve">, </w:t>
            </w:r>
            <w:r>
              <w:rPr>
                <w:rFonts w:asciiTheme="majorHAnsi" w:hAnsiTheme="majorHAnsi" w:cstheme="majorHAnsi"/>
              </w:rPr>
              <w:fldChar w:fldCharType="begin"/>
            </w:r>
            <w:r>
              <w:rPr>
                <w:rFonts w:asciiTheme="majorHAnsi" w:hAnsiTheme="majorHAnsi" w:cstheme="majorHAnsi"/>
              </w:rPr>
              <w:instrText xml:space="preserve"> ADDIN ZOTERO_ITEM CSL_CITATION {"citationID":"ibkrP2FB","properties":{"formattedCitation":"[6]","plainCitation":"[6]","noteIndex":0},"citationItems":[{"id":1364,"uris":["http://zotero.org/users/local/GZYUSITa/items/HHVCDS3Z"],"itemData":{"id":1364,"type":"article-journal","container-title":"Neurology","DOI":"10.1212/01.WNL.0000038906.71394.DE","ISSN":"0028-3878, 1526-632X","issue":"2","journalAbbreviation":"Neurology","language":"en","page":"208-214","source":"DOI.org (Crossref)","title":"Predictors and clinical impact of epilepsy after subarachnoid hemorrhage","volume":"60","author":[{"family":"Claassen","given":"J."},{"family":"Peery","given":"S."},{"family":"Kreiter","given":"K.T."},{"family":"Hirsch","given":"L.J."},{"family":"Du","given":"E.Y."},{"family":"Connolly","given":"E.S."},{"family":"Mayer","given":"S.A."}],"issued":{"date-parts":[["2003",1,28]]}}}],"schema":"https://github.com/citation-style-language/schema/raw/master/csl-citation.json"} </w:instrText>
            </w:r>
            <w:r>
              <w:rPr>
                <w:rFonts w:asciiTheme="majorHAnsi" w:hAnsiTheme="majorHAnsi" w:cstheme="majorHAnsi"/>
              </w:rPr>
              <w:fldChar w:fldCharType="separate"/>
            </w:r>
            <w:r>
              <w:rPr>
                <w:rFonts w:ascii="Calibri Light" w:hAnsiTheme="majorHAnsi" w:cs="Calibri Light"/>
              </w:rPr>
              <w:t>[6]</w:t>
            </w:r>
            <w:r>
              <w:rPr>
                <w:rFonts w:asciiTheme="majorHAnsi" w:hAnsiTheme="majorHAnsi" w:cstheme="majorHAnsi"/>
              </w:rPr>
              <w:fldChar w:fldCharType="end"/>
            </w:r>
            <w:r>
              <w:rPr>
                <w:rFonts w:asciiTheme="majorHAnsi" w:hAnsiTheme="majorHAnsi" w:cstheme="majorHAnsi"/>
              </w:rPr>
              <w:t>]</w:t>
            </w:r>
            <w:r w:rsidRPr="008C508F">
              <w:rPr>
                <w:rFonts w:asciiTheme="majorHAnsi" w:hAnsiTheme="majorHAnsi" w:cstheme="majorHAnsi"/>
              </w:rPr>
              <w:t xml:space="preserve"> </w:t>
            </w:r>
          </w:p>
        </w:tc>
      </w:tr>
    </w:tbl>
    <w:p w14:paraId="272DFF6A" w14:textId="77777777" w:rsidR="00074433" w:rsidRDefault="00074433" w:rsidP="00074433">
      <w:pPr>
        <w:spacing w:line="360" w:lineRule="auto"/>
        <w:rPr>
          <w:rFonts w:asciiTheme="majorHAnsi" w:hAnsiTheme="majorHAnsi" w:cstheme="majorHAnsi"/>
        </w:rPr>
      </w:pPr>
    </w:p>
    <w:p w14:paraId="6AE3377B" w14:textId="77777777" w:rsidR="00074433" w:rsidRDefault="00074433" w:rsidP="00074433"/>
    <w:p w14:paraId="29D469E3" w14:textId="77777777" w:rsidR="00074433" w:rsidRDefault="00074433" w:rsidP="00074433">
      <w:proofErr w:type="spellStart"/>
      <w:r>
        <w:t>References</w:t>
      </w:r>
      <w:proofErr w:type="spellEnd"/>
      <w:r>
        <w:t>:</w:t>
      </w:r>
    </w:p>
    <w:p w14:paraId="54EEFB36" w14:textId="77777777" w:rsidR="00074433" w:rsidRPr="00396998" w:rsidRDefault="00074433" w:rsidP="00074433">
      <w:pPr>
        <w:pStyle w:val="Bibliography1"/>
        <w:rPr>
          <w:rFonts w:ascii="Calibri" w:cs="Calibri"/>
        </w:rPr>
      </w:pPr>
      <w:r>
        <w:fldChar w:fldCharType="begin"/>
      </w:r>
      <w:r>
        <w:instrText xml:space="preserve"> ADDIN ZOTERO_BIBL {"uncited":[],"omitted":[],"custom":[]} CSL_BIBLIOGRAPHY </w:instrText>
      </w:r>
      <w:r>
        <w:fldChar w:fldCharType="separate"/>
      </w:r>
      <w:r w:rsidRPr="00396998">
        <w:rPr>
          <w:rFonts w:ascii="Calibri" w:cs="Calibri"/>
        </w:rPr>
        <w:t xml:space="preserve">1. </w:t>
      </w:r>
      <w:r w:rsidRPr="00396998">
        <w:rPr>
          <w:rFonts w:ascii="Calibri" w:cs="Calibri"/>
        </w:rPr>
        <w:tab/>
        <w:t>Bögli SY, Wang S, Romaguera N, Schütz V, Rafi O, Gilone M, Keller E, Imbach LL, Brandi G (2022) Impact of Seizures and Status Epilepticus on Outcome in Patients with Aneurysmal Subarachnoid Hemorrhage. Neurocrit Care 36:751–759. https://doi.org/10.1007/s12028-022-01489-0</w:t>
      </w:r>
    </w:p>
    <w:p w14:paraId="6F2826F9" w14:textId="77777777" w:rsidR="00074433" w:rsidRPr="00C20428" w:rsidRDefault="00074433" w:rsidP="00074433">
      <w:pPr>
        <w:pStyle w:val="Bibliography1"/>
        <w:rPr>
          <w:rFonts w:ascii="Calibri" w:cs="Calibri"/>
          <w:lang w:val="en-US"/>
        </w:rPr>
      </w:pPr>
      <w:r w:rsidRPr="00C20428">
        <w:rPr>
          <w:rFonts w:ascii="Calibri" w:cs="Calibri"/>
          <w:lang w:val="en-US"/>
        </w:rPr>
        <w:t xml:space="preserve">2. </w:t>
      </w:r>
      <w:r w:rsidRPr="00C20428">
        <w:rPr>
          <w:rFonts w:ascii="Calibri" w:cs="Calibri"/>
          <w:lang w:val="en-US"/>
        </w:rPr>
        <w:tab/>
        <w:t>Butzkueven H, Evans AH, Pitman A, Leopold C, Jolley DJ, Kaye AH, Kilpatrick CJ, Davis SM (2000) Onset seizures independently predict poor outcome after subarachnoid hemorrhage. Neurology 55:1315–1320. https://doi.org/10.1212/WNL.55.9.1315</w:t>
      </w:r>
    </w:p>
    <w:p w14:paraId="726C0EEC" w14:textId="77777777" w:rsidR="00074433" w:rsidRPr="00C20428" w:rsidRDefault="00074433" w:rsidP="00074433">
      <w:pPr>
        <w:pStyle w:val="Bibliography1"/>
        <w:rPr>
          <w:rFonts w:ascii="Calibri" w:cs="Calibri"/>
          <w:lang w:val="en-US"/>
        </w:rPr>
      </w:pPr>
      <w:r w:rsidRPr="00C20428">
        <w:rPr>
          <w:rFonts w:ascii="Calibri" w:cs="Calibri"/>
          <w:lang w:val="en-US"/>
        </w:rPr>
        <w:t xml:space="preserve">3. </w:t>
      </w:r>
      <w:r w:rsidRPr="00C20428">
        <w:rPr>
          <w:rFonts w:ascii="Calibri" w:cs="Calibri"/>
          <w:lang w:val="en-US"/>
        </w:rPr>
        <w:tab/>
        <w:t>Raper DMS, Starke RM, Komotar RJ, Allan R, Connolly ES (2013) Seizures After Aneurysmal Subarachnoid Hemorrhage: A Systematic Review of Outcomes. World Neurosurg 79:682–690. https://doi.org/10.1016/j.wneu.2012.08.006</w:t>
      </w:r>
    </w:p>
    <w:p w14:paraId="3685664D" w14:textId="77777777" w:rsidR="00074433" w:rsidRPr="00C20428" w:rsidRDefault="00074433" w:rsidP="00074433">
      <w:pPr>
        <w:pStyle w:val="Bibliography1"/>
        <w:rPr>
          <w:rFonts w:ascii="Calibri" w:cs="Calibri"/>
          <w:lang w:val="en-US"/>
        </w:rPr>
      </w:pPr>
      <w:r w:rsidRPr="00C20428">
        <w:rPr>
          <w:rFonts w:ascii="Calibri" w:cs="Calibri"/>
          <w:lang w:val="en-US"/>
        </w:rPr>
        <w:t xml:space="preserve">4. </w:t>
      </w:r>
      <w:r w:rsidRPr="00C20428">
        <w:rPr>
          <w:rFonts w:ascii="Calibri" w:cs="Calibri"/>
          <w:lang w:val="en-US"/>
        </w:rPr>
        <w:tab/>
        <w:t>De Marchis GM, Pugin D, Meyers E, Velasquez A, Suwatcharangkoon S, Park S, Falo MC, Agarwal S, Mayer S, Schmidt JM, Connolly ES, Claassen J (2016) Seizure burden in subarachnoid hemorrhage associated with functional and cognitive outcome. Neurology 86:253–260. https://doi.org/10.1212/WNL.0000000000002281</w:t>
      </w:r>
    </w:p>
    <w:p w14:paraId="36B26779" w14:textId="77777777" w:rsidR="00074433" w:rsidRPr="00C20428" w:rsidRDefault="00074433" w:rsidP="00074433">
      <w:pPr>
        <w:pStyle w:val="Bibliography1"/>
        <w:rPr>
          <w:rFonts w:ascii="Calibri" w:cs="Calibri"/>
          <w:lang w:val="en-US"/>
        </w:rPr>
      </w:pPr>
      <w:r w:rsidRPr="00C20428">
        <w:rPr>
          <w:rFonts w:ascii="Calibri" w:cs="Calibri"/>
          <w:lang w:val="en-US"/>
        </w:rPr>
        <w:lastRenderedPageBreak/>
        <w:t xml:space="preserve">5. </w:t>
      </w:r>
      <w:r w:rsidRPr="00C20428">
        <w:rPr>
          <w:rFonts w:ascii="Calibri" w:cs="Calibri"/>
          <w:lang w:val="en-US"/>
        </w:rPr>
        <w:tab/>
        <w:t>Huttunen J, Lindgren A, Kurki MI, Huttunen T, Frösen J, Koivisto T, Von Und Zu Fraunberg M, Immonen A, Jääskeläinen JE, Kälviäinen R (2017) Epilepsy-associated long-term mortality after aneurysmal subarachnoid hemorrhage. Neurology 89:263–268. https://doi.org/10.1212/WNL.0000000000004113</w:t>
      </w:r>
    </w:p>
    <w:p w14:paraId="75385C14" w14:textId="77777777" w:rsidR="00074433" w:rsidRDefault="00074433" w:rsidP="00074433">
      <w:pPr>
        <w:pStyle w:val="Bibliography1"/>
        <w:rPr>
          <w:rFonts w:ascii="Calibri" w:cs="Calibri"/>
          <w:lang w:val="en-US"/>
        </w:rPr>
      </w:pPr>
      <w:r w:rsidRPr="00C20428">
        <w:rPr>
          <w:rFonts w:ascii="Calibri" w:cs="Calibri"/>
          <w:lang w:val="en-US"/>
        </w:rPr>
        <w:t xml:space="preserve">6. </w:t>
      </w:r>
      <w:r w:rsidRPr="00C20428">
        <w:rPr>
          <w:rFonts w:ascii="Calibri" w:cs="Calibri"/>
          <w:lang w:val="en-US"/>
        </w:rPr>
        <w:tab/>
        <w:t>Claassen J, Peery S, Kreiter KT, Hirsch LJ, Du EY, Connolly ES, Mayer SA (2003) Predictors and clinical impact of epilepsy after subarachnoid hemorrhage. Neurology 60:208–214. https://doi.org/10.1212/01.WNL.0000038906.71394.DE</w:t>
      </w:r>
    </w:p>
    <w:p w14:paraId="43AA243E" w14:textId="77777777" w:rsidR="00B4159D" w:rsidRDefault="00B4159D" w:rsidP="00074433">
      <w:pPr>
        <w:pStyle w:val="Bibliography1"/>
        <w:rPr>
          <w:rFonts w:ascii="Calibri" w:cs="Calibri"/>
          <w:lang w:val="en-US"/>
        </w:rPr>
      </w:pPr>
    </w:p>
    <w:p w14:paraId="52D94E47" w14:textId="77777777" w:rsidR="00B4159D" w:rsidRDefault="00B4159D" w:rsidP="00074433">
      <w:pPr>
        <w:pStyle w:val="Bibliography1"/>
        <w:rPr>
          <w:rFonts w:ascii="Calibri" w:cs="Calibri"/>
          <w:lang w:val="en-US"/>
        </w:rPr>
      </w:pPr>
    </w:p>
    <w:p w14:paraId="1E136CA5" w14:textId="77777777" w:rsidR="00B4159D" w:rsidRDefault="00B4159D" w:rsidP="00074433">
      <w:pPr>
        <w:pStyle w:val="Bibliography1"/>
        <w:rPr>
          <w:rFonts w:ascii="Calibri" w:cs="Calibri"/>
          <w:lang w:val="en-US"/>
        </w:rPr>
      </w:pPr>
    </w:p>
    <w:p w14:paraId="0F9FAB5F" w14:textId="77777777" w:rsidR="00B4159D" w:rsidRDefault="00B4159D" w:rsidP="00074433">
      <w:pPr>
        <w:pStyle w:val="Bibliography1"/>
        <w:rPr>
          <w:rFonts w:ascii="Calibri" w:cs="Calibri"/>
          <w:lang w:val="en-US"/>
        </w:rPr>
      </w:pPr>
    </w:p>
    <w:tbl>
      <w:tblPr>
        <w:tblW w:w="0" w:type="auto"/>
        <w:tblCellMar>
          <w:left w:w="0" w:type="dxa"/>
          <w:right w:w="0" w:type="dxa"/>
        </w:tblCellMar>
        <w:tblLook w:val="04A0" w:firstRow="1" w:lastRow="0" w:firstColumn="1" w:lastColumn="0" w:noHBand="0" w:noVBand="1"/>
      </w:tblPr>
      <w:tblGrid>
        <w:gridCol w:w="671"/>
        <w:gridCol w:w="752"/>
        <w:gridCol w:w="1799"/>
        <w:gridCol w:w="1038"/>
        <w:gridCol w:w="1202"/>
        <w:gridCol w:w="1084"/>
        <w:gridCol w:w="746"/>
        <w:gridCol w:w="897"/>
        <w:gridCol w:w="821"/>
      </w:tblGrid>
      <w:tr w:rsidR="00B4159D" w:rsidRPr="00B4159D" w14:paraId="19E5DDA4"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D8CA34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 Number</w:t>
            </w:r>
          </w:p>
        </w:tc>
        <w:tc>
          <w:tcPr>
            <w:tcW w:w="142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760E74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Study Title</w:t>
            </w:r>
          </w:p>
        </w:tc>
        <w:tc>
          <w:tcPr>
            <w:tcW w:w="298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B95A51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Study URL</w:t>
            </w:r>
          </w:p>
        </w:tc>
        <w:tc>
          <w:tcPr>
            <w:tcW w:w="16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6EB9828"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Study Status</w:t>
            </w:r>
          </w:p>
        </w:tc>
        <w:tc>
          <w:tcPr>
            <w:tcW w:w="79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7391BD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Conditions</w:t>
            </w:r>
          </w:p>
        </w:tc>
        <w:tc>
          <w:tcPr>
            <w:tcW w:w="72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4EDAA6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Interventions</w:t>
            </w:r>
          </w:p>
        </w:tc>
        <w:tc>
          <w:tcPr>
            <w:tcW w:w="484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CAED3B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Sponsor</w:t>
            </w:r>
          </w:p>
        </w:tc>
        <w:tc>
          <w:tcPr>
            <w:tcW w:w="148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9FDB47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Collaborators</w:t>
            </w:r>
          </w:p>
        </w:tc>
        <w:tc>
          <w:tcPr>
            <w:tcW w:w="124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5019CB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Study Type</w:t>
            </w:r>
          </w:p>
        </w:tc>
      </w:tr>
      <w:tr w:rsidR="00B4159D" w:rsidRPr="00B4159D" w14:paraId="74ED159E" w14:textId="77777777" w:rsidTr="00B4159D">
        <w:trPr>
          <w:trHeight w:val="180"/>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74A928"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NCT06076590</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A2F6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Impact of Multiple Electrolytes Injection Ⅱ and Saline on Hyperchloremia in Patients With Aneurysmal Subarachnoid Hemorrhage:a Pilot Study</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A8F3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5" w:history="1">
              <w:r w:rsidRPr="00B4159D">
                <w:rPr>
                  <w:rFonts w:ascii="Helvetica Neue" w:eastAsia="Times New Roman" w:hAnsi="Helvetica Neue" w:cs="Times New Roman"/>
                  <w:color w:val="0000FF"/>
                  <w:sz w:val="15"/>
                  <w:szCs w:val="15"/>
                  <w:u w:val="single"/>
                  <w:lang w:val="en-IT" w:eastAsia="en-GB"/>
                </w:rPr>
                <w:t>https://clinicaltrials.gov/study/NCT06076590</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65EFC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COMPLETED</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D60B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Aneurysmal Subarachnoid Hemorrhage|Hyperchloremia</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65360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maintenance fluid</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D5D48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Capital Medical University</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4704CD"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00A7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5F9BC53B"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6351A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NCT03442608</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1165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Trial of Long-term Therapeutic Hypothermia for Poor-grade Aneurysmal Subarachnoid Hemorrhage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01EB4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6" w:history="1">
              <w:r w:rsidRPr="00B4159D">
                <w:rPr>
                  <w:rFonts w:ascii="Helvetica Neue" w:eastAsia="Times New Roman" w:hAnsi="Helvetica Neue" w:cs="Times New Roman"/>
                  <w:color w:val="0000FF"/>
                  <w:sz w:val="15"/>
                  <w:szCs w:val="15"/>
                  <w:u w:val="single"/>
                  <w:lang w:val="en-IT" w:eastAsia="en-GB"/>
                </w:rPr>
                <w:t>https://clinicaltrials.gov/study/NCT03442608</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ACECE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UNKNOWN</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9EE8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Hypothermia|Aneurysmal Subarachnoid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1188B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PROCEDURE: Zoll 2000 and/or CureWrap 3500 cooling system</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79B9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Xuanwu Hospital, Beijing</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9D7E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 xml:space="preserve">First Affiliated Hospital of Fujian Medical University|Central South University|Second Affiliated Hospital, School of Medicine, Zhejiang University|Tang-Du Hospital|First Affiliated Hospital of Harbin Medical University|The First Hospital of Jilin University|The First </w:t>
            </w:r>
            <w:r w:rsidRPr="00B4159D">
              <w:rPr>
                <w:rFonts w:ascii="Helvetica Neue" w:eastAsia="Times New Roman" w:hAnsi="Helvetica Neue" w:cs="Times New Roman"/>
                <w:color w:val="000000"/>
                <w:sz w:val="15"/>
                <w:szCs w:val="15"/>
                <w:lang w:val="en-IT" w:eastAsia="en-GB"/>
              </w:rPr>
              <w:lastRenderedPageBreak/>
              <w:t>Affiliated Hospital of Dalian Medical University|Shanxi Cardiovascular Hospital|Qilu Hospital of Shandong University|First Affiliated Hospital of Wenzhou Medical University|Shandong Provincial Hospital|Yantai Yuhuangding Hospital|Beijing Tiantan Hospital</w:t>
            </w: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BF10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lastRenderedPageBreak/>
              <w:t>INTERVENTIONAL</w:t>
            </w:r>
          </w:p>
        </w:tc>
      </w:tr>
      <w:tr w:rsidR="00B4159D" w:rsidRPr="00B4159D" w14:paraId="321954CD"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EA612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NCT05132920</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9D93D2"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Fight INflammation to Improve Outcome After Aneurysmal Subarachnoid HEmorRhage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3CAEC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7" w:history="1">
              <w:r w:rsidRPr="00B4159D">
                <w:rPr>
                  <w:rFonts w:ascii="Helvetica Neue" w:eastAsia="Times New Roman" w:hAnsi="Helvetica Neue" w:cs="Times New Roman"/>
                  <w:color w:val="0000FF"/>
                  <w:sz w:val="15"/>
                  <w:szCs w:val="15"/>
                  <w:u w:val="single"/>
                  <w:lang w:val="en-IT" w:eastAsia="en-GB"/>
                </w:rPr>
                <w:t>https://clinicaltrials.gov/study/NCT05132920</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A4A81"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RECRUITING</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D92FD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Aneurysmal Subarachnoid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0E654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Dexamethasone|DRUG: Placebo</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4FA0B8"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University Hospital, Bonn</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D5837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German Federal Ministry of Education and Research|Pharmacy of the University Hospital Leipzig- AöR|nextevidence GmbH</w:t>
            </w: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21572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28773412"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D70A0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NCT03309579</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861F2"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SAHaRA: A Randomized Controlled Trial</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C24B9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8" w:history="1">
              <w:r w:rsidRPr="00B4159D">
                <w:rPr>
                  <w:rFonts w:ascii="Helvetica Neue" w:eastAsia="Times New Roman" w:hAnsi="Helvetica Neue" w:cs="Times New Roman"/>
                  <w:color w:val="0000FF"/>
                  <w:sz w:val="15"/>
                  <w:szCs w:val="15"/>
                  <w:u w:val="single"/>
                  <w:lang w:val="en-IT" w:eastAsia="en-GB"/>
                </w:rPr>
                <w:t>https://clinicaltrials.gov/study/NCT03309579</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BC9E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RECRUITING</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DBD7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Subarachnoid Hemorrhage, Aneurysmal</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BB806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OTHER: Liberal RBC Transfusion Strategy|OTHER: Restrictive RBC Transfusion Strategy</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A1CB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Ottawa Hospital Research Institute</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6CEA9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Canadian Institutes of Health Research (CIHR)</w:t>
            </w: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702CE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1016B7C2"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15591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NCT01098890</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071321"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Intraventricular Tissue Plasminogen Activator (tPA) in the Management of Aneurysmal Subarachnoid Hemorrhage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5C20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9" w:history="1">
              <w:r w:rsidRPr="00B4159D">
                <w:rPr>
                  <w:rFonts w:ascii="Helvetica Neue" w:eastAsia="Times New Roman" w:hAnsi="Helvetica Neue" w:cs="Times New Roman"/>
                  <w:color w:val="0000FF"/>
                  <w:sz w:val="15"/>
                  <w:szCs w:val="15"/>
                  <w:u w:val="single"/>
                  <w:lang w:val="en-IT" w:eastAsia="en-GB"/>
                </w:rPr>
                <w:t>https://clinicaltrials.gov/study/NCT01098890</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A1D412"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UNKNOWN</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51999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Aneurysmal Subarachnoid Hemorrhage|Intraventricular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7E4678"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Tissue Plasminogen Activator|DRUG: Placebo</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6232C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University of Calgary</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43A7B5"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859E4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21FC2090"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94416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NCT01407614</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9DE18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The Tilburg Vasospasm Study</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E22BC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0" w:history="1">
              <w:r w:rsidRPr="00B4159D">
                <w:rPr>
                  <w:rFonts w:ascii="Helvetica Neue" w:eastAsia="Times New Roman" w:hAnsi="Helvetica Neue" w:cs="Times New Roman"/>
                  <w:color w:val="0000FF"/>
                  <w:sz w:val="15"/>
                  <w:szCs w:val="15"/>
                  <w:u w:val="single"/>
                  <w:lang w:val="en-IT" w:eastAsia="en-GB"/>
                </w:rPr>
                <w:t>https://clinicaltrials.gov/study/NCT01407614</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7019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TERMINATED</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48E1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Brain Ischemia|Intracranial Vasospasm</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CD85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 xml:space="preserve">PROCEDURE: external lumbar drainage (ELD) of </w:t>
            </w:r>
            <w:r w:rsidRPr="00B4159D">
              <w:rPr>
                <w:rFonts w:ascii="Helvetica Neue" w:eastAsia="Times New Roman" w:hAnsi="Helvetica Neue" w:cs="Times New Roman"/>
                <w:color w:val="000000"/>
                <w:sz w:val="15"/>
                <w:szCs w:val="15"/>
                <w:lang w:val="en-IT" w:eastAsia="en-GB"/>
              </w:rPr>
              <w:lastRenderedPageBreak/>
              <w:t>cerebrospinal fluid</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4210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lastRenderedPageBreak/>
              <w:t>Elisabeth-TweeSteden Ziekenhuis</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82DB09"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19C08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781199EF"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079F12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NCT00905931</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2551E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Lycopene Following Aneurysmal Subarachnoid Haemorrhage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360C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1" w:history="1">
              <w:r w:rsidRPr="00B4159D">
                <w:rPr>
                  <w:rFonts w:ascii="Helvetica Neue" w:eastAsia="Times New Roman" w:hAnsi="Helvetica Neue" w:cs="Times New Roman"/>
                  <w:color w:val="0000FF"/>
                  <w:sz w:val="15"/>
                  <w:szCs w:val="15"/>
                  <w:u w:val="single"/>
                  <w:lang w:val="en-IT" w:eastAsia="en-GB"/>
                </w:rPr>
                <w:t>https://clinicaltrials.gov/study/NCT00905931</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5BBE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UNKNOWN</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E5F9B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Subarachnoid Hemorrhage|Aneurysm</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A8E51"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Lycopene|DRUG: placebo</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229E5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University of Cambridge</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21D63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Cambridge Theranostics Ltd</w:t>
            </w: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4991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0454AF82"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4B67D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NCT03065231</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AE93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Lumbar Drain vs Extraventricular Drain to Prevent Vasospasm in Subarachnoid Hemorrhage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0A09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2" w:history="1">
              <w:r w:rsidRPr="00B4159D">
                <w:rPr>
                  <w:rFonts w:ascii="Helvetica Neue" w:eastAsia="Times New Roman" w:hAnsi="Helvetica Neue" w:cs="Times New Roman"/>
                  <w:color w:val="0000FF"/>
                  <w:sz w:val="15"/>
                  <w:szCs w:val="15"/>
                  <w:u w:val="single"/>
                  <w:lang w:val="en-IT" w:eastAsia="en-GB"/>
                </w:rPr>
                <w:t>https://clinicaltrials.gov/study/NCT03065231</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8EA07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RECRUITING</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AFEC78"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Vasospasm, Intracranial|Subarachnoid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0FAA9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DEVICE: Extraventricular Drain|DEVICE: Lumbar Drain</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10F59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University of California, San Diego</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AB8B29"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0678C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5A69E427"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DDC4B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NCT04613960</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CFE2E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Magnesium Treating Subarachnoid Hemorrhage Vasospasm</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012D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3" w:history="1">
              <w:r w:rsidRPr="00B4159D">
                <w:rPr>
                  <w:rFonts w:ascii="Helvetica Neue" w:eastAsia="Times New Roman" w:hAnsi="Helvetica Neue" w:cs="Times New Roman"/>
                  <w:color w:val="0000FF"/>
                  <w:sz w:val="15"/>
                  <w:szCs w:val="15"/>
                  <w:u w:val="single"/>
                  <w:lang w:val="en-IT" w:eastAsia="en-GB"/>
                </w:rPr>
                <w:t>https://clinicaltrials.gov/study/NCT04613960</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1F2C3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NOT_YET_RECRUITING</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08568"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Subarachnoid Hemorrhage, Aneurysmal|Cerebral Vasospasm</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3AECF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Magnesium sulfate|DRUG: normal saline</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218F2"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General Committee of Teaching Hospitals and Institutes, Egypt</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3EBD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Ain Shams University|Health Insurance Organization, Egypt</w:t>
            </w: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9C18A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337CA69D"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629C3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NCT01346748</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EA61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The Role of Statins in Preventing Cerebral Vasospasm Secondary to Subarachnoid Hemorrhage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07AE1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4" w:history="1">
              <w:r w:rsidRPr="00B4159D">
                <w:rPr>
                  <w:rFonts w:ascii="Helvetica Neue" w:eastAsia="Times New Roman" w:hAnsi="Helvetica Neue" w:cs="Times New Roman"/>
                  <w:color w:val="0000FF"/>
                  <w:sz w:val="15"/>
                  <w:szCs w:val="15"/>
                  <w:u w:val="single"/>
                  <w:lang w:val="en-IT" w:eastAsia="en-GB"/>
                </w:rPr>
                <w:t>https://clinicaltrials.gov/study/NCT01346748</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E25A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UNKNOWN</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E7950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Aneurysmal Subarachnoid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E155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statin</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946A6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University of Sao Paulo General Hospital</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C341DF"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C2C7E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6E689E15"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10B4D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NCT01613235</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F78EB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Induced Hypertension for Treatment of Delayed Cerebral Ischaemia After Aneurysmal Subarachnoid Haemorrhage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2A520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5" w:history="1">
              <w:r w:rsidRPr="00B4159D">
                <w:rPr>
                  <w:rFonts w:ascii="Helvetica Neue" w:eastAsia="Times New Roman" w:hAnsi="Helvetica Neue" w:cs="Times New Roman"/>
                  <w:color w:val="0000FF"/>
                  <w:sz w:val="15"/>
                  <w:szCs w:val="15"/>
                  <w:u w:val="single"/>
                  <w:lang w:val="en-IT" w:eastAsia="en-GB"/>
                </w:rPr>
                <w:t>https://clinicaltrials.gov/study/NCT01613235</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98B63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TERMINATED</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28118"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Cerebral Ischemia|Subarachnoid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6F42E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OTHER: Induced hypertension</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6287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Academisch Medisch Centrum - Universiteit van Amsterdam (AMC-UvA)</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BAFA1"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FD8F2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62B904CF"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85753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NCT02920580</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EE232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The NEUROlogically-impaired Extubation Timing Trial</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C88D0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6" w:history="1">
              <w:r w:rsidRPr="00B4159D">
                <w:rPr>
                  <w:rFonts w:ascii="Helvetica Neue" w:eastAsia="Times New Roman" w:hAnsi="Helvetica Neue" w:cs="Times New Roman"/>
                  <w:color w:val="0000FF"/>
                  <w:sz w:val="15"/>
                  <w:szCs w:val="15"/>
                  <w:u w:val="single"/>
                  <w:lang w:val="en-IT" w:eastAsia="en-GB"/>
                </w:rPr>
                <w:t>https://clinicaltrials.gov/study/NCT02920580</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62B6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UNKNOWN</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C696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Acute Brain Injury</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59EB2"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PROCEDURE: Extubation|PROCEDURE: Usual Care</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5BE3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Sunnybrook Health Sciences Centre</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E727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Canadian Institutes of Health Research (CIHR)</w:t>
            </w: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9DAB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204760FD"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FA60F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lastRenderedPageBreak/>
              <w:t>NCT05664191</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672041"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Levosimendan as Treatment of Aneurysmal SubArachnoid Haemorrhage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D116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7" w:history="1">
              <w:r w:rsidRPr="00B4159D">
                <w:rPr>
                  <w:rFonts w:ascii="Helvetica Neue" w:eastAsia="Times New Roman" w:hAnsi="Helvetica Neue" w:cs="Times New Roman"/>
                  <w:color w:val="0000FF"/>
                  <w:sz w:val="15"/>
                  <w:szCs w:val="15"/>
                  <w:u w:val="single"/>
                  <w:lang w:val="en-IT" w:eastAsia="en-GB"/>
                </w:rPr>
                <w:t>https://clinicaltrials.gov/study/NCT05664191</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0F082"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RECRUITING</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379A7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Sub-arachnoid Haemorrhage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2EC9D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Levosimendan|OTHER: Placebo</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2E0F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Assistance Publique - Hôpitaux de Paris</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CB6E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Orion Corporation, Orion Pharma</w:t>
            </w: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82641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7E700A38"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60831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NCT05003232</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9186C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NIRS Directed Optimal Cerebral Perfusion Pressure on the Outcome of Aneurysmal Subarachnoid Hemorrhage Patients</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ED864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8" w:history="1">
              <w:r w:rsidRPr="00B4159D">
                <w:rPr>
                  <w:rFonts w:ascii="Helvetica Neue" w:eastAsia="Times New Roman" w:hAnsi="Helvetica Neue" w:cs="Times New Roman"/>
                  <w:color w:val="0000FF"/>
                  <w:sz w:val="15"/>
                  <w:szCs w:val="15"/>
                  <w:u w:val="single"/>
                  <w:lang w:val="en-IT" w:eastAsia="en-GB"/>
                </w:rPr>
                <w:t>https://clinicaltrials.gov/study/NCT05003232</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5D5F1"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UNKNOWN</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2D719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Optimal Cerebral Perfusion Pressure on the Outcome of aSAH Patients</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6A9A8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DEVICE: Near-infrared spectroscopy (NIRS) and ICM+</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7C2A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Xiangya Hospital of Central South University</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359AE"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846051"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44CC67D1" w14:textId="77777777" w:rsidTr="00B4159D">
        <w:trPr>
          <w:trHeight w:val="180"/>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44FDD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NCT04691271</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CB899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Stellate Ganglion Block and Cerebral Vasospasm</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6AF15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19" w:history="1">
              <w:r w:rsidRPr="00B4159D">
                <w:rPr>
                  <w:rFonts w:ascii="Helvetica Neue" w:eastAsia="Times New Roman" w:hAnsi="Helvetica Neue" w:cs="Times New Roman"/>
                  <w:color w:val="0000FF"/>
                  <w:sz w:val="15"/>
                  <w:szCs w:val="15"/>
                  <w:u w:val="single"/>
                  <w:lang w:val="en-IT" w:eastAsia="en-GB"/>
                </w:rPr>
                <w:t>https://clinicaltrials.gov/study/NCT04691271</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B9CEB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RECRUITING</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3BB47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Aneurysmal Subarachnoid Hemorrhage|Stellate Ganglion Block|Cerebral Vasospasm</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873AB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PROCEDURE: Stellate ganglion block</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4125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Beijing Tiantan Hospital</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A04C40"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9A1961"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0B478D02"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B7A50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NCT03187405</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1D64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Intraventricular Fibrinolysis for Aneurysmal Subarachnoid Hemorrhage.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C737F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20" w:history="1">
              <w:r w:rsidRPr="00B4159D">
                <w:rPr>
                  <w:rFonts w:ascii="Helvetica Neue" w:eastAsia="Times New Roman" w:hAnsi="Helvetica Neue" w:cs="Times New Roman"/>
                  <w:color w:val="0000FF"/>
                  <w:sz w:val="15"/>
                  <w:szCs w:val="15"/>
                  <w:u w:val="single"/>
                  <w:lang w:val="en-IT" w:eastAsia="en-GB"/>
                </w:rPr>
                <w:t>https://clinicaltrials.gov/study/NCT03187405</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BBD3F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RECRUITING</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BF18D4"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Subarachnoid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2820A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EVD + IVF with Alteplase</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7A9EB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University Hospital, Caen</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285EE0"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C9A4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0C92FF8E"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F938E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NCT03585270</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08D21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 xml:space="preserve">Clinical Research Study With Clazosentan to Evaluate Its Effects on Preventing Complications Due to the Narrowing of the Blood Vessels (Vasospasm) in the Brain, Caused by Bleeding Onto the Surface </w:t>
            </w:r>
            <w:r w:rsidRPr="00B4159D">
              <w:rPr>
                <w:rFonts w:ascii="Helvetica Neue" w:eastAsia="Times New Roman" w:hAnsi="Helvetica Neue" w:cs="Times New Roman"/>
                <w:color w:val="000000"/>
                <w:sz w:val="15"/>
                <w:szCs w:val="15"/>
                <w:lang w:val="en-IT" w:eastAsia="en-GB"/>
              </w:rPr>
              <w:lastRenderedPageBreak/>
              <w:t>of the Brain</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70332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21" w:history="1">
              <w:r w:rsidRPr="00B4159D">
                <w:rPr>
                  <w:rFonts w:ascii="Helvetica Neue" w:eastAsia="Times New Roman" w:hAnsi="Helvetica Neue" w:cs="Times New Roman"/>
                  <w:color w:val="0000FF"/>
                  <w:sz w:val="15"/>
                  <w:szCs w:val="15"/>
                  <w:u w:val="single"/>
                  <w:lang w:val="en-IT" w:eastAsia="en-GB"/>
                </w:rPr>
                <w:t>https://clinicaltrials.gov/study/NCT03585270</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66B8C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COMPLETED</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CC90AD"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Aneurysmal Subarachnoid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D70E8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Clazosentan|DRUG: Placebo</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4DDB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Idorsia Pharmaceuticals Ltd.</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A36FA"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C06F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0C90F8C1"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E62A04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NCT03826875</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ACD99B"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Poststroke Depression in Hemorrhagic Stroke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24E029"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22" w:history="1">
              <w:r w:rsidRPr="00B4159D">
                <w:rPr>
                  <w:rFonts w:ascii="Helvetica Neue" w:eastAsia="Times New Roman" w:hAnsi="Helvetica Neue" w:cs="Times New Roman"/>
                  <w:color w:val="0000FF"/>
                  <w:sz w:val="15"/>
                  <w:szCs w:val="15"/>
                  <w:u w:val="single"/>
                  <w:lang w:val="en-IT" w:eastAsia="en-GB"/>
                </w:rPr>
                <w:t>https://clinicaltrials.gov/study/NCT03826875</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B837F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RECRUITING</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906D5"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Stroke Hemorrhagic|Depression</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7E103"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Fluoxetine|DRUG: Placebo</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9FFC7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University of Washington</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4586A"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E09A6C"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0B7D8771"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A3BD9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NCT02483351</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ACE32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Aneurysmal Subarachnoid Hemorrhage: Red Blood Cell Transfusion and Outcome</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444A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23" w:history="1">
              <w:r w:rsidRPr="00B4159D">
                <w:rPr>
                  <w:rFonts w:ascii="Helvetica Neue" w:eastAsia="Times New Roman" w:hAnsi="Helvetica Neue" w:cs="Times New Roman"/>
                  <w:color w:val="0000FF"/>
                  <w:sz w:val="15"/>
                  <w:szCs w:val="15"/>
                  <w:u w:val="single"/>
                  <w:lang w:val="en-IT" w:eastAsia="en-GB"/>
                </w:rPr>
                <w:t>https://clinicaltrials.gov/study/NCT024833</w:t>
              </w:r>
              <w:r w:rsidRPr="00B4159D">
                <w:rPr>
                  <w:rFonts w:ascii="Helvetica Neue" w:eastAsia="Times New Roman" w:hAnsi="Helvetica Neue" w:cs="Times New Roman"/>
                  <w:color w:val="0000FF"/>
                  <w:sz w:val="15"/>
                  <w:szCs w:val="15"/>
                  <w:u w:val="single"/>
                  <w:lang w:val="en-IT" w:eastAsia="en-GB"/>
                </w:rPr>
                <w:t>5</w:t>
              </w:r>
              <w:r w:rsidRPr="00B4159D">
                <w:rPr>
                  <w:rFonts w:ascii="Helvetica Neue" w:eastAsia="Times New Roman" w:hAnsi="Helvetica Neue" w:cs="Times New Roman"/>
                  <w:color w:val="0000FF"/>
                  <w:sz w:val="15"/>
                  <w:szCs w:val="15"/>
                  <w:u w:val="single"/>
                  <w:lang w:val="en-IT" w:eastAsia="en-GB"/>
                </w:rPr>
                <w:t>1</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1BD9C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COMPLETED</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7E3F7F"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Subarachnoid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56B85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OTHER: Liberal Red Blood Cell Transfusion Strategy|OTHER: Restrictive Red Blood Cell Transfusion Strategy</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9B25A"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Ottawa Hospital Research Institute</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BDFA4"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F723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r w:rsidR="00B4159D" w:rsidRPr="00B4159D" w14:paraId="6412F36E" w14:textId="77777777" w:rsidTr="00B4159D">
        <w:trPr>
          <w:trHeight w:val="165"/>
        </w:trPr>
        <w:tc>
          <w:tcPr>
            <w:tcW w:w="9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C1BD42"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b/>
                <w:bCs/>
                <w:color w:val="000000"/>
                <w:sz w:val="15"/>
                <w:szCs w:val="15"/>
                <w:lang w:val="en-IT" w:eastAsia="en-GB"/>
              </w:rPr>
              <w:t>NCT03496545</w:t>
            </w:r>
          </w:p>
        </w:tc>
        <w:tc>
          <w:tcPr>
            <w:tcW w:w="142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868A8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Efficacy of Bromocriptine For Fever Reduction in Acute Neurologic Injury</w:t>
            </w:r>
          </w:p>
        </w:tc>
        <w:tc>
          <w:tcPr>
            <w:tcW w:w="2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7E53E8"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hyperlink r:id="rId24" w:history="1">
              <w:r w:rsidRPr="00B4159D">
                <w:rPr>
                  <w:rFonts w:ascii="Helvetica Neue" w:eastAsia="Times New Roman" w:hAnsi="Helvetica Neue" w:cs="Times New Roman"/>
                  <w:color w:val="0000FF"/>
                  <w:sz w:val="15"/>
                  <w:szCs w:val="15"/>
                  <w:u w:val="single"/>
                  <w:lang w:val="en-IT" w:eastAsia="en-GB"/>
                </w:rPr>
                <w:t>https://clinicaltrials.gov/study/NCT03496545</w:t>
              </w:r>
            </w:hyperlink>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65E1D1"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COMPLETED</w:t>
            </w:r>
          </w:p>
        </w:tc>
        <w:tc>
          <w:tcPr>
            <w:tcW w:w="7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94F666"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Subarachnoid Hemorrhage|Subdural Hematoma|Traumatic Brain Injury|Ischemic Stroke|Fever|Intracerebral Hemorrhage</w:t>
            </w:r>
          </w:p>
        </w:tc>
        <w:tc>
          <w:tcPr>
            <w:tcW w:w="7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BDA157"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DRUG: Bromocriptine 5 MG|DRUG: Acetaminophen 650 MG</w:t>
            </w:r>
          </w:p>
        </w:tc>
        <w:tc>
          <w:tcPr>
            <w:tcW w:w="4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34ADE"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University of California, San Francisco</w:t>
            </w:r>
          </w:p>
        </w:tc>
        <w:tc>
          <w:tcPr>
            <w:tcW w:w="14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BBEC55" w14:textId="77777777" w:rsidR="00B4159D" w:rsidRPr="00B4159D" w:rsidRDefault="00B4159D" w:rsidP="00B4159D">
            <w:pPr>
              <w:spacing w:after="0" w:line="240" w:lineRule="auto"/>
              <w:rPr>
                <w:rFonts w:ascii="Helvetica" w:eastAsia="Times New Roman" w:hAnsi="Helvetica" w:cs="Times New Roman"/>
                <w:sz w:val="18"/>
                <w:szCs w:val="18"/>
                <w:lang w:val="en-IT" w:eastAsia="en-GB"/>
              </w:rPr>
            </w:pPr>
          </w:p>
        </w:tc>
        <w:tc>
          <w:tcPr>
            <w:tcW w:w="12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664FE0" w14:textId="77777777" w:rsidR="00B4159D" w:rsidRPr="00B4159D" w:rsidRDefault="00B4159D" w:rsidP="00B4159D">
            <w:pPr>
              <w:spacing w:after="0" w:line="240" w:lineRule="auto"/>
              <w:rPr>
                <w:rFonts w:ascii="Times New Roman" w:eastAsia="Times New Roman" w:hAnsi="Times New Roman" w:cs="Times New Roman"/>
                <w:sz w:val="24"/>
                <w:szCs w:val="24"/>
                <w:lang w:val="en-IT" w:eastAsia="en-GB"/>
              </w:rPr>
            </w:pPr>
            <w:r w:rsidRPr="00B4159D">
              <w:rPr>
                <w:rFonts w:ascii="Helvetica Neue" w:eastAsia="Times New Roman" w:hAnsi="Helvetica Neue" w:cs="Times New Roman"/>
                <w:color w:val="000000"/>
                <w:sz w:val="15"/>
                <w:szCs w:val="15"/>
                <w:lang w:val="en-IT" w:eastAsia="en-GB"/>
              </w:rPr>
              <w:t>INTERVENTIONAL</w:t>
            </w:r>
          </w:p>
        </w:tc>
      </w:tr>
    </w:tbl>
    <w:p w14:paraId="2F650253" w14:textId="77777777" w:rsidR="00B4159D" w:rsidRPr="00C20428" w:rsidRDefault="00B4159D" w:rsidP="00074433">
      <w:pPr>
        <w:pStyle w:val="Bibliography1"/>
        <w:rPr>
          <w:rFonts w:ascii="Calibri" w:cs="Calibri"/>
          <w:lang w:val="en-US"/>
        </w:rPr>
      </w:pPr>
    </w:p>
    <w:p w14:paraId="245E67DD" w14:textId="77777777" w:rsidR="00074433" w:rsidRPr="00C20428" w:rsidRDefault="00074433" w:rsidP="00074433">
      <w:pPr>
        <w:rPr>
          <w:b/>
          <w:bCs/>
          <w:lang w:val="en-US"/>
        </w:rPr>
      </w:pPr>
      <w:r>
        <w:fldChar w:fldCharType="end"/>
      </w:r>
      <w:r w:rsidRPr="00C20428">
        <w:rPr>
          <w:b/>
          <w:bCs/>
          <w:lang w:val="en-US"/>
        </w:rPr>
        <w:t xml:space="preserve"> </w:t>
      </w:r>
    </w:p>
    <w:p w14:paraId="11D1AD0C" w14:textId="77777777" w:rsidR="00074433" w:rsidRPr="00C20428" w:rsidRDefault="00074433" w:rsidP="00074433">
      <w:pPr>
        <w:rPr>
          <w:b/>
          <w:bCs/>
          <w:lang w:val="en-US"/>
        </w:rPr>
      </w:pPr>
    </w:p>
    <w:p w14:paraId="0A874DAB" w14:textId="29ED14CB" w:rsidR="00074433" w:rsidRPr="001E6249" w:rsidRDefault="00074433">
      <w:pPr>
        <w:rPr>
          <w:lang w:val="en-US"/>
        </w:rPr>
      </w:pPr>
    </w:p>
    <w:sectPr w:rsidR="00074433" w:rsidRPr="001E6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49"/>
    <w:rsid w:val="00074433"/>
    <w:rsid w:val="00142CD1"/>
    <w:rsid w:val="001E6249"/>
    <w:rsid w:val="00312EB0"/>
    <w:rsid w:val="006B1B5E"/>
    <w:rsid w:val="009E0EAF"/>
    <w:rsid w:val="00B4159D"/>
    <w:rsid w:val="00C20428"/>
    <w:rsid w:val="00DB1173"/>
    <w:rsid w:val="00EE0305"/>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1A67766E"/>
  <w15:chartTrackingRefBased/>
  <w15:docId w15:val="{112258FE-243F-AA4A-832C-687349BA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249"/>
    <w:pPr>
      <w:spacing w:after="160" w:line="259" w:lineRule="auto"/>
    </w:pPr>
    <w:rPr>
      <w:sz w:val="22"/>
      <w:szCs w:val="22"/>
      <w:lang w:val="nl-NL"/>
    </w:rPr>
  </w:style>
  <w:style w:type="paragraph" w:styleId="Heading1">
    <w:name w:val="heading 1"/>
    <w:basedOn w:val="Normal"/>
    <w:next w:val="Normal"/>
    <w:link w:val="Heading1Char"/>
    <w:uiPriority w:val="9"/>
    <w:qFormat/>
    <w:rsid w:val="00C204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4433"/>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link w:val="BibliographyCarattere1"/>
    <w:rsid w:val="00074433"/>
    <w:pPr>
      <w:tabs>
        <w:tab w:val="left" w:pos="380"/>
      </w:tabs>
      <w:spacing w:after="240" w:line="240" w:lineRule="auto"/>
      <w:ind w:left="384" w:hanging="384"/>
    </w:pPr>
  </w:style>
  <w:style w:type="character" w:customStyle="1" w:styleId="BibliographyCarattere1">
    <w:name w:val="Bibliography Carattere1"/>
    <w:basedOn w:val="DefaultParagraphFont"/>
    <w:link w:val="Bibliography1"/>
    <w:rsid w:val="00074433"/>
    <w:rPr>
      <w:sz w:val="22"/>
      <w:szCs w:val="22"/>
      <w:lang w:val="nl-NL"/>
    </w:rPr>
  </w:style>
  <w:style w:type="character" w:customStyle="1" w:styleId="Heading1Char">
    <w:name w:val="Heading 1 Char"/>
    <w:basedOn w:val="DefaultParagraphFont"/>
    <w:link w:val="Heading1"/>
    <w:uiPriority w:val="9"/>
    <w:rsid w:val="00C20428"/>
    <w:rPr>
      <w:rFonts w:asciiTheme="majorHAnsi" w:eastAsiaTheme="majorEastAsia" w:hAnsiTheme="majorHAnsi" w:cstheme="majorBidi"/>
      <w:color w:val="2F5496" w:themeColor="accent1" w:themeShade="BF"/>
      <w:sz w:val="32"/>
      <w:szCs w:val="32"/>
      <w:lang w:val="nl-NL"/>
    </w:rPr>
  </w:style>
  <w:style w:type="character" w:styleId="CommentReference">
    <w:name w:val="annotation reference"/>
    <w:basedOn w:val="DefaultParagraphFont"/>
    <w:uiPriority w:val="99"/>
    <w:semiHidden/>
    <w:unhideWhenUsed/>
    <w:rsid w:val="00C20428"/>
    <w:rPr>
      <w:sz w:val="16"/>
      <w:szCs w:val="16"/>
    </w:rPr>
  </w:style>
  <w:style w:type="paragraph" w:styleId="CommentText">
    <w:name w:val="annotation text"/>
    <w:basedOn w:val="Normal"/>
    <w:link w:val="CommentTextChar"/>
    <w:uiPriority w:val="99"/>
    <w:unhideWhenUsed/>
    <w:rsid w:val="00C20428"/>
    <w:pPr>
      <w:spacing w:line="240" w:lineRule="auto"/>
    </w:pPr>
    <w:rPr>
      <w:sz w:val="20"/>
      <w:szCs w:val="20"/>
    </w:rPr>
  </w:style>
  <w:style w:type="character" w:customStyle="1" w:styleId="CommentTextChar">
    <w:name w:val="Comment Text Char"/>
    <w:basedOn w:val="DefaultParagraphFont"/>
    <w:link w:val="CommentText"/>
    <w:uiPriority w:val="99"/>
    <w:rsid w:val="00C20428"/>
    <w:rPr>
      <w:sz w:val="20"/>
      <w:szCs w:val="20"/>
      <w:lang w:val="nl-NL"/>
    </w:rPr>
  </w:style>
  <w:style w:type="paragraph" w:styleId="CommentSubject">
    <w:name w:val="annotation subject"/>
    <w:basedOn w:val="CommentText"/>
    <w:next w:val="CommentText"/>
    <w:link w:val="CommentSubjectChar"/>
    <w:uiPriority w:val="99"/>
    <w:semiHidden/>
    <w:unhideWhenUsed/>
    <w:rsid w:val="00C20428"/>
    <w:rPr>
      <w:b/>
      <w:bCs/>
    </w:rPr>
  </w:style>
  <w:style w:type="character" w:customStyle="1" w:styleId="CommentSubjectChar">
    <w:name w:val="Comment Subject Char"/>
    <w:basedOn w:val="CommentTextChar"/>
    <w:link w:val="CommentSubject"/>
    <w:uiPriority w:val="99"/>
    <w:semiHidden/>
    <w:rsid w:val="00C20428"/>
    <w:rPr>
      <w:b/>
      <w:bCs/>
      <w:sz w:val="20"/>
      <w:szCs w:val="20"/>
      <w:lang w:val="nl-NL"/>
    </w:rPr>
  </w:style>
  <w:style w:type="paragraph" w:styleId="NormalWeb">
    <w:name w:val="Normal (Web)"/>
    <w:basedOn w:val="Normal"/>
    <w:uiPriority w:val="99"/>
    <w:semiHidden/>
    <w:unhideWhenUsed/>
    <w:rsid w:val="00B4159D"/>
    <w:pPr>
      <w:spacing w:before="100" w:beforeAutospacing="1" w:after="100" w:afterAutospacing="1" w:line="240" w:lineRule="auto"/>
    </w:pPr>
    <w:rPr>
      <w:rFonts w:ascii="Times New Roman" w:eastAsia="Times New Roman" w:hAnsi="Times New Roman" w:cs="Times New Roman"/>
      <w:sz w:val="24"/>
      <w:szCs w:val="24"/>
      <w:lang w:val="en-IT" w:eastAsia="en-GB"/>
    </w:rPr>
  </w:style>
  <w:style w:type="character" w:styleId="Hyperlink">
    <w:name w:val="Hyperlink"/>
    <w:basedOn w:val="DefaultParagraphFont"/>
    <w:uiPriority w:val="99"/>
    <w:semiHidden/>
    <w:unhideWhenUsed/>
    <w:rsid w:val="00B415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09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tudy/NCT03309579" TargetMode="External"/><Relationship Id="rId13" Type="http://schemas.openxmlformats.org/officeDocument/2006/relationships/hyperlink" Target="https://clinicaltrials.gov/study/NCT04613960" TargetMode="External"/><Relationship Id="rId18" Type="http://schemas.openxmlformats.org/officeDocument/2006/relationships/hyperlink" Target="https://clinicaltrials.gov/study/NCT05003232"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clinicaltrials.gov/study/NCT03585270" TargetMode="External"/><Relationship Id="rId7" Type="http://schemas.openxmlformats.org/officeDocument/2006/relationships/hyperlink" Target="https://clinicaltrials.gov/study/NCT05132920" TargetMode="External"/><Relationship Id="rId12" Type="http://schemas.openxmlformats.org/officeDocument/2006/relationships/hyperlink" Target="https://clinicaltrials.gov/study/NCT03065231" TargetMode="External"/><Relationship Id="rId17" Type="http://schemas.openxmlformats.org/officeDocument/2006/relationships/hyperlink" Target="https://clinicaltrials.gov/study/NCT05664191"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linicaltrials.gov/study/NCT02920580" TargetMode="External"/><Relationship Id="rId20" Type="http://schemas.openxmlformats.org/officeDocument/2006/relationships/hyperlink" Target="https://clinicaltrials.gov/study/NCT03187405" TargetMode="External"/><Relationship Id="rId1" Type="http://schemas.openxmlformats.org/officeDocument/2006/relationships/styles" Target="styles.xml"/><Relationship Id="rId6" Type="http://schemas.openxmlformats.org/officeDocument/2006/relationships/hyperlink" Target="https://clinicaltrials.gov/study/NCT03442608" TargetMode="External"/><Relationship Id="rId11" Type="http://schemas.openxmlformats.org/officeDocument/2006/relationships/hyperlink" Target="https://clinicaltrials.gov/study/NCT00905931" TargetMode="External"/><Relationship Id="rId24" Type="http://schemas.openxmlformats.org/officeDocument/2006/relationships/hyperlink" Target="https://clinicaltrials.gov/study/NCT03496545" TargetMode="External"/><Relationship Id="rId5" Type="http://schemas.openxmlformats.org/officeDocument/2006/relationships/hyperlink" Target="https://clinicaltrials.gov/study/NCT06076590" TargetMode="External"/><Relationship Id="rId15" Type="http://schemas.openxmlformats.org/officeDocument/2006/relationships/hyperlink" Target="https://clinicaltrials.gov/study/NCT01613235" TargetMode="External"/><Relationship Id="rId23" Type="http://schemas.openxmlformats.org/officeDocument/2006/relationships/hyperlink" Target="https://clinicaltrials.gov/study/NCT02483351" TargetMode="External"/><Relationship Id="rId10" Type="http://schemas.openxmlformats.org/officeDocument/2006/relationships/hyperlink" Target="https://clinicaltrials.gov/study/NCT01407614" TargetMode="External"/><Relationship Id="rId19" Type="http://schemas.openxmlformats.org/officeDocument/2006/relationships/hyperlink" Target="https://clinicaltrials.gov/study/NCT04691271" TargetMode="External"/><Relationship Id="rId4" Type="http://schemas.openxmlformats.org/officeDocument/2006/relationships/image" Target="media/image1.emf"/><Relationship Id="rId9" Type="http://schemas.openxmlformats.org/officeDocument/2006/relationships/hyperlink" Target="https://clinicaltrials.gov/study/NCT01098890" TargetMode="External"/><Relationship Id="rId14" Type="http://schemas.openxmlformats.org/officeDocument/2006/relationships/hyperlink" Target="https://clinicaltrials.gov/study/NCT01346748" TargetMode="External"/><Relationship Id="rId22" Type="http://schemas.openxmlformats.org/officeDocument/2006/relationships/hyperlink" Target="https://clinicaltrials.gov/study/NCT038268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4364</Words>
  <Characters>24879</Characters>
  <Application>Microsoft Office Word</Application>
  <DocSecurity>0</DocSecurity>
  <Lines>207</Lines>
  <Paragraphs>58</Paragraphs>
  <ScaleCrop>false</ScaleCrop>
  <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Robba</dc:creator>
  <cp:keywords/>
  <dc:description/>
  <cp:lastModifiedBy>Chiara Robba</cp:lastModifiedBy>
  <cp:revision>5</cp:revision>
  <dcterms:created xsi:type="dcterms:W3CDTF">2024-01-02T13:06:00Z</dcterms:created>
  <dcterms:modified xsi:type="dcterms:W3CDTF">2024-03-04T08:58:00Z</dcterms:modified>
</cp:coreProperties>
</file>