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CB226" w14:textId="70AA4397" w:rsidR="00D76597" w:rsidRPr="002530E0" w:rsidRDefault="002530E0">
      <w:pPr>
        <w:rPr>
          <w:b/>
          <w:bCs/>
          <w:lang w:val="en-US"/>
        </w:rPr>
      </w:pPr>
      <w:r w:rsidRPr="002530E0">
        <w:rPr>
          <w:b/>
          <w:bCs/>
          <w:lang w:val="en-US"/>
        </w:rPr>
        <w:t>Online Resource 1: Trial Management Group</w:t>
      </w:r>
    </w:p>
    <w:p w14:paraId="63D60E2E" w14:textId="2B94355E" w:rsidR="002530E0" w:rsidRPr="002530E0" w:rsidRDefault="002530E0">
      <w:pPr>
        <w:rPr>
          <w:lang w:val="en-US"/>
        </w:rPr>
      </w:pPr>
      <w:r>
        <w:rPr>
          <w:lang w:val="en-US"/>
        </w:rPr>
        <w:t>The trial m</w:t>
      </w:r>
      <w:bookmarkStart w:id="0" w:name="_GoBack"/>
      <w:bookmarkEnd w:id="0"/>
      <w:r>
        <w:rPr>
          <w:lang w:val="en-US"/>
        </w:rPr>
        <w:t>anagement group (TMG) comprised the principal coordinating investigator (M.R.), the chief investigator (J.T.), the trial statistician (S.V.) and a research trial coordinator (F.J.). The TMG supervised the day-to-day conduct of the clinical trial, including safety oversight activities, and acted on advice from other individuals or groups. The TMG was also responsible for communicating essential protocol modifications to relevant parties, such as the site investigators.</w:t>
      </w:r>
    </w:p>
    <w:sectPr w:rsidR="002530E0" w:rsidRPr="002530E0" w:rsidSect="001527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0E0"/>
    <w:rsid w:val="001527E4"/>
    <w:rsid w:val="002530E0"/>
    <w:rsid w:val="00664E61"/>
    <w:rsid w:val="00CB402B"/>
    <w:rsid w:val="00D765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45C6"/>
  <w15:chartTrackingRefBased/>
  <w15:docId w15:val="{3A22B69F-4520-4F08-A162-B6FB268E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78</Words>
  <Characters>448</Characters>
  <Application>Microsoft Office Word</Application>
  <DocSecurity>0</DocSecurity>
  <Lines>3</Lines>
  <Paragraphs>1</Paragraphs>
  <ScaleCrop>false</ScaleCrop>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Morgan</dc:creator>
  <cp:keywords/>
  <dc:description/>
  <cp:lastModifiedBy>Priyanka Ramesh</cp:lastModifiedBy>
  <cp:revision>2</cp:revision>
  <dcterms:created xsi:type="dcterms:W3CDTF">2024-01-25T01:15:00Z</dcterms:created>
  <dcterms:modified xsi:type="dcterms:W3CDTF">2024-04-20T03:04:00Z</dcterms:modified>
</cp:coreProperties>
</file>