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0F97C" w14:textId="145E40DA" w:rsidR="00D76597" w:rsidRPr="00FB49FE" w:rsidRDefault="00E42D30">
      <w:pPr>
        <w:rPr>
          <w:rFonts w:ascii="Arial" w:hAnsi="Arial" w:cs="Arial"/>
          <w:b/>
          <w:bCs/>
          <w:lang w:val="en-US"/>
        </w:rPr>
      </w:pPr>
      <w:r w:rsidRPr="00FB49FE">
        <w:rPr>
          <w:rFonts w:ascii="Arial" w:hAnsi="Arial" w:cs="Arial"/>
          <w:b/>
          <w:bCs/>
          <w:lang w:val="en-US"/>
        </w:rPr>
        <w:t>Online Resource 3: The PEN-FAST clinical decision rule</w:t>
      </w:r>
    </w:p>
    <w:p w14:paraId="0CD29BC2" w14:textId="5E983AD5" w:rsidR="00E42D30" w:rsidRPr="00FB49FE" w:rsidRDefault="00E42D30">
      <w:pPr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FB49FE">
        <w:rPr>
          <w:rFonts w:ascii="Arial" w:hAnsi="Arial" w:cs="Arial"/>
          <w:sz w:val="20"/>
          <w:szCs w:val="20"/>
          <w:lang w:val="en-US"/>
        </w:rPr>
        <w:t>Figure extracted for reference</w:t>
      </w:r>
      <w:r w:rsidR="001C67B5" w:rsidRPr="00FB49FE">
        <w:rPr>
          <w:rFonts w:ascii="Arial" w:hAnsi="Arial" w:cs="Arial"/>
          <w:sz w:val="20"/>
          <w:szCs w:val="20"/>
          <w:vertAlign w:val="superscript"/>
          <w:lang w:val="en-US"/>
        </w:rPr>
        <w:t>9</w:t>
      </w:r>
    </w:p>
    <w:p w14:paraId="0F4461A1" w14:textId="0F960A79" w:rsidR="001C67B5" w:rsidRPr="00FB49FE" w:rsidRDefault="001C67B5">
      <w:pPr>
        <w:rPr>
          <w:rFonts w:ascii="Arial" w:hAnsi="Arial" w:cs="Arial"/>
          <w:vertAlign w:val="superscript"/>
          <w:lang w:val="en-US"/>
        </w:rPr>
      </w:pPr>
      <w:r w:rsidRPr="00FB49FE">
        <w:rPr>
          <w:rFonts w:ascii="Arial" w:hAnsi="Arial" w:cs="Arial"/>
          <w:noProof/>
          <w:lang w:val="en-IN" w:eastAsia="en-IN"/>
        </w:rPr>
        <w:drawing>
          <wp:inline distT="0" distB="0" distL="0" distR="0" wp14:anchorId="4A25B7BE" wp14:editId="69EB51AD">
            <wp:extent cx="5731510" cy="4297045"/>
            <wp:effectExtent l="0" t="0" r="2540" b="8255"/>
            <wp:docPr id="2019889059" name="Picture 1" descr="A screenshot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89059" name="Picture 1" descr="A screenshot of a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0C893" w14:textId="77777777" w:rsidR="001C67B5" w:rsidRPr="00FB49FE" w:rsidRDefault="001C67B5" w:rsidP="001C67B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AU"/>
          <w14:ligatures w14:val="none"/>
        </w:rPr>
      </w:pPr>
      <w:r w:rsidRPr="008067A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CF0"/>
          <w:lang w:eastAsia="en-AU"/>
          <w14:ligatures w14:val="none"/>
        </w:rPr>
        <w:t>PEN-FAST Penicillin Allergy Clinical Decision Rule</w:t>
      </w:r>
    </w:p>
    <w:p w14:paraId="4D4B84E5" w14:textId="77777777" w:rsidR="001C67B5" w:rsidRPr="00FB49FE" w:rsidRDefault="001C67B5" w:rsidP="001C67B5">
      <w:pPr>
        <w:shd w:val="clear" w:color="auto" w:fill="FFFCF0"/>
        <w:spacing w:before="200" w:after="20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</w:pPr>
      <w:r w:rsidRPr="00FB49FE"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>The PEN</w:t>
      </w:r>
      <w:bookmarkStart w:id="0" w:name="_GoBack"/>
      <w:bookmarkEnd w:id="0"/>
      <w:r w:rsidRPr="00FB49FE">
        <w:rPr>
          <w:rFonts w:ascii="Arial" w:eastAsia="Times New Roman" w:hAnsi="Arial" w:cs="Arial"/>
          <w:color w:val="333333"/>
          <w:kern w:val="0"/>
          <w:sz w:val="24"/>
          <w:szCs w:val="24"/>
          <w:lang w:eastAsia="en-AU"/>
          <w14:ligatures w14:val="none"/>
        </w:rPr>
        <w:t>-FAST clinical decision rule for patients reporting a penicillin allergy uses 3 clinical criteria of time from penicillin allergy episode, phenotype, and treatment required. A total score is calculated using PEN-FAST score in the upper panel, and interpretation for risk strategy is provided in the lower panel.</w:t>
      </w:r>
    </w:p>
    <w:p w14:paraId="653628B2" w14:textId="77777777" w:rsidR="001C67B5" w:rsidRPr="00FB49FE" w:rsidRDefault="001C67B5" w:rsidP="001C67B5">
      <w:pPr>
        <w:shd w:val="clear" w:color="auto" w:fill="FFFCF0"/>
        <w:spacing w:after="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:lang w:eastAsia="en-AU"/>
          <w14:ligatures w14:val="none"/>
        </w:rPr>
      </w:pPr>
      <w:r w:rsidRPr="00FB49FE">
        <w:rPr>
          <w:rFonts w:ascii="Arial" w:eastAsia="Times New Roman" w:hAnsi="Arial" w:cs="Arial"/>
          <w:color w:val="333333"/>
          <w:kern w:val="0"/>
          <w:sz w:val="20"/>
          <w:szCs w:val="20"/>
          <w:vertAlign w:val="superscript"/>
          <w:lang w:eastAsia="en-AU"/>
          <w14:ligatures w14:val="none"/>
        </w:rPr>
        <w:t>a</w:t>
      </w:r>
      <w:r w:rsidRPr="00FB49FE">
        <w:rPr>
          <w:rFonts w:ascii="Arial" w:eastAsia="Times New Roman" w:hAnsi="Arial" w:cs="Arial"/>
          <w:color w:val="333333"/>
          <w:kern w:val="0"/>
          <w:sz w:val="20"/>
          <w:szCs w:val="20"/>
          <w:lang w:eastAsia="en-AU"/>
          <w14:ligatures w14:val="none"/>
        </w:rPr>
        <w:t>Includes unknown.</w:t>
      </w:r>
    </w:p>
    <w:p w14:paraId="69C416E5" w14:textId="77777777" w:rsidR="001C67B5" w:rsidRPr="001C67B5" w:rsidRDefault="001C67B5" w:rsidP="001C67B5">
      <w:pPr>
        <w:shd w:val="clear" w:color="auto" w:fill="FFFCF0"/>
        <w:spacing w:after="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:lang w:eastAsia="en-AU"/>
          <w14:ligatures w14:val="none"/>
        </w:rPr>
      </w:pPr>
      <w:r w:rsidRPr="00FB49FE">
        <w:rPr>
          <w:rFonts w:ascii="Arial" w:eastAsia="Times New Roman" w:hAnsi="Arial" w:cs="Arial"/>
          <w:color w:val="333333"/>
          <w:kern w:val="0"/>
          <w:sz w:val="20"/>
          <w:szCs w:val="20"/>
          <w:vertAlign w:val="superscript"/>
          <w:lang w:eastAsia="en-AU"/>
          <w14:ligatures w14:val="none"/>
        </w:rPr>
        <w:t>b</w:t>
      </w:r>
      <w:r w:rsidRPr="00FB49FE">
        <w:rPr>
          <w:rFonts w:ascii="Arial" w:eastAsia="Times New Roman" w:hAnsi="Arial" w:cs="Arial"/>
          <w:color w:val="333333"/>
          <w:kern w:val="0"/>
          <w:sz w:val="20"/>
          <w:szCs w:val="20"/>
          <w:lang w:eastAsia="en-AU"/>
          <w14:ligatures w14:val="none"/>
        </w:rPr>
        <w:t>Forms of severe delayed reactions include potential Stevens-Johnson syndrome, toxic epidermal necrolysis, drug reaction with eosinophilia and systemic symptoms, and acute generalized exanthematous pustulosis. Patients with a severe delayed rash with mucosal involvement should be considered to have a severe cutaneous adverse reaction. Acute interstitial nephritis, drug induced liver injury, serum sickness and isolated drug fever were excluded phenotypes from the derivation and validation cohorts.</w:t>
      </w:r>
    </w:p>
    <w:p w14:paraId="1304A3E1" w14:textId="77777777" w:rsidR="001C67B5" w:rsidRPr="001C67B5" w:rsidRDefault="001C67B5">
      <w:pPr>
        <w:rPr>
          <w:vertAlign w:val="superscript"/>
          <w:lang w:val="en-US"/>
        </w:rPr>
      </w:pPr>
    </w:p>
    <w:sectPr w:rsidR="001C67B5" w:rsidRPr="001C67B5" w:rsidSect="00FB4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30"/>
    <w:rsid w:val="001C67B5"/>
    <w:rsid w:val="00664E61"/>
    <w:rsid w:val="008067AD"/>
    <w:rsid w:val="00CB402B"/>
    <w:rsid w:val="00D76597"/>
    <w:rsid w:val="00E42D30"/>
    <w:rsid w:val="00FB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C63E6"/>
  <w15:chartTrackingRefBased/>
  <w15:docId w15:val="{0BDB276A-0949-42E3-83D5-0175A9AA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C67B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Morgan</dc:creator>
  <cp:keywords/>
  <dc:description/>
  <cp:lastModifiedBy>Priyanka Ramesh</cp:lastModifiedBy>
  <cp:revision>3</cp:revision>
  <dcterms:created xsi:type="dcterms:W3CDTF">2024-01-25T01:22:00Z</dcterms:created>
  <dcterms:modified xsi:type="dcterms:W3CDTF">2024-04-20T03:04:00Z</dcterms:modified>
</cp:coreProperties>
</file>