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EF537" w14:textId="77777777" w:rsidR="00CA4237" w:rsidRPr="002C6157" w:rsidRDefault="00CA4237" w:rsidP="00CA4237">
      <w:pPr>
        <w:keepNext/>
        <w:spacing w:line="480" w:lineRule="auto"/>
        <w:jc w:val="both"/>
        <w:rPr>
          <w:b/>
        </w:rPr>
      </w:pPr>
      <w:r w:rsidRPr="002C6157">
        <w:rPr>
          <w:b/>
        </w:rPr>
        <w:t>Supp</w:t>
      </w:r>
      <w:r>
        <w:rPr>
          <w:b/>
        </w:rPr>
        <w:t>lemental data / Supplemental tables</w:t>
      </w:r>
    </w:p>
    <w:p w14:paraId="6171E485" w14:textId="10D673C4" w:rsidR="00CA4237" w:rsidRPr="004B7E15" w:rsidRDefault="00CA4237" w:rsidP="00CA4237">
      <w:pPr>
        <w:keepNext/>
        <w:spacing w:line="480" w:lineRule="auto"/>
        <w:jc w:val="both"/>
      </w:pPr>
      <w:r w:rsidRPr="004B7E15">
        <w:rPr>
          <w:b/>
        </w:rPr>
        <w:t xml:space="preserve">Supplementary Table 1: </w:t>
      </w:r>
      <w:r w:rsidRPr="004B7E15">
        <w:rPr>
          <w:b/>
          <w:color w:val="222222"/>
        </w:rPr>
        <w:t>Cairo–Bishop criteria for defining tumor lysis syndrome</w:t>
      </w:r>
      <w:r w:rsidR="00060C69">
        <w:rPr>
          <w:b/>
          <w:color w:val="222222"/>
        </w:rPr>
        <w:t xml:space="preserve"> [35</w:t>
      </w:r>
      <w:r w:rsidR="008C2B4F">
        <w:rPr>
          <w:b/>
          <w:color w:val="222222"/>
        </w:rPr>
        <w:t>]</w:t>
      </w:r>
      <w:r w:rsidRPr="004B7E15">
        <w:rPr>
          <w:b/>
          <w:color w:val="222222"/>
        </w:rPr>
        <w:t>.</w:t>
      </w:r>
      <w:r w:rsidR="008C2B4F" w:rsidRPr="004B7E15">
        <w:t xml:space="preserve"> </w:t>
      </w:r>
    </w:p>
    <w:p w14:paraId="69589C3B" w14:textId="77777777" w:rsidR="00CA4237" w:rsidRPr="004B7E15" w:rsidRDefault="00CA4237" w:rsidP="00CA4237">
      <w:pPr>
        <w:jc w:val="both"/>
        <w:rPr>
          <w:color w:val="222222"/>
          <w:sz w:val="20"/>
          <w:szCs w:val="20"/>
        </w:rPr>
      </w:pPr>
    </w:p>
    <w:tbl>
      <w:tblPr>
        <w:tblW w:w="10065" w:type="dxa"/>
        <w:tblInd w:w="70" w:type="dxa"/>
        <w:tblLayout w:type="fixed"/>
        <w:tblCellMar>
          <w:left w:w="70" w:type="dxa"/>
          <w:right w:w="70" w:type="dxa"/>
        </w:tblCellMar>
        <w:tblLook w:val="04A0" w:firstRow="1" w:lastRow="0" w:firstColumn="1" w:lastColumn="0" w:noHBand="0" w:noVBand="1"/>
      </w:tblPr>
      <w:tblGrid>
        <w:gridCol w:w="2835"/>
        <w:gridCol w:w="3969"/>
        <w:gridCol w:w="3261"/>
      </w:tblGrid>
      <w:tr w:rsidR="00CA4237" w:rsidRPr="004B7E15" w14:paraId="33419278" w14:textId="77777777" w:rsidTr="00EF729F">
        <w:trPr>
          <w:trHeight w:val="480"/>
        </w:trPr>
        <w:tc>
          <w:tcPr>
            <w:tcW w:w="10065" w:type="dxa"/>
            <w:gridSpan w:val="3"/>
            <w:tcBorders>
              <w:top w:val="single" w:sz="4" w:space="0" w:color="auto"/>
              <w:left w:val="nil"/>
              <w:right w:val="nil"/>
            </w:tcBorders>
            <w:shd w:val="clear" w:color="auto" w:fill="auto"/>
            <w:vAlign w:val="center"/>
          </w:tcPr>
          <w:p w14:paraId="076E7315" w14:textId="77777777" w:rsidR="00CA4237" w:rsidRPr="004B7E15" w:rsidRDefault="00CA4237" w:rsidP="00EF729F">
            <w:pPr>
              <w:spacing w:line="360" w:lineRule="auto"/>
              <w:jc w:val="center"/>
              <w:rPr>
                <w:color w:val="000000"/>
                <w:vertAlign w:val="superscript"/>
              </w:rPr>
            </w:pPr>
            <w:r w:rsidRPr="004B7E15">
              <w:rPr>
                <w:b/>
                <w:bCs/>
                <w:color w:val="000000"/>
              </w:rPr>
              <w:t>Cairo–Bishop definition of biological and clinical Tumor Lysis Syndrome (TLS)</w:t>
            </w:r>
          </w:p>
        </w:tc>
      </w:tr>
      <w:tr w:rsidR="00CA4237" w:rsidRPr="004B7E15" w14:paraId="777A987E" w14:textId="77777777" w:rsidTr="00EF729F">
        <w:trPr>
          <w:trHeight w:val="1634"/>
        </w:trPr>
        <w:tc>
          <w:tcPr>
            <w:tcW w:w="2835" w:type="dxa"/>
            <w:vMerge w:val="restart"/>
            <w:tcBorders>
              <w:top w:val="single" w:sz="4" w:space="0" w:color="auto"/>
              <w:left w:val="nil"/>
              <w:right w:val="nil"/>
            </w:tcBorders>
            <w:shd w:val="clear" w:color="auto" w:fill="F2F2F2"/>
            <w:vAlign w:val="center"/>
          </w:tcPr>
          <w:p w14:paraId="759CD504" w14:textId="77777777" w:rsidR="00CA4237" w:rsidRPr="004B7E15" w:rsidRDefault="00CA4237" w:rsidP="00EF729F">
            <w:pPr>
              <w:spacing w:line="360" w:lineRule="auto"/>
              <w:jc w:val="center"/>
              <w:rPr>
                <w:b/>
                <w:bCs/>
                <w:color w:val="000000"/>
                <w:sz w:val="20"/>
                <w:szCs w:val="20"/>
              </w:rPr>
            </w:pPr>
            <w:r w:rsidRPr="004B7E15">
              <w:rPr>
                <w:b/>
                <w:bCs/>
                <w:color w:val="000000"/>
                <w:sz w:val="20"/>
                <w:szCs w:val="20"/>
              </w:rPr>
              <w:t>Biological TLS:</w:t>
            </w:r>
          </w:p>
          <w:p w14:paraId="1CA4E8FA" w14:textId="77777777" w:rsidR="00CA4237" w:rsidRPr="004B7E15" w:rsidRDefault="00CA4237" w:rsidP="00EF729F">
            <w:pPr>
              <w:spacing w:line="360" w:lineRule="auto"/>
              <w:jc w:val="center"/>
              <w:rPr>
                <w:b/>
                <w:bCs/>
                <w:color w:val="000000"/>
                <w:sz w:val="20"/>
                <w:szCs w:val="20"/>
              </w:rPr>
            </w:pPr>
            <w:r w:rsidRPr="004B7E15">
              <w:rPr>
                <w:b/>
                <w:bCs/>
                <w:color w:val="000000"/>
                <w:sz w:val="20"/>
                <w:szCs w:val="20"/>
              </w:rPr>
              <w:t>Modification ≥ 2 parameters</w:t>
            </w:r>
          </w:p>
          <w:p w14:paraId="7D8A6F4C" w14:textId="77777777" w:rsidR="00CA4237" w:rsidRPr="004B7E15" w:rsidRDefault="00CA4237" w:rsidP="00EF729F">
            <w:pPr>
              <w:spacing w:line="360" w:lineRule="auto"/>
              <w:jc w:val="center"/>
              <w:rPr>
                <w:b/>
                <w:bCs/>
                <w:color w:val="000000"/>
                <w:sz w:val="20"/>
                <w:szCs w:val="20"/>
              </w:rPr>
            </w:pPr>
            <w:r w:rsidRPr="004B7E15">
              <w:rPr>
                <w:b/>
                <w:bCs/>
                <w:color w:val="000000"/>
                <w:sz w:val="20"/>
                <w:szCs w:val="20"/>
              </w:rPr>
              <w:t xml:space="preserve">(Within 24 hours) </w:t>
            </w:r>
            <w:r w:rsidRPr="004B7E15">
              <w:rPr>
                <w:b/>
                <w:bCs/>
                <w:color w:val="000000"/>
                <w:sz w:val="20"/>
                <w:szCs w:val="20"/>
                <w:vertAlign w:val="superscript"/>
              </w:rPr>
              <w:t>a</w:t>
            </w:r>
          </w:p>
        </w:tc>
        <w:tc>
          <w:tcPr>
            <w:tcW w:w="3969" w:type="dxa"/>
            <w:tcBorders>
              <w:top w:val="single" w:sz="4" w:space="0" w:color="auto"/>
              <w:left w:val="nil"/>
              <w:bottom w:val="single" w:sz="4" w:space="0" w:color="auto"/>
              <w:right w:val="nil"/>
            </w:tcBorders>
            <w:shd w:val="clear" w:color="auto" w:fill="F2F2F2"/>
            <w:vAlign w:val="center"/>
          </w:tcPr>
          <w:p w14:paraId="42DCA474" w14:textId="77777777" w:rsidR="00CA4237" w:rsidRPr="004B7E15" w:rsidRDefault="00CA4237" w:rsidP="00EF729F">
            <w:pPr>
              <w:spacing w:before="240" w:line="360" w:lineRule="auto"/>
              <w:rPr>
                <w:b/>
                <w:bCs/>
                <w:color w:val="000000"/>
                <w:sz w:val="20"/>
                <w:szCs w:val="20"/>
              </w:rPr>
            </w:pPr>
            <w:r w:rsidRPr="004B7E15">
              <w:rPr>
                <w:b/>
                <w:bCs/>
                <w:color w:val="000000"/>
                <w:sz w:val="20"/>
                <w:szCs w:val="20"/>
              </w:rPr>
              <w:t>Increased values:</w:t>
            </w:r>
          </w:p>
          <w:p w14:paraId="259DDB12" w14:textId="77777777" w:rsidR="00CA4237" w:rsidRPr="004B7E15" w:rsidRDefault="00CA4237" w:rsidP="00CA4237">
            <w:pPr>
              <w:numPr>
                <w:ilvl w:val="0"/>
                <w:numId w:val="1"/>
              </w:numPr>
              <w:spacing w:line="360" w:lineRule="auto"/>
              <w:ind w:left="360"/>
              <w:rPr>
                <w:color w:val="000000"/>
                <w:sz w:val="20"/>
                <w:szCs w:val="20"/>
              </w:rPr>
            </w:pPr>
            <w:r>
              <w:rPr>
                <w:noProof/>
                <w:color w:val="000000"/>
                <w:sz w:val="20"/>
                <w:szCs w:val="20"/>
                <w:lang w:val="fr-FR"/>
              </w:rPr>
              <mc:AlternateContent>
                <mc:Choice Requires="wps">
                  <w:drawing>
                    <wp:anchor distT="0" distB="0" distL="114300" distR="114300" simplePos="0" relativeHeight="251659264" behindDoc="0" locked="0" layoutInCell="1" allowOverlap="1" wp14:anchorId="25594123" wp14:editId="6C24A84A">
                      <wp:simplePos x="0" y="0"/>
                      <wp:positionH relativeFrom="column">
                        <wp:posOffset>2368550</wp:posOffset>
                      </wp:positionH>
                      <wp:positionV relativeFrom="paragraph">
                        <wp:posOffset>12700</wp:posOffset>
                      </wp:positionV>
                      <wp:extent cx="173355" cy="819150"/>
                      <wp:effectExtent l="0" t="0" r="0" b="0"/>
                      <wp:wrapNone/>
                      <wp:docPr id="1160452468" name="Accolade ferman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355" cy="819150"/>
                              </a:xfrm>
                              <a:prstGeom prst="rightBrace">
                                <a:avLst>
                                  <a:gd name="adj1" fmla="val 39377"/>
                                  <a:gd name="adj2" fmla="val 50000"/>
                                </a:avLst>
                              </a:prstGeom>
                              <a:no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6CB3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1" o:spid="_x0000_s1026" type="#_x0000_t88" style="position:absolute;margin-left:186.5pt;margin-top:1pt;width:13.6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" strokeweight="1pt"/>
                  </w:pict>
                </mc:Fallback>
              </mc:AlternateContent>
            </w:r>
            <w:r w:rsidRPr="004B7E15">
              <w:rPr>
                <w:color w:val="000000"/>
                <w:sz w:val="20"/>
                <w:szCs w:val="20"/>
              </w:rPr>
              <w:t>Uric acid ≥ 476 µmol/L (8 mg/dL)</w:t>
            </w:r>
          </w:p>
          <w:p w14:paraId="33EA0EB7" w14:textId="77777777" w:rsidR="00CA4237" w:rsidRPr="00DC03FB" w:rsidRDefault="00CA4237" w:rsidP="00CA4237">
            <w:pPr>
              <w:numPr>
                <w:ilvl w:val="0"/>
                <w:numId w:val="1"/>
              </w:numPr>
              <w:spacing w:line="360" w:lineRule="auto"/>
              <w:ind w:left="360"/>
              <w:rPr>
                <w:color w:val="000000"/>
                <w:sz w:val="20"/>
                <w:szCs w:val="20"/>
                <w:lang w:val="fr-FR"/>
              </w:rPr>
            </w:pPr>
            <w:r w:rsidRPr="00DC03FB">
              <w:rPr>
                <w:color w:val="000000"/>
                <w:sz w:val="20"/>
                <w:szCs w:val="20"/>
                <w:lang w:val="fr-FR"/>
              </w:rPr>
              <w:t>Potassium ≥ 6.0 mmol/L (6 mEq/L)</w:t>
            </w:r>
          </w:p>
          <w:p w14:paraId="35435FC4" w14:textId="77777777" w:rsidR="00CA4237" w:rsidRPr="004B7E15" w:rsidRDefault="00CA4237" w:rsidP="00CA4237">
            <w:pPr>
              <w:numPr>
                <w:ilvl w:val="0"/>
                <w:numId w:val="1"/>
              </w:numPr>
              <w:spacing w:line="360" w:lineRule="auto"/>
              <w:ind w:left="360"/>
              <w:rPr>
                <w:color w:val="000000"/>
                <w:sz w:val="20"/>
                <w:szCs w:val="20"/>
              </w:rPr>
            </w:pPr>
            <w:r w:rsidRPr="004B7E15">
              <w:rPr>
                <w:color w:val="000000"/>
                <w:sz w:val="20"/>
                <w:szCs w:val="20"/>
              </w:rPr>
              <w:t>Phosphate ≥ 1.45 mmol/L (4.5 mg/dL)</w:t>
            </w:r>
          </w:p>
          <w:p w14:paraId="74BDC182" w14:textId="77777777" w:rsidR="00CA4237" w:rsidRPr="004B7E15" w:rsidRDefault="00CA4237" w:rsidP="00EF729F">
            <w:pPr>
              <w:spacing w:line="360" w:lineRule="auto"/>
              <w:ind w:left="360"/>
              <w:rPr>
                <w:color w:val="000000"/>
                <w:sz w:val="20"/>
                <w:szCs w:val="20"/>
              </w:rPr>
            </w:pPr>
            <w:r w:rsidRPr="004B7E15">
              <w:rPr>
                <w:color w:val="000000"/>
                <w:sz w:val="20"/>
                <w:szCs w:val="20"/>
              </w:rPr>
              <w:t>[children: ≥ 2.1 mmol/L (6.5 mg/dL)]</w:t>
            </w:r>
          </w:p>
        </w:tc>
        <w:tc>
          <w:tcPr>
            <w:tcW w:w="3261" w:type="dxa"/>
            <w:tcBorders>
              <w:top w:val="single" w:sz="4" w:space="0" w:color="auto"/>
              <w:left w:val="nil"/>
              <w:bottom w:val="single" w:sz="4" w:space="0" w:color="auto"/>
              <w:right w:val="nil"/>
            </w:tcBorders>
            <w:shd w:val="clear" w:color="auto" w:fill="F2F2F2"/>
            <w:vAlign w:val="center"/>
          </w:tcPr>
          <w:p w14:paraId="2EB59A3B" w14:textId="77777777" w:rsidR="00CA4237" w:rsidRPr="004B7E15" w:rsidRDefault="00CA4237" w:rsidP="00EF729F">
            <w:pPr>
              <w:rPr>
                <w:color w:val="000000"/>
                <w:sz w:val="20"/>
                <w:szCs w:val="20"/>
              </w:rPr>
            </w:pPr>
          </w:p>
          <w:p w14:paraId="07EA829C" w14:textId="77777777" w:rsidR="00CA4237" w:rsidRPr="004B7E15" w:rsidRDefault="00CA4237" w:rsidP="00EF729F">
            <w:pPr>
              <w:rPr>
                <w:color w:val="000000"/>
                <w:sz w:val="2"/>
                <w:szCs w:val="2"/>
              </w:rPr>
            </w:pPr>
          </w:p>
          <w:p w14:paraId="4AA13E7D" w14:textId="77777777" w:rsidR="00CA4237" w:rsidRPr="004B7E15" w:rsidRDefault="00CA4237" w:rsidP="00EF729F">
            <w:pPr>
              <w:rPr>
                <w:color w:val="000000"/>
                <w:sz w:val="2"/>
                <w:szCs w:val="2"/>
              </w:rPr>
            </w:pPr>
          </w:p>
          <w:p w14:paraId="26E71482" w14:textId="77777777" w:rsidR="00CA4237" w:rsidRPr="004B7E15" w:rsidRDefault="00CA4237" w:rsidP="00EF729F">
            <w:pPr>
              <w:rPr>
                <w:color w:val="000000"/>
                <w:sz w:val="2"/>
                <w:szCs w:val="2"/>
              </w:rPr>
            </w:pPr>
          </w:p>
          <w:p w14:paraId="0A0A8391" w14:textId="77777777" w:rsidR="00CA4237" w:rsidRPr="004B7E15" w:rsidRDefault="00CA4237" w:rsidP="00EF729F">
            <w:pPr>
              <w:rPr>
                <w:color w:val="000000"/>
                <w:sz w:val="2"/>
                <w:szCs w:val="2"/>
              </w:rPr>
            </w:pPr>
          </w:p>
          <w:p w14:paraId="5065F7F7" w14:textId="77777777" w:rsidR="00CA4237" w:rsidRPr="004B7E15" w:rsidRDefault="00CA4237" w:rsidP="00EF729F">
            <w:pPr>
              <w:rPr>
                <w:color w:val="000000"/>
                <w:sz w:val="2"/>
                <w:szCs w:val="2"/>
              </w:rPr>
            </w:pPr>
          </w:p>
          <w:p w14:paraId="72E69199" w14:textId="77777777" w:rsidR="00CA4237" w:rsidRPr="004B7E15" w:rsidRDefault="00CA4237" w:rsidP="00EF729F">
            <w:pPr>
              <w:rPr>
                <w:color w:val="000000"/>
                <w:sz w:val="2"/>
                <w:szCs w:val="2"/>
              </w:rPr>
            </w:pPr>
          </w:p>
          <w:p w14:paraId="126C96BE" w14:textId="77777777" w:rsidR="00CA4237" w:rsidRPr="004B7E15" w:rsidRDefault="00CA4237" w:rsidP="00EF729F">
            <w:pPr>
              <w:rPr>
                <w:color w:val="000000"/>
                <w:sz w:val="2"/>
                <w:szCs w:val="2"/>
              </w:rPr>
            </w:pPr>
          </w:p>
          <w:p w14:paraId="6ADFA9BF" w14:textId="77777777" w:rsidR="00CA4237" w:rsidRPr="004B7E15" w:rsidRDefault="00CA4237" w:rsidP="00EF729F">
            <w:pPr>
              <w:rPr>
                <w:color w:val="000000"/>
                <w:sz w:val="2"/>
                <w:szCs w:val="2"/>
              </w:rPr>
            </w:pPr>
          </w:p>
          <w:p w14:paraId="21800378" w14:textId="77777777" w:rsidR="00CA4237" w:rsidRPr="004B7E15" w:rsidRDefault="00CA4237" w:rsidP="00EF729F">
            <w:pPr>
              <w:rPr>
                <w:color w:val="000000"/>
                <w:sz w:val="2"/>
                <w:szCs w:val="2"/>
              </w:rPr>
            </w:pPr>
          </w:p>
          <w:p w14:paraId="4711C878" w14:textId="77777777" w:rsidR="00CA4237" w:rsidRPr="004B7E15" w:rsidRDefault="00CA4237" w:rsidP="00EF729F">
            <w:pPr>
              <w:rPr>
                <w:color w:val="000000"/>
                <w:sz w:val="2"/>
                <w:szCs w:val="2"/>
              </w:rPr>
            </w:pPr>
          </w:p>
          <w:p w14:paraId="10446E13" w14:textId="77777777" w:rsidR="00CA4237" w:rsidRPr="004B7E15" w:rsidRDefault="00CA4237" w:rsidP="00EF729F">
            <w:pPr>
              <w:rPr>
                <w:color w:val="000000"/>
                <w:sz w:val="2"/>
                <w:szCs w:val="2"/>
              </w:rPr>
            </w:pPr>
          </w:p>
          <w:p w14:paraId="2C3F9782" w14:textId="77777777" w:rsidR="00CA4237" w:rsidRPr="004B7E15" w:rsidRDefault="00CA4237" w:rsidP="00EF729F">
            <w:pPr>
              <w:rPr>
                <w:color w:val="000000"/>
                <w:sz w:val="2"/>
                <w:szCs w:val="2"/>
              </w:rPr>
            </w:pPr>
          </w:p>
          <w:p w14:paraId="1EA43071" w14:textId="77777777" w:rsidR="00CA4237" w:rsidRPr="004B7E15" w:rsidRDefault="00CA4237" w:rsidP="00EF729F">
            <w:pPr>
              <w:rPr>
                <w:color w:val="000000"/>
                <w:sz w:val="2"/>
                <w:szCs w:val="2"/>
              </w:rPr>
            </w:pPr>
          </w:p>
          <w:p w14:paraId="1BE32D34" w14:textId="77777777" w:rsidR="00CA4237" w:rsidRPr="004B7E15" w:rsidRDefault="00CA4237" w:rsidP="00EF729F">
            <w:pPr>
              <w:rPr>
                <w:color w:val="000000"/>
                <w:sz w:val="2"/>
                <w:szCs w:val="2"/>
              </w:rPr>
            </w:pPr>
          </w:p>
          <w:p w14:paraId="7549E8AC" w14:textId="77777777" w:rsidR="00CA4237" w:rsidRPr="004B7E15" w:rsidRDefault="00CA4237" w:rsidP="00EF729F">
            <w:pPr>
              <w:rPr>
                <w:color w:val="000000"/>
                <w:sz w:val="2"/>
                <w:szCs w:val="2"/>
              </w:rPr>
            </w:pPr>
          </w:p>
          <w:p w14:paraId="2F7004F3" w14:textId="77777777" w:rsidR="00CA4237" w:rsidRPr="004B7E15" w:rsidRDefault="00CA4237" w:rsidP="00EF729F">
            <w:pPr>
              <w:spacing w:line="360" w:lineRule="auto"/>
              <w:rPr>
                <w:color w:val="000000"/>
                <w:sz w:val="20"/>
                <w:szCs w:val="20"/>
              </w:rPr>
            </w:pPr>
            <w:r w:rsidRPr="004B7E15">
              <w:rPr>
                <w:color w:val="000000"/>
                <w:sz w:val="20"/>
                <w:szCs w:val="20"/>
              </w:rPr>
              <w:t xml:space="preserve">     Or 25% increase</w:t>
            </w:r>
          </w:p>
        </w:tc>
      </w:tr>
      <w:tr w:rsidR="00CA4237" w:rsidRPr="004B7E15" w14:paraId="3E33F9FA" w14:textId="77777777" w:rsidTr="00EF729F">
        <w:trPr>
          <w:trHeight w:val="939"/>
        </w:trPr>
        <w:tc>
          <w:tcPr>
            <w:tcW w:w="2835" w:type="dxa"/>
            <w:vMerge/>
            <w:tcBorders>
              <w:left w:val="nil"/>
              <w:right w:val="nil"/>
            </w:tcBorders>
            <w:shd w:val="clear" w:color="auto" w:fill="F2F2F2"/>
            <w:vAlign w:val="center"/>
          </w:tcPr>
          <w:p w14:paraId="35391F26" w14:textId="77777777" w:rsidR="00CA4237" w:rsidRPr="004B7E15" w:rsidRDefault="00CA4237" w:rsidP="00EF729F">
            <w:pPr>
              <w:spacing w:line="360" w:lineRule="auto"/>
              <w:jc w:val="center"/>
              <w:rPr>
                <w:b/>
                <w:bCs/>
                <w:color w:val="000000"/>
                <w:sz w:val="20"/>
                <w:szCs w:val="20"/>
              </w:rPr>
            </w:pPr>
          </w:p>
        </w:tc>
        <w:tc>
          <w:tcPr>
            <w:tcW w:w="3969" w:type="dxa"/>
            <w:tcBorders>
              <w:top w:val="single" w:sz="4" w:space="0" w:color="auto"/>
              <w:left w:val="nil"/>
              <w:right w:val="nil"/>
            </w:tcBorders>
            <w:shd w:val="clear" w:color="auto" w:fill="F2F2F2"/>
            <w:vAlign w:val="center"/>
          </w:tcPr>
          <w:p w14:paraId="6B6CB491" w14:textId="77777777" w:rsidR="00CA4237" w:rsidRPr="004B7E15" w:rsidRDefault="00CA4237" w:rsidP="00EF729F">
            <w:pPr>
              <w:spacing w:before="240" w:line="360" w:lineRule="auto"/>
              <w:rPr>
                <w:b/>
                <w:bCs/>
                <w:color w:val="000000"/>
                <w:sz w:val="20"/>
                <w:szCs w:val="20"/>
              </w:rPr>
            </w:pPr>
            <w:r w:rsidRPr="004B7E15">
              <w:rPr>
                <w:b/>
                <w:bCs/>
                <w:color w:val="000000"/>
                <w:sz w:val="20"/>
                <w:szCs w:val="20"/>
              </w:rPr>
              <w:t>Decreased value:</w:t>
            </w:r>
          </w:p>
          <w:p w14:paraId="44580E9E" w14:textId="77777777" w:rsidR="00CA4237" w:rsidRPr="004B7E15" w:rsidRDefault="00CA4237" w:rsidP="00CA4237">
            <w:pPr>
              <w:numPr>
                <w:ilvl w:val="0"/>
                <w:numId w:val="1"/>
              </w:numPr>
              <w:spacing w:line="360" w:lineRule="auto"/>
              <w:ind w:left="360"/>
              <w:rPr>
                <w:color w:val="000000"/>
                <w:sz w:val="20"/>
                <w:szCs w:val="20"/>
              </w:rPr>
            </w:pPr>
            <w:r w:rsidRPr="004B7E15">
              <w:rPr>
                <w:color w:val="000000"/>
                <w:sz w:val="20"/>
                <w:szCs w:val="20"/>
              </w:rPr>
              <w:t>Calcium ≤ 1.75 mmol/L (7 mg/dL)</w:t>
            </w:r>
          </w:p>
        </w:tc>
        <w:tc>
          <w:tcPr>
            <w:tcW w:w="3261" w:type="dxa"/>
            <w:tcBorders>
              <w:top w:val="single" w:sz="4" w:space="0" w:color="auto"/>
              <w:left w:val="nil"/>
              <w:bottom w:val="single" w:sz="4" w:space="0" w:color="auto"/>
              <w:right w:val="nil"/>
            </w:tcBorders>
            <w:shd w:val="clear" w:color="auto" w:fill="F2F2F2"/>
            <w:noWrap/>
            <w:vAlign w:val="center"/>
          </w:tcPr>
          <w:p w14:paraId="0135ABA1" w14:textId="77777777" w:rsidR="00CA4237" w:rsidRPr="004B7E15" w:rsidRDefault="00CA4237" w:rsidP="00EF729F">
            <w:pPr>
              <w:rPr>
                <w:color w:val="000000"/>
                <w:sz w:val="20"/>
                <w:szCs w:val="20"/>
              </w:rPr>
            </w:pPr>
            <w:r w:rsidRPr="004B7E15">
              <w:rPr>
                <w:color w:val="000000"/>
                <w:sz w:val="20"/>
                <w:szCs w:val="20"/>
              </w:rPr>
              <w:t xml:space="preserve">  </w:t>
            </w:r>
          </w:p>
          <w:p w14:paraId="0305E601" w14:textId="77777777" w:rsidR="00CA4237" w:rsidRPr="004B7E15" w:rsidRDefault="00CA4237" w:rsidP="00EF729F">
            <w:pPr>
              <w:rPr>
                <w:color w:val="000000"/>
                <w:sz w:val="2"/>
                <w:szCs w:val="2"/>
              </w:rPr>
            </w:pPr>
          </w:p>
          <w:p w14:paraId="145575C8" w14:textId="77777777" w:rsidR="00CA4237" w:rsidRPr="004B7E15" w:rsidRDefault="00CA4237" w:rsidP="00EF729F">
            <w:pPr>
              <w:rPr>
                <w:color w:val="000000"/>
                <w:sz w:val="2"/>
                <w:szCs w:val="2"/>
              </w:rPr>
            </w:pPr>
          </w:p>
          <w:p w14:paraId="2D942839" w14:textId="77777777" w:rsidR="00CA4237" w:rsidRPr="004B7E15" w:rsidRDefault="00CA4237" w:rsidP="00EF729F">
            <w:pPr>
              <w:rPr>
                <w:color w:val="000000"/>
                <w:sz w:val="2"/>
                <w:szCs w:val="2"/>
              </w:rPr>
            </w:pPr>
          </w:p>
          <w:p w14:paraId="27D7E47E" w14:textId="77777777" w:rsidR="00CA4237" w:rsidRPr="004B7E15" w:rsidRDefault="00CA4237" w:rsidP="00EF729F">
            <w:pPr>
              <w:rPr>
                <w:color w:val="000000"/>
                <w:sz w:val="2"/>
                <w:szCs w:val="2"/>
              </w:rPr>
            </w:pPr>
          </w:p>
          <w:p w14:paraId="20658670" w14:textId="77777777" w:rsidR="00CA4237" w:rsidRPr="004B7E15" w:rsidRDefault="00CA4237" w:rsidP="00EF729F">
            <w:pPr>
              <w:rPr>
                <w:color w:val="000000"/>
                <w:sz w:val="2"/>
                <w:szCs w:val="2"/>
              </w:rPr>
            </w:pPr>
          </w:p>
          <w:p w14:paraId="71E32B8C" w14:textId="77777777" w:rsidR="00CA4237" w:rsidRPr="004B7E15" w:rsidRDefault="00CA4237" w:rsidP="00EF729F">
            <w:pPr>
              <w:rPr>
                <w:color w:val="000000"/>
                <w:sz w:val="2"/>
                <w:szCs w:val="2"/>
              </w:rPr>
            </w:pPr>
          </w:p>
          <w:p w14:paraId="330A8C8A" w14:textId="77777777" w:rsidR="00CA4237" w:rsidRPr="004B7E15" w:rsidRDefault="00CA4237" w:rsidP="00EF729F">
            <w:pPr>
              <w:rPr>
                <w:color w:val="000000"/>
                <w:sz w:val="20"/>
                <w:szCs w:val="20"/>
              </w:rPr>
            </w:pPr>
            <w:r w:rsidRPr="004B7E15">
              <w:rPr>
                <w:color w:val="000000"/>
                <w:sz w:val="20"/>
                <w:szCs w:val="20"/>
              </w:rPr>
              <w:t xml:space="preserve"> </w:t>
            </w:r>
          </w:p>
          <w:p w14:paraId="36BE50F1" w14:textId="77777777" w:rsidR="00CA4237" w:rsidRPr="004B7E15" w:rsidRDefault="00CA4237" w:rsidP="00EF729F">
            <w:pPr>
              <w:spacing w:line="360" w:lineRule="auto"/>
              <w:rPr>
                <w:color w:val="000000"/>
                <w:sz w:val="20"/>
                <w:szCs w:val="20"/>
              </w:rPr>
            </w:pPr>
            <w:r w:rsidRPr="004B7E15">
              <w:rPr>
                <w:color w:val="000000"/>
                <w:sz w:val="20"/>
                <w:szCs w:val="20"/>
              </w:rPr>
              <w:t xml:space="preserve">     Or 25% decrease</w:t>
            </w:r>
          </w:p>
        </w:tc>
      </w:tr>
      <w:tr w:rsidR="00CA4237" w:rsidRPr="004B7E15" w14:paraId="2F3C79B0" w14:textId="77777777" w:rsidTr="00EF729F">
        <w:trPr>
          <w:trHeight w:val="1826"/>
        </w:trPr>
        <w:tc>
          <w:tcPr>
            <w:tcW w:w="2835" w:type="dxa"/>
            <w:tcBorders>
              <w:top w:val="single" w:sz="4" w:space="0" w:color="auto"/>
              <w:left w:val="nil"/>
              <w:right w:val="nil"/>
            </w:tcBorders>
            <w:shd w:val="clear" w:color="auto" w:fill="D9D9D9"/>
            <w:vAlign w:val="center"/>
            <w:hideMark/>
          </w:tcPr>
          <w:p w14:paraId="6B09D026" w14:textId="77777777" w:rsidR="00CA4237" w:rsidRPr="004B7E15" w:rsidRDefault="00CA4237" w:rsidP="00EF729F">
            <w:pPr>
              <w:spacing w:line="360" w:lineRule="auto"/>
              <w:jc w:val="center"/>
              <w:rPr>
                <w:b/>
                <w:bCs/>
                <w:color w:val="000000"/>
                <w:sz w:val="20"/>
                <w:szCs w:val="20"/>
              </w:rPr>
            </w:pPr>
            <w:r w:rsidRPr="004B7E15">
              <w:rPr>
                <w:b/>
                <w:bCs/>
                <w:color w:val="000000"/>
                <w:sz w:val="20"/>
                <w:szCs w:val="20"/>
              </w:rPr>
              <w:t>Biological TLS:</w:t>
            </w:r>
          </w:p>
          <w:p w14:paraId="728323F5" w14:textId="77777777" w:rsidR="00CA4237" w:rsidRPr="004B7E15" w:rsidRDefault="00CA4237" w:rsidP="00EF729F">
            <w:pPr>
              <w:jc w:val="center"/>
              <w:rPr>
                <w:b/>
                <w:bCs/>
                <w:color w:val="000000"/>
                <w:sz w:val="20"/>
                <w:szCs w:val="20"/>
              </w:rPr>
            </w:pPr>
            <w:r w:rsidRPr="004B7E15">
              <w:rPr>
                <w:b/>
                <w:bCs/>
                <w:color w:val="000000"/>
                <w:sz w:val="20"/>
                <w:szCs w:val="20"/>
              </w:rPr>
              <w:t>Clinical TLS </w:t>
            </w:r>
          </w:p>
          <w:p w14:paraId="2C076C69" w14:textId="77777777" w:rsidR="00CA4237" w:rsidRPr="004B7E15" w:rsidRDefault="00CA4237" w:rsidP="00EF729F">
            <w:pPr>
              <w:jc w:val="center"/>
              <w:rPr>
                <w:b/>
                <w:bCs/>
                <w:color w:val="000000"/>
                <w:sz w:val="20"/>
                <w:szCs w:val="20"/>
              </w:rPr>
            </w:pPr>
            <w:r w:rsidRPr="004B7E15">
              <w:rPr>
                <w:b/>
                <w:bCs/>
                <w:color w:val="000000"/>
                <w:sz w:val="20"/>
                <w:szCs w:val="20"/>
              </w:rPr>
              <w:t>+</w:t>
            </w:r>
          </w:p>
          <w:p w14:paraId="33D6BC1B" w14:textId="77777777" w:rsidR="00CA4237" w:rsidRPr="004B7E15" w:rsidRDefault="00CA4237" w:rsidP="00EF729F">
            <w:pPr>
              <w:jc w:val="center"/>
              <w:rPr>
                <w:b/>
                <w:bCs/>
                <w:color w:val="000000"/>
                <w:sz w:val="20"/>
                <w:szCs w:val="20"/>
              </w:rPr>
            </w:pPr>
            <w:r w:rsidRPr="004B7E15">
              <w:rPr>
                <w:b/>
                <w:bCs/>
                <w:color w:val="000000"/>
                <w:sz w:val="20"/>
                <w:szCs w:val="20"/>
              </w:rPr>
              <w:t>≥ 1 organ dysfunction</w:t>
            </w:r>
          </w:p>
        </w:tc>
        <w:tc>
          <w:tcPr>
            <w:tcW w:w="7230" w:type="dxa"/>
            <w:gridSpan w:val="2"/>
            <w:tcBorders>
              <w:top w:val="single" w:sz="4" w:space="0" w:color="auto"/>
              <w:left w:val="nil"/>
              <w:right w:val="nil"/>
            </w:tcBorders>
            <w:shd w:val="clear" w:color="auto" w:fill="D9D9D9"/>
            <w:vAlign w:val="center"/>
          </w:tcPr>
          <w:p w14:paraId="4FFB27FB" w14:textId="77777777" w:rsidR="00CA4237" w:rsidRPr="004B7E15" w:rsidRDefault="00CA4237" w:rsidP="00CA4237">
            <w:pPr>
              <w:numPr>
                <w:ilvl w:val="0"/>
                <w:numId w:val="2"/>
              </w:numPr>
              <w:spacing w:line="360" w:lineRule="auto"/>
              <w:rPr>
                <w:color w:val="000000"/>
                <w:sz w:val="20"/>
                <w:szCs w:val="20"/>
              </w:rPr>
            </w:pPr>
            <w:r w:rsidRPr="004B7E15">
              <w:rPr>
                <w:b/>
                <w:bCs/>
                <w:color w:val="000000"/>
                <w:sz w:val="20"/>
                <w:szCs w:val="20"/>
              </w:rPr>
              <w:t>Acute kidney injury</w:t>
            </w:r>
            <w:r w:rsidRPr="004B7E15">
              <w:rPr>
                <w:color w:val="000000"/>
                <w:sz w:val="20"/>
                <w:szCs w:val="20"/>
              </w:rPr>
              <w:t xml:space="preserve"> (serum creatinine ≥ 1.5 times upper limit) </w:t>
            </w:r>
            <w:r w:rsidRPr="004B7E15">
              <w:rPr>
                <w:color w:val="000000"/>
                <w:sz w:val="20"/>
                <w:szCs w:val="20"/>
                <w:vertAlign w:val="superscript"/>
              </w:rPr>
              <w:t>b</w:t>
            </w:r>
          </w:p>
          <w:p w14:paraId="7139AFA8" w14:textId="77777777" w:rsidR="00CA4237" w:rsidRPr="004B7E15" w:rsidRDefault="00CA4237" w:rsidP="00CA4237">
            <w:pPr>
              <w:numPr>
                <w:ilvl w:val="0"/>
                <w:numId w:val="2"/>
              </w:numPr>
              <w:spacing w:line="360" w:lineRule="auto"/>
              <w:rPr>
                <w:color w:val="000000"/>
                <w:sz w:val="20"/>
                <w:szCs w:val="20"/>
              </w:rPr>
            </w:pPr>
            <w:r w:rsidRPr="004B7E15">
              <w:rPr>
                <w:b/>
                <w:bCs/>
                <w:color w:val="000000"/>
                <w:sz w:val="20"/>
                <w:szCs w:val="20"/>
              </w:rPr>
              <w:t>Cardiac</w:t>
            </w:r>
            <w:r w:rsidRPr="004B7E15">
              <w:rPr>
                <w:color w:val="000000"/>
                <w:sz w:val="20"/>
                <w:szCs w:val="20"/>
              </w:rPr>
              <w:t xml:space="preserve"> involvement: arrythmia or sudden death</w:t>
            </w:r>
          </w:p>
          <w:p w14:paraId="4D14BA50" w14:textId="77777777" w:rsidR="00CA4237" w:rsidRPr="004B7E15" w:rsidRDefault="00CA4237" w:rsidP="00CA4237">
            <w:pPr>
              <w:numPr>
                <w:ilvl w:val="0"/>
                <w:numId w:val="2"/>
              </w:numPr>
              <w:spacing w:line="360" w:lineRule="auto"/>
              <w:rPr>
                <w:color w:val="000000"/>
                <w:sz w:val="20"/>
                <w:szCs w:val="20"/>
              </w:rPr>
            </w:pPr>
            <w:r w:rsidRPr="004B7E15">
              <w:rPr>
                <w:b/>
                <w:bCs/>
                <w:color w:val="000000"/>
                <w:sz w:val="20"/>
                <w:szCs w:val="20"/>
              </w:rPr>
              <w:t>Neurological</w:t>
            </w:r>
            <w:r w:rsidRPr="004B7E15">
              <w:rPr>
                <w:color w:val="000000"/>
                <w:sz w:val="20"/>
                <w:szCs w:val="20"/>
              </w:rPr>
              <w:t xml:space="preserve"> involvement: seizure, tetany (symptomatic hypocalcemia)</w:t>
            </w:r>
          </w:p>
        </w:tc>
      </w:tr>
    </w:tbl>
    <w:p w14:paraId="3E151A9F" w14:textId="77777777" w:rsidR="00CA4237" w:rsidRPr="004B7E15" w:rsidRDefault="00CA4237" w:rsidP="00CA4237">
      <w:pPr>
        <w:pStyle w:val="Lgende"/>
        <w:keepNext/>
        <w:spacing w:before="240" w:line="480" w:lineRule="auto"/>
        <w:jc w:val="both"/>
        <w:rPr>
          <w:sz w:val="24"/>
          <w:szCs w:val="24"/>
        </w:rPr>
      </w:pPr>
      <w:r w:rsidRPr="004B7E15">
        <w:rPr>
          <w:sz w:val="24"/>
          <w:szCs w:val="24"/>
        </w:rPr>
        <w:t>Footnotes (</w:t>
      </w:r>
      <w:bookmarkStart w:id="0" w:name="_Hlk136280793"/>
      <w:r w:rsidRPr="004B7E15">
        <w:rPr>
          <w:sz w:val="24"/>
          <w:szCs w:val="24"/>
        </w:rPr>
        <w:t>Supplementary Table 1</w:t>
      </w:r>
      <w:bookmarkEnd w:id="0"/>
      <w:r w:rsidRPr="004B7E15">
        <w:rPr>
          <w:sz w:val="24"/>
          <w:szCs w:val="24"/>
        </w:rPr>
        <w:t>):</w:t>
      </w:r>
    </w:p>
    <w:p w14:paraId="4AAB1CC1" w14:textId="77777777" w:rsidR="00CA4237" w:rsidRPr="004B7E15" w:rsidRDefault="00CA4237" w:rsidP="00CA4237">
      <w:pPr>
        <w:pStyle w:val="Lgende"/>
        <w:keepNext/>
        <w:spacing w:line="480" w:lineRule="auto"/>
        <w:jc w:val="both"/>
        <w:rPr>
          <w:sz w:val="24"/>
          <w:szCs w:val="24"/>
        </w:rPr>
      </w:pPr>
      <w:r w:rsidRPr="004B7E15">
        <w:rPr>
          <w:sz w:val="24"/>
          <w:szCs w:val="24"/>
          <w:vertAlign w:val="superscript"/>
        </w:rPr>
        <w:t>a</w:t>
      </w:r>
      <w:r w:rsidRPr="004B7E15">
        <w:rPr>
          <w:sz w:val="24"/>
          <w:szCs w:val="24"/>
        </w:rPr>
        <w:t xml:space="preserve"> Patients must meet two or more laboratory criteria within 3 days before to 7 days after chemotherapy initiation. </w:t>
      </w:r>
    </w:p>
    <w:p w14:paraId="217AED89" w14:textId="77777777" w:rsidR="00CA4237" w:rsidRPr="004B7E15" w:rsidRDefault="00CA4237" w:rsidP="00CA4237">
      <w:pPr>
        <w:spacing w:line="480" w:lineRule="auto"/>
        <w:rPr>
          <w:b/>
          <w:bCs/>
        </w:rPr>
      </w:pPr>
      <w:r w:rsidRPr="004B7E15">
        <w:rPr>
          <w:b/>
          <w:bCs/>
          <w:vertAlign w:val="superscript"/>
        </w:rPr>
        <w:t>b</w:t>
      </w:r>
      <w:r w:rsidRPr="004B7E15">
        <w:rPr>
          <w:b/>
          <w:bCs/>
        </w:rPr>
        <w:t xml:space="preserve"> Other causes of acute kidney injury should be ruled out (</w:t>
      </w:r>
      <w:r w:rsidRPr="004B7E15">
        <w:rPr>
          <w:b/>
          <w:bCs/>
          <w:i/>
          <w:iCs/>
        </w:rPr>
        <w:t>e.g.</w:t>
      </w:r>
      <w:r w:rsidRPr="004B7E15">
        <w:rPr>
          <w:b/>
          <w:bCs/>
        </w:rPr>
        <w:t>, obstruction).</w:t>
      </w:r>
    </w:p>
    <w:p w14:paraId="03F756F2" w14:textId="77777777" w:rsidR="00CA4237" w:rsidRPr="004B7E15" w:rsidRDefault="00CA4237" w:rsidP="00CA4237">
      <w:pPr>
        <w:pStyle w:val="Lgende"/>
        <w:keepNext/>
        <w:spacing w:line="480" w:lineRule="auto"/>
        <w:jc w:val="both"/>
        <w:rPr>
          <w:b w:val="0"/>
          <w:bCs w:val="0"/>
          <w:sz w:val="24"/>
          <w:szCs w:val="24"/>
        </w:rPr>
      </w:pPr>
      <w:r w:rsidRPr="004B7E15">
        <w:rPr>
          <w:b w:val="0"/>
          <w:bCs w:val="0"/>
          <w:sz w:val="24"/>
          <w:szCs w:val="24"/>
        </w:rPr>
        <w:t>Abbreviations: TLS, tumor lysis syndrome.</w:t>
      </w:r>
    </w:p>
    <w:p w14:paraId="78E050F5" w14:textId="6EAA0ED0" w:rsidR="00CA4237" w:rsidRPr="004B7E15" w:rsidRDefault="00CA4237" w:rsidP="0072796C">
      <w:pPr>
        <w:pStyle w:val="Lgende"/>
        <w:keepNext/>
        <w:spacing w:after="240" w:line="480" w:lineRule="auto"/>
        <w:jc w:val="both"/>
        <w:rPr>
          <w:b w:val="0"/>
          <w:bCs w:val="0"/>
          <w:sz w:val="24"/>
          <w:szCs w:val="24"/>
        </w:rPr>
      </w:pPr>
      <w:r w:rsidRPr="004B7E15">
        <w:br w:type="page"/>
      </w:r>
    </w:p>
    <w:p w14:paraId="508EC987" w14:textId="32693E34" w:rsidR="00CA4237" w:rsidRPr="004B7E15" w:rsidRDefault="00CA4237" w:rsidP="00CA4237">
      <w:pPr>
        <w:spacing w:after="240" w:line="480" w:lineRule="auto"/>
        <w:rPr>
          <w:b/>
        </w:rPr>
      </w:pPr>
      <w:r w:rsidRPr="004B7E15">
        <w:rPr>
          <w:b/>
        </w:rPr>
        <w:lastRenderedPageBreak/>
        <w:t xml:space="preserve">Supplementary Table </w:t>
      </w:r>
      <w:r w:rsidR="0072796C">
        <w:rPr>
          <w:b/>
        </w:rPr>
        <w:t>2</w:t>
      </w:r>
      <w:r w:rsidRPr="004B7E15">
        <w:rPr>
          <w:b/>
        </w:rPr>
        <w:t xml:space="preserve">: the HLH-2004 diagnostic criteria (Henter </w:t>
      </w:r>
      <w:r w:rsidRPr="004B7E15">
        <w:rPr>
          <w:b/>
          <w:i/>
          <w:iCs/>
        </w:rPr>
        <w:t>et al.</w:t>
      </w:r>
      <w:r w:rsidRPr="004B7E15">
        <w:rPr>
          <w:b/>
        </w:rPr>
        <w:t xml:space="preserve">) </w:t>
      </w:r>
      <w:r w:rsidR="00060C69">
        <w:rPr>
          <w:b/>
        </w:rPr>
        <w:t>[64</w:t>
      </w:r>
      <w:bookmarkStart w:id="1" w:name="_GoBack"/>
      <w:bookmarkEnd w:id="1"/>
      <w:r w:rsidR="008C2B4F">
        <w:rPr>
          <w:b/>
        </w:rPr>
        <w:t>].</w:t>
      </w:r>
    </w:p>
    <w:tbl>
      <w:tblPr>
        <w:tblW w:w="10065" w:type="dxa"/>
        <w:tblInd w:w="70" w:type="dxa"/>
        <w:tblLayout w:type="fixed"/>
        <w:tblCellMar>
          <w:left w:w="70" w:type="dxa"/>
          <w:right w:w="70" w:type="dxa"/>
        </w:tblCellMar>
        <w:tblLook w:val="04A0" w:firstRow="1" w:lastRow="0" w:firstColumn="1" w:lastColumn="0" w:noHBand="0" w:noVBand="1"/>
      </w:tblPr>
      <w:tblGrid>
        <w:gridCol w:w="10065"/>
      </w:tblGrid>
      <w:tr w:rsidR="00CA4237" w:rsidRPr="004B7E15" w14:paraId="0318A8D8" w14:textId="77777777" w:rsidTr="00EF729F">
        <w:trPr>
          <w:trHeight w:val="480"/>
        </w:trPr>
        <w:tc>
          <w:tcPr>
            <w:tcW w:w="10065" w:type="dxa"/>
            <w:tcBorders>
              <w:top w:val="single" w:sz="4" w:space="0" w:color="auto"/>
              <w:left w:val="nil"/>
              <w:right w:val="nil"/>
            </w:tcBorders>
            <w:shd w:val="clear" w:color="auto" w:fill="auto"/>
            <w:vAlign w:val="center"/>
          </w:tcPr>
          <w:p w14:paraId="10D62A12" w14:textId="77777777" w:rsidR="00CA4237" w:rsidRPr="004B7E15" w:rsidRDefault="00CA4237" w:rsidP="00EF729F">
            <w:pPr>
              <w:spacing w:line="360" w:lineRule="auto"/>
              <w:jc w:val="center"/>
              <w:rPr>
                <w:b/>
                <w:bCs/>
                <w:color w:val="000000"/>
                <w:sz w:val="20"/>
                <w:szCs w:val="20"/>
              </w:rPr>
            </w:pPr>
            <w:r w:rsidRPr="004B7E15">
              <w:rPr>
                <w:b/>
                <w:bCs/>
                <w:color w:val="000000"/>
                <w:sz w:val="20"/>
                <w:szCs w:val="20"/>
              </w:rPr>
              <w:t>The diagnosis HLH can be established if one of either 1 or 2 below is fulfilled</w:t>
            </w:r>
          </w:p>
        </w:tc>
      </w:tr>
      <w:tr w:rsidR="00CA4237" w:rsidRPr="004B7E15" w14:paraId="243DF8D1" w14:textId="77777777" w:rsidTr="00EF729F">
        <w:trPr>
          <w:trHeight w:val="480"/>
        </w:trPr>
        <w:tc>
          <w:tcPr>
            <w:tcW w:w="10065" w:type="dxa"/>
            <w:tcBorders>
              <w:top w:val="single" w:sz="4" w:space="0" w:color="auto"/>
              <w:left w:val="nil"/>
              <w:right w:val="nil"/>
            </w:tcBorders>
            <w:shd w:val="clear" w:color="auto" w:fill="F2F2F2"/>
            <w:vAlign w:val="center"/>
          </w:tcPr>
          <w:p w14:paraId="641211B3" w14:textId="77777777" w:rsidR="00CA4237" w:rsidRPr="004B7E15" w:rsidRDefault="00CA4237" w:rsidP="00CA4237">
            <w:pPr>
              <w:numPr>
                <w:ilvl w:val="0"/>
                <w:numId w:val="3"/>
              </w:numPr>
              <w:spacing w:line="360" w:lineRule="auto"/>
              <w:rPr>
                <w:color w:val="000000"/>
                <w:sz w:val="20"/>
                <w:szCs w:val="20"/>
              </w:rPr>
            </w:pPr>
            <w:r w:rsidRPr="004B7E15">
              <w:rPr>
                <w:color w:val="000000"/>
                <w:sz w:val="20"/>
                <w:szCs w:val="20"/>
              </w:rPr>
              <w:t xml:space="preserve">A molecular diagnosis consistent with HLH </w:t>
            </w:r>
            <w:r w:rsidRPr="004B7E15">
              <w:rPr>
                <w:color w:val="000000"/>
                <w:sz w:val="20"/>
                <w:szCs w:val="20"/>
                <w:vertAlign w:val="superscript"/>
              </w:rPr>
              <w:t>a</w:t>
            </w:r>
          </w:p>
        </w:tc>
      </w:tr>
      <w:tr w:rsidR="00CA4237" w:rsidRPr="00752A83" w14:paraId="6381CBF3" w14:textId="77777777" w:rsidTr="00EF729F">
        <w:trPr>
          <w:trHeight w:val="480"/>
        </w:trPr>
        <w:tc>
          <w:tcPr>
            <w:tcW w:w="10065" w:type="dxa"/>
            <w:tcBorders>
              <w:top w:val="single" w:sz="4" w:space="0" w:color="auto"/>
              <w:left w:val="nil"/>
              <w:right w:val="nil"/>
            </w:tcBorders>
            <w:shd w:val="clear" w:color="auto" w:fill="D9D9D9"/>
            <w:vAlign w:val="center"/>
          </w:tcPr>
          <w:p w14:paraId="787F2CE9" w14:textId="77777777" w:rsidR="00CA4237" w:rsidRPr="004B7E15" w:rsidRDefault="00CA4237" w:rsidP="00CA4237">
            <w:pPr>
              <w:numPr>
                <w:ilvl w:val="0"/>
                <w:numId w:val="3"/>
              </w:numPr>
              <w:spacing w:line="360" w:lineRule="auto"/>
              <w:rPr>
                <w:color w:val="000000"/>
                <w:sz w:val="20"/>
                <w:szCs w:val="20"/>
              </w:rPr>
            </w:pPr>
            <w:r w:rsidRPr="004B7E15">
              <w:rPr>
                <w:color w:val="000000"/>
                <w:sz w:val="20"/>
                <w:szCs w:val="20"/>
              </w:rPr>
              <w:t>Diagnostic criteria for HLH fulfilled (five out of the eight criteria below)</w:t>
            </w:r>
          </w:p>
          <w:p w14:paraId="41EACF52" w14:textId="77777777" w:rsidR="00CA4237" w:rsidRPr="004B7E15" w:rsidRDefault="00CA4237" w:rsidP="00CA4237">
            <w:pPr>
              <w:numPr>
                <w:ilvl w:val="0"/>
                <w:numId w:val="4"/>
              </w:numPr>
              <w:spacing w:line="360" w:lineRule="auto"/>
              <w:ind w:left="1440" w:hanging="360"/>
              <w:rPr>
                <w:color w:val="000000"/>
                <w:sz w:val="20"/>
                <w:szCs w:val="20"/>
              </w:rPr>
            </w:pPr>
            <w:r w:rsidRPr="004B7E15">
              <w:rPr>
                <w:color w:val="000000"/>
                <w:sz w:val="20"/>
                <w:szCs w:val="20"/>
              </w:rPr>
              <w:t>Fever</w:t>
            </w:r>
          </w:p>
          <w:p w14:paraId="68204D2F" w14:textId="77777777" w:rsidR="00CA4237" w:rsidRPr="004B7E15" w:rsidRDefault="00CA4237" w:rsidP="00CA4237">
            <w:pPr>
              <w:numPr>
                <w:ilvl w:val="0"/>
                <w:numId w:val="4"/>
              </w:numPr>
              <w:spacing w:line="360" w:lineRule="auto"/>
              <w:ind w:left="1440" w:hanging="360"/>
              <w:rPr>
                <w:color w:val="000000"/>
                <w:sz w:val="20"/>
                <w:szCs w:val="20"/>
              </w:rPr>
            </w:pPr>
            <w:r w:rsidRPr="004B7E15">
              <w:rPr>
                <w:color w:val="000000"/>
                <w:sz w:val="20"/>
                <w:szCs w:val="20"/>
              </w:rPr>
              <w:t>Splenomegaly</w:t>
            </w:r>
          </w:p>
          <w:p w14:paraId="3A3E0075" w14:textId="77777777" w:rsidR="00CA4237" w:rsidRPr="004B7E15" w:rsidRDefault="00CA4237" w:rsidP="00CA4237">
            <w:pPr>
              <w:numPr>
                <w:ilvl w:val="0"/>
                <w:numId w:val="4"/>
              </w:numPr>
              <w:spacing w:line="360" w:lineRule="auto"/>
              <w:ind w:left="1440" w:hanging="360"/>
              <w:rPr>
                <w:color w:val="000000"/>
                <w:sz w:val="20"/>
                <w:szCs w:val="20"/>
              </w:rPr>
            </w:pPr>
            <w:r w:rsidRPr="004B7E15">
              <w:rPr>
                <w:color w:val="000000"/>
                <w:sz w:val="20"/>
                <w:szCs w:val="20"/>
              </w:rPr>
              <w:t>Cytopenias (affecting ≥2 of 3 lineages in the peripheral blood):</w:t>
            </w:r>
          </w:p>
          <w:p w14:paraId="77A4500F" w14:textId="77777777" w:rsidR="00CA4237" w:rsidRPr="004B7E15" w:rsidRDefault="00CA4237" w:rsidP="00CA4237">
            <w:pPr>
              <w:numPr>
                <w:ilvl w:val="0"/>
                <w:numId w:val="5"/>
              </w:numPr>
              <w:spacing w:line="360" w:lineRule="auto"/>
              <w:rPr>
                <w:color w:val="000000"/>
                <w:sz w:val="20"/>
                <w:szCs w:val="20"/>
              </w:rPr>
            </w:pPr>
            <w:r w:rsidRPr="004B7E15">
              <w:rPr>
                <w:color w:val="000000"/>
                <w:sz w:val="20"/>
                <w:szCs w:val="20"/>
              </w:rPr>
              <w:t>Hemoglobin &lt;90 g/L (in infants &lt;4 weeks: hemoglobin &lt;100 g/L)</w:t>
            </w:r>
          </w:p>
          <w:p w14:paraId="75A03B31" w14:textId="77777777" w:rsidR="00CA4237" w:rsidRPr="004B7E15" w:rsidRDefault="00CA4237" w:rsidP="00CA4237">
            <w:pPr>
              <w:numPr>
                <w:ilvl w:val="0"/>
                <w:numId w:val="5"/>
              </w:numPr>
              <w:spacing w:line="360" w:lineRule="auto"/>
              <w:rPr>
                <w:color w:val="000000"/>
                <w:sz w:val="20"/>
                <w:szCs w:val="20"/>
              </w:rPr>
            </w:pPr>
            <w:r w:rsidRPr="004B7E15">
              <w:rPr>
                <w:color w:val="000000"/>
                <w:sz w:val="20"/>
                <w:szCs w:val="20"/>
              </w:rPr>
              <w:t>Platelets &lt;100 x 10</w:t>
            </w:r>
            <w:r w:rsidRPr="004B7E15">
              <w:rPr>
                <w:color w:val="000000"/>
                <w:sz w:val="20"/>
                <w:szCs w:val="20"/>
                <w:vertAlign w:val="superscript"/>
              </w:rPr>
              <w:t>9</w:t>
            </w:r>
            <w:r w:rsidRPr="004B7E15">
              <w:rPr>
                <w:color w:val="000000"/>
                <w:sz w:val="20"/>
                <w:szCs w:val="20"/>
              </w:rPr>
              <w:t>/L</w:t>
            </w:r>
          </w:p>
          <w:p w14:paraId="1F0BCECC" w14:textId="77777777" w:rsidR="00CA4237" w:rsidRPr="004B7E15" w:rsidRDefault="00CA4237" w:rsidP="00CA4237">
            <w:pPr>
              <w:numPr>
                <w:ilvl w:val="0"/>
                <w:numId w:val="5"/>
              </w:numPr>
              <w:spacing w:line="360" w:lineRule="auto"/>
              <w:rPr>
                <w:color w:val="000000"/>
                <w:sz w:val="20"/>
                <w:szCs w:val="20"/>
              </w:rPr>
            </w:pPr>
            <w:r w:rsidRPr="004B7E15">
              <w:rPr>
                <w:color w:val="000000"/>
                <w:sz w:val="20"/>
                <w:szCs w:val="20"/>
              </w:rPr>
              <w:t>Neutrophils &lt;1.0 x 10</w:t>
            </w:r>
            <w:r w:rsidRPr="004B7E15">
              <w:rPr>
                <w:color w:val="000000"/>
                <w:sz w:val="20"/>
                <w:szCs w:val="20"/>
                <w:vertAlign w:val="superscript"/>
              </w:rPr>
              <w:t>9</w:t>
            </w:r>
            <w:r w:rsidRPr="004B7E15">
              <w:rPr>
                <w:color w:val="000000"/>
                <w:sz w:val="20"/>
                <w:szCs w:val="20"/>
              </w:rPr>
              <w:t>/L</w:t>
            </w:r>
          </w:p>
          <w:p w14:paraId="230935AA" w14:textId="77777777" w:rsidR="00CA4237" w:rsidRPr="004B7E15" w:rsidRDefault="00CA4237" w:rsidP="00CA4237">
            <w:pPr>
              <w:numPr>
                <w:ilvl w:val="0"/>
                <w:numId w:val="4"/>
              </w:numPr>
              <w:spacing w:line="360" w:lineRule="auto"/>
              <w:ind w:left="1440" w:hanging="360"/>
              <w:rPr>
                <w:color w:val="000000"/>
                <w:sz w:val="20"/>
                <w:szCs w:val="20"/>
              </w:rPr>
            </w:pPr>
            <w:r w:rsidRPr="004B7E15">
              <w:rPr>
                <w:color w:val="000000"/>
                <w:sz w:val="20"/>
                <w:szCs w:val="20"/>
              </w:rPr>
              <w:t>Hypertriglyceridemia and/or hypofibrinogenemia:</w:t>
            </w:r>
          </w:p>
          <w:p w14:paraId="335C6E29" w14:textId="77777777" w:rsidR="00CA4237" w:rsidRPr="004B7E15" w:rsidRDefault="00CA4237" w:rsidP="00CA4237">
            <w:pPr>
              <w:numPr>
                <w:ilvl w:val="0"/>
                <w:numId w:val="5"/>
              </w:numPr>
              <w:spacing w:line="360" w:lineRule="auto"/>
              <w:rPr>
                <w:color w:val="000000"/>
                <w:sz w:val="20"/>
                <w:szCs w:val="20"/>
              </w:rPr>
            </w:pPr>
            <w:r w:rsidRPr="004B7E15">
              <w:rPr>
                <w:color w:val="000000"/>
                <w:sz w:val="20"/>
                <w:szCs w:val="20"/>
              </w:rPr>
              <w:t>Fasting triglycerides ≥3.0 mmol/L (</w:t>
            </w:r>
            <w:r w:rsidRPr="004B7E15">
              <w:rPr>
                <w:i/>
                <w:iCs/>
                <w:color w:val="000000"/>
                <w:sz w:val="20"/>
                <w:szCs w:val="20"/>
              </w:rPr>
              <w:t>i.e.</w:t>
            </w:r>
            <w:r w:rsidRPr="004B7E15">
              <w:rPr>
                <w:color w:val="000000"/>
                <w:sz w:val="20"/>
                <w:szCs w:val="20"/>
              </w:rPr>
              <w:t>, ≥265 mg/dl)</w:t>
            </w:r>
          </w:p>
          <w:p w14:paraId="7BFAE598" w14:textId="77777777" w:rsidR="00CA4237" w:rsidRPr="004B7E15" w:rsidRDefault="00CA4237" w:rsidP="00CA4237">
            <w:pPr>
              <w:numPr>
                <w:ilvl w:val="0"/>
                <w:numId w:val="5"/>
              </w:numPr>
              <w:spacing w:line="360" w:lineRule="auto"/>
              <w:rPr>
                <w:color w:val="000000"/>
                <w:sz w:val="20"/>
                <w:szCs w:val="20"/>
              </w:rPr>
            </w:pPr>
            <w:r w:rsidRPr="004B7E15">
              <w:rPr>
                <w:color w:val="000000"/>
                <w:sz w:val="20"/>
                <w:szCs w:val="20"/>
              </w:rPr>
              <w:t>Fibrinogen ≤1.5 g/L</w:t>
            </w:r>
          </w:p>
          <w:p w14:paraId="6346FC17" w14:textId="77777777" w:rsidR="00CA4237" w:rsidRPr="004B7E15" w:rsidRDefault="00CA4237" w:rsidP="00CA4237">
            <w:pPr>
              <w:numPr>
                <w:ilvl w:val="0"/>
                <w:numId w:val="4"/>
              </w:numPr>
              <w:spacing w:line="360" w:lineRule="auto"/>
              <w:ind w:left="1440" w:hanging="360"/>
              <w:rPr>
                <w:color w:val="000000"/>
                <w:sz w:val="20"/>
                <w:szCs w:val="20"/>
              </w:rPr>
            </w:pPr>
            <w:r w:rsidRPr="004B7E15">
              <w:rPr>
                <w:color w:val="000000"/>
                <w:sz w:val="20"/>
                <w:szCs w:val="20"/>
              </w:rPr>
              <w:t xml:space="preserve">Hemophagocytosis in bone marrow or spleen or lymph nodes </w:t>
            </w:r>
            <w:r w:rsidRPr="004B7E15">
              <w:rPr>
                <w:color w:val="000000"/>
                <w:sz w:val="20"/>
                <w:szCs w:val="20"/>
                <w:vertAlign w:val="superscript"/>
              </w:rPr>
              <w:t>b</w:t>
            </w:r>
            <w:r w:rsidRPr="004B7E15">
              <w:rPr>
                <w:color w:val="000000"/>
                <w:sz w:val="20"/>
                <w:szCs w:val="20"/>
              </w:rPr>
              <w:t>. No evidence of malignancy.</w:t>
            </w:r>
          </w:p>
          <w:p w14:paraId="3541F292" w14:textId="77777777" w:rsidR="00CA4237" w:rsidRPr="004B7E15" w:rsidRDefault="00CA4237" w:rsidP="00CA4237">
            <w:pPr>
              <w:numPr>
                <w:ilvl w:val="0"/>
                <w:numId w:val="4"/>
              </w:numPr>
              <w:spacing w:line="360" w:lineRule="auto"/>
              <w:ind w:left="1440" w:hanging="360"/>
              <w:rPr>
                <w:color w:val="000000"/>
                <w:sz w:val="20"/>
                <w:szCs w:val="20"/>
              </w:rPr>
            </w:pPr>
            <w:r w:rsidRPr="004B7E15">
              <w:rPr>
                <w:color w:val="000000"/>
                <w:sz w:val="20"/>
                <w:szCs w:val="20"/>
              </w:rPr>
              <w:t>Low or absent NK-cell activity (according to local laboratory reference)</w:t>
            </w:r>
          </w:p>
          <w:p w14:paraId="3E039A50" w14:textId="77777777" w:rsidR="00CA4237" w:rsidRPr="004B7E15" w:rsidRDefault="00CA4237" w:rsidP="00CA4237">
            <w:pPr>
              <w:numPr>
                <w:ilvl w:val="0"/>
                <w:numId w:val="4"/>
              </w:numPr>
              <w:spacing w:line="360" w:lineRule="auto"/>
              <w:ind w:left="1440" w:hanging="360"/>
              <w:rPr>
                <w:color w:val="000000"/>
                <w:sz w:val="20"/>
                <w:szCs w:val="20"/>
              </w:rPr>
            </w:pPr>
            <w:r w:rsidRPr="004B7E15">
              <w:rPr>
                <w:color w:val="000000"/>
                <w:sz w:val="20"/>
                <w:szCs w:val="20"/>
              </w:rPr>
              <w:t>Ferritin ≥500 mg/L</w:t>
            </w:r>
          </w:p>
          <w:p w14:paraId="2B43CFA6" w14:textId="77777777" w:rsidR="00CA4237" w:rsidRPr="00DC03FB" w:rsidRDefault="00CA4237" w:rsidP="00CA4237">
            <w:pPr>
              <w:numPr>
                <w:ilvl w:val="0"/>
                <w:numId w:val="4"/>
              </w:numPr>
              <w:spacing w:line="360" w:lineRule="auto"/>
              <w:ind w:left="1440" w:hanging="360"/>
              <w:rPr>
                <w:color w:val="000000"/>
                <w:sz w:val="20"/>
                <w:szCs w:val="20"/>
                <w:lang w:val="fr-FR"/>
              </w:rPr>
            </w:pPr>
            <w:r w:rsidRPr="00DC03FB">
              <w:rPr>
                <w:color w:val="000000"/>
                <w:sz w:val="20"/>
                <w:szCs w:val="20"/>
                <w:lang w:val="fr-FR"/>
              </w:rPr>
              <w:t>Soluble CD25 (</w:t>
            </w:r>
            <w:r w:rsidRPr="00DC03FB">
              <w:rPr>
                <w:i/>
                <w:iCs/>
                <w:color w:val="000000"/>
                <w:sz w:val="20"/>
                <w:szCs w:val="20"/>
                <w:lang w:val="fr-FR"/>
              </w:rPr>
              <w:t>i.e.</w:t>
            </w:r>
            <w:r w:rsidRPr="00DC03FB">
              <w:rPr>
                <w:color w:val="000000"/>
                <w:sz w:val="20"/>
                <w:szCs w:val="20"/>
                <w:lang w:val="fr-FR"/>
              </w:rPr>
              <w:t>, soluble IL-2 receptor) ≥2,400 U/ml</w:t>
            </w:r>
          </w:p>
        </w:tc>
      </w:tr>
    </w:tbl>
    <w:p w14:paraId="057A0F69" w14:textId="278B3E4E" w:rsidR="00CA4237" w:rsidRPr="004B7E15" w:rsidRDefault="00CA4237" w:rsidP="00CA4237">
      <w:pPr>
        <w:pStyle w:val="Lgende"/>
        <w:keepNext/>
        <w:spacing w:before="240" w:line="480" w:lineRule="auto"/>
        <w:jc w:val="both"/>
        <w:rPr>
          <w:sz w:val="24"/>
          <w:szCs w:val="24"/>
        </w:rPr>
      </w:pPr>
      <w:r w:rsidRPr="004B7E15">
        <w:rPr>
          <w:sz w:val="24"/>
          <w:szCs w:val="24"/>
        </w:rPr>
        <w:t xml:space="preserve">Footnotes (Supplementary Table </w:t>
      </w:r>
      <w:r w:rsidR="0072796C">
        <w:rPr>
          <w:sz w:val="24"/>
          <w:szCs w:val="24"/>
        </w:rPr>
        <w:t>2</w:t>
      </w:r>
      <w:r w:rsidRPr="004B7E15">
        <w:rPr>
          <w:sz w:val="24"/>
          <w:szCs w:val="24"/>
        </w:rPr>
        <w:t>):</w:t>
      </w:r>
    </w:p>
    <w:p w14:paraId="36ADD25D" w14:textId="77777777" w:rsidR="00CA4237" w:rsidRPr="004B7E15" w:rsidRDefault="00CA4237" w:rsidP="00CA4237">
      <w:pPr>
        <w:pStyle w:val="Lgende"/>
        <w:keepNext/>
        <w:spacing w:line="480" w:lineRule="auto"/>
        <w:jc w:val="both"/>
        <w:rPr>
          <w:sz w:val="24"/>
          <w:szCs w:val="24"/>
        </w:rPr>
      </w:pPr>
      <w:r w:rsidRPr="004B7E15">
        <w:rPr>
          <w:sz w:val="24"/>
          <w:szCs w:val="24"/>
          <w:vertAlign w:val="superscript"/>
        </w:rPr>
        <w:t>a</w:t>
      </w:r>
      <w:r w:rsidRPr="004B7E15">
        <w:rPr>
          <w:sz w:val="24"/>
          <w:szCs w:val="24"/>
        </w:rPr>
        <w:t xml:space="preserve"> Molecular diagnosis relies on the detection of defective genes, such as the gene encoding perforin (PRF), in familial hemophagocytic lymphohistiocytosis.</w:t>
      </w:r>
    </w:p>
    <w:p w14:paraId="456BFB7F" w14:textId="77777777" w:rsidR="00CA4237" w:rsidRPr="004B7E15" w:rsidRDefault="00CA4237" w:rsidP="00CA4237">
      <w:pPr>
        <w:spacing w:line="480" w:lineRule="auto"/>
        <w:jc w:val="both"/>
        <w:rPr>
          <w:b/>
          <w:bCs/>
        </w:rPr>
      </w:pPr>
      <w:r w:rsidRPr="004B7E15">
        <w:rPr>
          <w:b/>
          <w:bCs/>
          <w:vertAlign w:val="superscript"/>
        </w:rPr>
        <w:t>b</w:t>
      </w:r>
      <w:r w:rsidRPr="004B7E15">
        <w:rPr>
          <w:b/>
          <w:bCs/>
        </w:rPr>
        <w:t xml:space="preserve"> If hemophagocytic activity is not proven at the time of presentation, further search for hemophagocytic activity is encouraged. If the bone marrow specimen is not conclusive, material may be obtained from other organs. Serial marrow aspirates over time may also be helpful.</w:t>
      </w:r>
    </w:p>
    <w:p w14:paraId="5A9C1C70" w14:textId="77777777" w:rsidR="00CA4237" w:rsidRPr="004B7E15" w:rsidRDefault="00CA4237" w:rsidP="00CA4237">
      <w:pPr>
        <w:spacing w:line="480" w:lineRule="auto"/>
        <w:jc w:val="both"/>
        <w:rPr>
          <w:b/>
          <w:bCs/>
        </w:rPr>
      </w:pPr>
      <w:r w:rsidRPr="004B7E15">
        <w:rPr>
          <w:b/>
          <w:bCs/>
        </w:rPr>
        <w:t xml:space="preserve">Other comments: The following findings may provide strong supportive evidence for the diagnosis: (a) spinal fluid pleocytosis (mononuclear cells) and/or elevated spinal fluid protein, (b) histological picture in the liver resembling chronic persistent hepatitis (biopsy). Other abnormal clinical and laboratory findings consistent with the diagnosis are: cerebromeningeal symptoms, lymph node </w:t>
      </w:r>
      <w:r w:rsidRPr="004B7E15">
        <w:rPr>
          <w:b/>
          <w:bCs/>
        </w:rPr>
        <w:lastRenderedPageBreak/>
        <w:t>enlargement, jaundice, edema, skin rash. Hepatic enzyme abnormalities, hypoproteinemia, hyponatremia, VLDL ↑, HDL ↓.</w:t>
      </w:r>
    </w:p>
    <w:p w14:paraId="31FBE4B5" w14:textId="77777777" w:rsidR="00CA4237" w:rsidRPr="004B7E15" w:rsidRDefault="00CA4237" w:rsidP="00CA4237">
      <w:pPr>
        <w:pStyle w:val="Lgende"/>
        <w:keepNext/>
        <w:spacing w:line="480" w:lineRule="auto"/>
        <w:jc w:val="both"/>
        <w:rPr>
          <w:b w:val="0"/>
          <w:bCs w:val="0"/>
          <w:sz w:val="24"/>
          <w:szCs w:val="24"/>
        </w:rPr>
      </w:pPr>
      <w:r w:rsidRPr="004B7E15">
        <w:rPr>
          <w:b w:val="0"/>
          <w:bCs w:val="0"/>
          <w:sz w:val="24"/>
          <w:szCs w:val="24"/>
        </w:rPr>
        <w:t>Abbreviations: CD, cluster of differentiation; HLH, hemophagocytic lymphohistiocytosis; HDL, high-density lipoprotein; NK, natural killer; VLDL, very-low-density lipoprotein.</w:t>
      </w:r>
    </w:p>
    <w:p w14:paraId="2781BC70" w14:textId="77777777" w:rsidR="00CA4237" w:rsidRPr="00DB6CFB" w:rsidRDefault="00CA4237" w:rsidP="00CA4237">
      <w:pPr>
        <w:spacing w:after="160" w:line="259" w:lineRule="auto"/>
        <w:rPr>
          <w:b/>
        </w:rPr>
      </w:pPr>
      <w:r w:rsidRPr="00CA4237">
        <w:rPr>
          <w:b/>
          <w:bCs/>
        </w:rPr>
        <w:br w:type="page"/>
      </w:r>
    </w:p>
    <w:p w14:paraId="3726CF82" w14:textId="77777777" w:rsidR="00CA4237" w:rsidRDefault="00CA4237" w:rsidP="00CA4237">
      <w:pPr>
        <w:spacing w:line="360" w:lineRule="auto"/>
        <w:ind w:right="425"/>
        <w:jc w:val="both"/>
      </w:pPr>
      <w:r w:rsidRPr="00E77CDE">
        <w:rPr>
          <w:b/>
          <w:bCs/>
          <w:sz w:val="28"/>
          <w:szCs w:val="28"/>
        </w:rPr>
        <w:t>Abbreviations</w:t>
      </w:r>
      <w:r w:rsidRPr="00E77CDE">
        <w:rPr>
          <w:sz w:val="28"/>
          <w:szCs w:val="28"/>
        </w:rPr>
        <w:t>:</w:t>
      </w:r>
      <w:r w:rsidRPr="004B7E15">
        <w:t xml:space="preserve"> </w:t>
      </w:r>
    </w:p>
    <w:p w14:paraId="76E54323" w14:textId="77777777" w:rsidR="00752A83" w:rsidRDefault="00CA4237" w:rsidP="00CA4237">
      <w:pPr>
        <w:spacing w:line="360" w:lineRule="auto"/>
        <w:ind w:right="425"/>
        <w:jc w:val="both"/>
      </w:pPr>
      <w:r w:rsidRPr="004B7E15">
        <w:t xml:space="preserve">ADAMTS13, a disintegrin and metalloprotease with thrombospondin type I repeats-13; AKI, acute kidney injury; ALL, acute lymphoblastic leukemia; AML, acute myeloid leukemia; APL, acute promyelocytic leukemia; ARDS, acute respiratory distress syndrome; ATRA, all-trans retinoic acid; ion. Ca2+, ionized calcium; CD, cluster of differentiation; CNS, central nervous system; DAT: direct antiglobulin test; DIC, disseminated intravascular coagulation ; DLBCL, diffuse large B-cell lymphoma; EBV, Epstein-Barr virus; eGFR, estimated glomerular filtration rate; FAB, French-American-British classification; FDP, fibrin degradation products; FLCs, free light chains; FLT3-ITD, FMS-like tyrosine kinase-3 internal tandem duplication; HCO, High-cutoff; HDL, high-density lipoprotein; HIV, human immunodeficiency virus; HLH, hemophagocytic lymphohistiocytosis; HSCT, hematopoietic stem cell transplantation; HUS, hemolytic uremic syndrome; HVS, hyperviscosity syndrome; ICU, intensive care unit; Ig, immunoglobulin ; IL, interleukin; INR, international normalized ratio; ISTH, </w:t>
      </w:r>
      <w:r w:rsidRPr="004B7E15">
        <w:rPr>
          <w:i/>
          <w:iCs/>
        </w:rPr>
        <w:t>International Society on Thrombosis and Haemostasis</w:t>
      </w:r>
      <w:r w:rsidRPr="004B7E15">
        <w:t xml:space="preserve">; JMHW, </w:t>
      </w:r>
      <w:r w:rsidRPr="004B7E15">
        <w:rPr>
          <w:i/>
          <w:iCs/>
        </w:rPr>
        <w:t>Japanese Ministry of Health and Welfare</w:t>
      </w:r>
      <w:r w:rsidRPr="004B7E15">
        <w:t>; K+, potassium; LCCN, Light-chain cast nephropathy; LDH, lactate dehydrogenase ; LMWH, low-molecular-weight heparin; LVEF, Left ventricular ejection fraction; MM, multiple myeloma; NA, not applicable; NK, natural killer; P, phosphorus; PT, prothrombin time; RBC, red blood cell; RRT, renal replacement therapy; s, second; TDT, tumor doubling times; TG, triglycerides; tiMAHA, tumor-induced microangiopathic hemolytic anemia; TLS, tumor lysis syndrome; TNF, tumor necrosis factor; TTP, thrombotic thrombocytopenic purpura; UFH, unfractionated Heparin; VLDL, very-low-density lipoprotein; VWF, von Willebrand factor.</w:t>
      </w:r>
    </w:p>
    <w:p w14:paraId="3C021236" w14:textId="77777777" w:rsidR="00752A83" w:rsidRDefault="00752A83" w:rsidP="00CA4237">
      <w:pPr>
        <w:spacing w:line="360" w:lineRule="auto"/>
        <w:ind w:right="425"/>
        <w:jc w:val="both"/>
      </w:pPr>
    </w:p>
    <w:p w14:paraId="61509B97" w14:textId="11CCE705" w:rsidR="00D564F8" w:rsidRPr="00CA4237" w:rsidRDefault="00752A83" w:rsidP="008C2B4F">
      <w:pPr>
        <w:rPr>
          <w:b/>
        </w:rPr>
      </w:pPr>
      <w:r>
        <w:rPr>
          <w:b/>
        </w:rPr>
        <w:fldChar w:fldCharType="begin"/>
      </w:r>
      <w:r>
        <w:rPr>
          <w:b/>
        </w:rPr>
        <w:instrText xml:space="preserve"> ADDIN EN.REFLIST </w:instrText>
      </w:r>
      <w:r>
        <w:rPr>
          <w:b/>
        </w:rPr>
        <w:fldChar w:fldCharType="end"/>
      </w:r>
    </w:p>
    <w:sectPr w:rsidR="00D564F8" w:rsidRPr="00CA4237" w:rsidSect="00F1469A">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08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15CD4" w14:textId="77777777" w:rsidR="00F1469A" w:rsidRDefault="00F1469A">
      <w:r>
        <w:separator/>
      </w:r>
    </w:p>
  </w:endnote>
  <w:endnote w:type="continuationSeparator" w:id="0">
    <w:p w14:paraId="12BA5BFF" w14:textId="77777777" w:rsidR="00F1469A" w:rsidRDefault="00F1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85F3A" w14:textId="77777777" w:rsidR="0010479B" w:rsidRDefault="0010479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147987"/>
      <w:docPartObj>
        <w:docPartGallery w:val="Page Numbers (Bottom of Page)"/>
        <w:docPartUnique/>
      </w:docPartObj>
    </w:sdtPr>
    <w:sdtEndPr/>
    <w:sdtContent>
      <w:p w14:paraId="74899792" w14:textId="5831DEDB" w:rsidR="0010479B" w:rsidRDefault="00060C69">
        <w:pPr>
          <w:pStyle w:val="Pieddepage"/>
          <w:jc w:val="center"/>
        </w:pPr>
        <w:r>
          <w:fldChar w:fldCharType="begin"/>
        </w:r>
        <w:r>
          <w:instrText>PAGE   \* MERGEFORMAT</w:instrText>
        </w:r>
        <w:r>
          <w:fldChar w:fldCharType="separate"/>
        </w:r>
        <w:r w:rsidRPr="00060C69">
          <w:rPr>
            <w:noProof/>
            <w:lang w:val="fr-FR"/>
          </w:rPr>
          <w:t>3</w:t>
        </w:r>
        <w:r>
          <w:fldChar w:fldCharType="end"/>
        </w:r>
      </w:p>
    </w:sdtContent>
  </w:sdt>
  <w:p w14:paraId="5D88A0AB" w14:textId="77777777" w:rsidR="0010479B" w:rsidRDefault="0010479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9A7B9" w14:textId="77777777" w:rsidR="0010479B" w:rsidRDefault="001047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FB43E" w14:textId="77777777" w:rsidR="00F1469A" w:rsidRDefault="00F1469A">
      <w:r>
        <w:separator/>
      </w:r>
    </w:p>
  </w:footnote>
  <w:footnote w:type="continuationSeparator" w:id="0">
    <w:p w14:paraId="28609FA1" w14:textId="77777777" w:rsidR="00F1469A" w:rsidRDefault="00F14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91126" w14:textId="77777777" w:rsidR="0010479B" w:rsidRDefault="0010479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5235B" w14:textId="77777777" w:rsidR="0010479B" w:rsidRDefault="0010479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6C7A9" w14:textId="77777777" w:rsidR="0010479B" w:rsidRDefault="0010479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2795"/>
    <w:multiLevelType w:val="hybridMultilevel"/>
    <w:tmpl w:val="FED48F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50E320F"/>
    <w:multiLevelType w:val="hybridMultilevel"/>
    <w:tmpl w:val="6A6E6072"/>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15:restartNumberingAfterBreak="0">
    <w:nsid w:val="41DF3D02"/>
    <w:multiLevelType w:val="hybridMultilevel"/>
    <w:tmpl w:val="6A608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DE24D7"/>
    <w:multiLevelType w:val="hybridMultilevel"/>
    <w:tmpl w:val="10FCFF62"/>
    <w:lvl w:ilvl="0" w:tplc="9B1E58D2">
      <w:start w:val="1"/>
      <w:numFmt w:val="bullet"/>
      <w:lvlText w:val="-"/>
      <w:lvlJc w:val="left"/>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74A35AFA"/>
    <w:multiLevelType w:val="hybridMultilevel"/>
    <w:tmpl w:val="0E6A5D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trwswzca0r9sea5xe5zv5u9ee5t9ewatfx&quot;&gt;Emergency chemetherapy_v3&lt;record-ids&gt;&lt;item&gt;73&lt;/item&gt;&lt;/record-ids&gt;&lt;/item&gt;&lt;/Libraries&gt;"/>
  </w:docVars>
  <w:rsids>
    <w:rsidRoot w:val="002B764E"/>
    <w:rsid w:val="00060C69"/>
    <w:rsid w:val="0010479B"/>
    <w:rsid w:val="002B764E"/>
    <w:rsid w:val="00373D03"/>
    <w:rsid w:val="006E6087"/>
    <w:rsid w:val="0072796C"/>
    <w:rsid w:val="00752A83"/>
    <w:rsid w:val="007B1393"/>
    <w:rsid w:val="008C2B4F"/>
    <w:rsid w:val="00CA4237"/>
    <w:rsid w:val="00D564F8"/>
    <w:rsid w:val="00E127F8"/>
    <w:rsid w:val="00F146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DF5A"/>
  <w15:chartTrackingRefBased/>
  <w15:docId w15:val="{130FB220-DCCA-438E-B41D-EADCF7AD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237"/>
    <w:pPr>
      <w:spacing w:after="0" w:line="240" w:lineRule="auto"/>
    </w:pPr>
    <w:rPr>
      <w:rFonts w:ascii="Times New Roman" w:eastAsia="Times New Roman" w:hAnsi="Times New Roman" w:cs="Times New Roman"/>
      <w:kern w:val="0"/>
      <w:sz w:val="24"/>
      <w:szCs w:val="24"/>
      <w:lang w:val="en-US"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qFormat/>
    <w:rsid w:val="00CA4237"/>
    <w:rPr>
      <w:b/>
      <w:bCs/>
      <w:sz w:val="20"/>
      <w:szCs w:val="20"/>
    </w:rPr>
  </w:style>
  <w:style w:type="paragraph" w:styleId="En-tte">
    <w:name w:val="header"/>
    <w:basedOn w:val="Normal"/>
    <w:link w:val="En-tteCar"/>
    <w:rsid w:val="00CA4237"/>
    <w:pPr>
      <w:tabs>
        <w:tab w:val="center" w:pos="4536"/>
        <w:tab w:val="right" w:pos="9072"/>
      </w:tabs>
    </w:pPr>
  </w:style>
  <w:style w:type="character" w:customStyle="1" w:styleId="En-tteCar">
    <w:name w:val="En-tête Car"/>
    <w:basedOn w:val="Policepardfaut"/>
    <w:link w:val="En-tte"/>
    <w:rsid w:val="00CA4237"/>
    <w:rPr>
      <w:rFonts w:ascii="Times New Roman" w:eastAsia="Times New Roman" w:hAnsi="Times New Roman" w:cs="Times New Roman"/>
      <w:kern w:val="0"/>
      <w:sz w:val="24"/>
      <w:szCs w:val="24"/>
      <w:lang w:val="en-US" w:eastAsia="fr-FR"/>
      <w14:ligatures w14:val="none"/>
    </w:rPr>
  </w:style>
  <w:style w:type="paragraph" w:styleId="Pieddepage">
    <w:name w:val="footer"/>
    <w:basedOn w:val="Normal"/>
    <w:link w:val="PieddepageCar"/>
    <w:uiPriority w:val="99"/>
    <w:rsid w:val="00CA4237"/>
    <w:pPr>
      <w:tabs>
        <w:tab w:val="center" w:pos="4536"/>
        <w:tab w:val="right" w:pos="9072"/>
      </w:tabs>
    </w:pPr>
  </w:style>
  <w:style w:type="character" w:customStyle="1" w:styleId="PieddepageCar">
    <w:name w:val="Pied de page Car"/>
    <w:basedOn w:val="Policepardfaut"/>
    <w:link w:val="Pieddepage"/>
    <w:uiPriority w:val="99"/>
    <w:rsid w:val="00CA4237"/>
    <w:rPr>
      <w:rFonts w:ascii="Times New Roman" w:eastAsia="Times New Roman" w:hAnsi="Times New Roman" w:cs="Times New Roman"/>
      <w:kern w:val="0"/>
      <w:sz w:val="24"/>
      <w:szCs w:val="24"/>
      <w:lang w:val="en-US" w:eastAsia="fr-FR"/>
      <w14:ligatures w14:val="none"/>
    </w:rPr>
  </w:style>
  <w:style w:type="character" w:styleId="Numrodeligne">
    <w:name w:val="line number"/>
    <w:basedOn w:val="Policepardfaut"/>
    <w:uiPriority w:val="99"/>
    <w:semiHidden/>
    <w:unhideWhenUsed/>
    <w:rsid w:val="00CA4237"/>
  </w:style>
  <w:style w:type="paragraph" w:customStyle="1" w:styleId="EndNoteBibliographyTitle">
    <w:name w:val="EndNote Bibliography Title"/>
    <w:basedOn w:val="Normal"/>
    <w:link w:val="EndNoteBibliographyTitleCar"/>
    <w:rsid w:val="00752A83"/>
    <w:pPr>
      <w:jc w:val="center"/>
    </w:pPr>
    <w:rPr>
      <w:noProof/>
      <w:lang w:val="fr-FR"/>
    </w:rPr>
  </w:style>
  <w:style w:type="character" w:customStyle="1" w:styleId="EndNoteBibliographyTitleCar">
    <w:name w:val="EndNote Bibliography Title Car"/>
    <w:basedOn w:val="Policepardfaut"/>
    <w:link w:val="EndNoteBibliographyTitle"/>
    <w:rsid w:val="00752A83"/>
    <w:rPr>
      <w:rFonts w:ascii="Times New Roman" w:eastAsia="Times New Roman" w:hAnsi="Times New Roman" w:cs="Times New Roman"/>
      <w:noProof/>
      <w:kern w:val="0"/>
      <w:sz w:val="24"/>
      <w:szCs w:val="24"/>
      <w:lang w:eastAsia="fr-FR"/>
      <w14:ligatures w14:val="none"/>
    </w:rPr>
  </w:style>
  <w:style w:type="paragraph" w:customStyle="1" w:styleId="EndNoteBibliography">
    <w:name w:val="EndNote Bibliography"/>
    <w:basedOn w:val="Normal"/>
    <w:link w:val="EndNoteBibliographyCar"/>
    <w:rsid w:val="00752A83"/>
    <w:pPr>
      <w:jc w:val="both"/>
    </w:pPr>
    <w:rPr>
      <w:noProof/>
      <w:lang w:val="fr-FR"/>
    </w:rPr>
  </w:style>
  <w:style w:type="character" w:customStyle="1" w:styleId="EndNoteBibliographyCar">
    <w:name w:val="EndNote Bibliography Car"/>
    <w:basedOn w:val="Policepardfaut"/>
    <w:link w:val="EndNoteBibliography"/>
    <w:rsid w:val="00752A83"/>
    <w:rPr>
      <w:rFonts w:ascii="Times New Roman" w:eastAsia="Times New Roman" w:hAnsi="Times New Roman" w:cs="Times New Roman"/>
      <w:noProof/>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4114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CLERE</dc:creator>
  <cp:keywords/>
  <dc:description/>
  <cp:lastModifiedBy>LAFARGE Antoine</cp:lastModifiedBy>
  <cp:revision>2</cp:revision>
  <dcterms:created xsi:type="dcterms:W3CDTF">2024-04-02T11:59:00Z</dcterms:created>
  <dcterms:modified xsi:type="dcterms:W3CDTF">2024-04-02T11:59:00Z</dcterms:modified>
</cp:coreProperties>
</file>