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5FB07" w14:textId="77777777" w:rsidR="008961BB" w:rsidRDefault="008961BB" w:rsidP="008961BB">
      <w:pPr>
        <w:jc w:val="center"/>
        <w:rPr>
          <w:rFonts w:ascii="Times New Roman" w:eastAsia="Times New Roman" w:hAnsi="Times New Roman" w:cs="Times New Roman"/>
          <w:b/>
        </w:rPr>
      </w:pPr>
      <w:r>
        <w:rPr>
          <w:rFonts w:ascii="Times New Roman" w:eastAsia="Times New Roman" w:hAnsi="Times New Roman" w:cs="Times New Roman"/>
          <w:b/>
        </w:rPr>
        <w:t>Intensive Care Medicine</w:t>
      </w:r>
    </w:p>
    <w:p w14:paraId="476BECC5" w14:textId="77777777" w:rsidR="008961BB" w:rsidRDefault="008961BB" w:rsidP="008961BB">
      <w:pPr>
        <w:jc w:val="center"/>
        <w:rPr>
          <w:rFonts w:ascii="Times New Roman" w:eastAsia="Times New Roman" w:hAnsi="Times New Roman" w:cs="Times New Roman"/>
          <w:b/>
        </w:rPr>
      </w:pPr>
      <w:r>
        <w:rPr>
          <w:rFonts w:ascii="Times New Roman" w:eastAsia="Times New Roman" w:hAnsi="Times New Roman" w:cs="Times New Roman"/>
          <w:b/>
        </w:rPr>
        <w:t>Electronic Supplementary Material 2</w:t>
      </w:r>
    </w:p>
    <w:p w14:paraId="1267285F" w14:textId="77777777" w:rsidR="008961BB" w:rsidRDefault="008961BB" w:rsidP="008961BB">
      <w:pPr>
        <w:jc w:val="center"/>
        <w:rPr>
          <w:rFonts w:ascii="Times New Roman" w:eastAsia="Times New Roman" w:hAnsi="Times New Roman" w:cs="Times New Roman"/>
          <w:b/>
        </w:rPr>
      </w:pPr>
    </w:p>
    <w:p w14:paraId="1A848015" w14:textId="77777777" w:rsidR="008961BB" w:rsidRDefault="008961BB" w:rsidP="008961BB">
      <w:pPr>
        <w:jc w:val="center"/>
        <w:rPr>
          <w:rFonts w:ascii="Times New Roman" w:eastAsia="Times New Roman" w:hAnsi="Times New Roman" w:cs="Times New Roman"/>
          <w:i/>
        </w:rPr>
      </w:pPr>
      <w:r>
        <w:rPr>
          <w:rFonts w:ascii="Times New Roman" w:eastAsia="Times New Roman" w:hAnsi="Times New Roman" w:cs="Times New Roman"/>
          <w:i/>
        </w:rPr>
        <w:t>Statistical Analysis Plan</w:t>
      </w:r>
    </w:p>
    <w:p w14:paraId="6832689D" w14:textId="77777777" w:rsidR="008961BB" w:rsidRDefault="008961BB" w:rsidP="008961BB">
      <w:pPr>
        <w:jc w:val="center"/>
        <w:rPr>
          <w:rFonts w:ascii="Times New Roman" w:eastAsia="Times New Roman" w:hAnsi="Times New Roman" w:cs="Times New Roman"/>
          <w:i/>
        </w:rPr>
      </w:pPr>
    </w:p>
    <w:p w14:paraId="70E437B5" w14:textId="77777777" w:rsidR="008961BB" w:rsidRDefault="008961BB" w:rsidP="008961BB">
      <w:pPr>
        <w:jc w:val="center"/>
        <w:rPr>
          <w:rFonts w:ascii="Times New Roman" w:eastAsia="Times New Roman" w:hAnsi="Times New Roman" w:cs="Times New Roman"/>
          <w:b/>
        </w:rPr>
      </w:pPr>
    </w:p>
    <w:p w14:paraId="7E3A1170" w14:textId="77777777" w:rsidR="008961BB" w:rsidRDefault="008961BB" w:rsidP="008961BB">
      <w:pPr>
        <w:snapToGrid w:val="0"/>
        <w:spacing w:line="480" w:lineRule="auto"/>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Efficacy of targeting high mean arterial pressure for older patients with septic shock (OPTPRESS): a multicentre, pragmatic, single-blind, randomised controlled trial</w:t>
      </w:r>
    </w:p>
    <w:p w14:paraId="14BBEB1A" w14:textId="77777777" w:rsidR="008961BB" w:rsidRDefault="008961BB" w:rsidP="008961BB">
      <w:pPr>
        <w:snapToGrid w:val="0"/>
        <w:spacing w:line="480" w:lineRule="auto"/>
        <w:rPr>
          <w:rFonts w:ascii="Times New Roman" w:eastAsia="Times New Roman" w:hAnsi="Times New Roman" w:cs="Times New Roman"/>
          <w:b/>
          <w:sz w:val="20"/>
        </w:rPr>
      </w:pPr>
    </w:p>
    <w:p w14:paraId="08371034" w14:textId="77777777" w:rsidR="008961BB" w:rsidRDefault="008961BB" w:rsidP="008961BB">
      <w:pPr>
        <w:snapToGrid w:val="0"/>
        <w:spacing w:line="480" w:lineRule="auto"/>
        <w:rPr>
          <w:rFonts w:ascii="Times New Roman" w:eastAsia="Times New Roman" w:hAnsi="Times New Roman" w:cs="Times New Roman"/>
          <w:b/>
          <w:sz w:val="20"/>
        </w:rPr>
      </w:pPr>
      <w:r>
        <w:rPr>
          <w:rFonts w:ascii="Times New Roman" w:eastAsia="Times New Roman" w:hAnsi="Times New Roman" w:cs="Times New Roman"/>
          <w:b/>
          <w:sz w:val="20"/>
        </w:rPr>
        <w:t>Authors:</w:t>
      </w:r>
    </w:p>
    <w:p w14:paraId="4375408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rPr>
        <w:t>Akira Endo, MD</w:t>
      </w:r>
      <w:r>
        <w:rPr>
          <w:rFonts w:ascii="Times New Roman" w:eastAsia="Times New Roman" w:hAnsi="Times New Roman" w:cs="Times New Roman"/>
          <w:sz w:val="20"/>
          <w:vertAlign w:val="superscript"/>
        </w:rPr>
        <w:t xml:space="preserve"> 1, 2</w:t>
      </w:r>
      <w:r>
        <w:rPr>
          <w:rFonts w:ascii="Times New Roman" w:eastAsia="Times New Roman" w:hAnsi="Times New Roman" w:cs="Times New Roman"/>
          <w:sz w:val="20"/>
        </w:rPr>
        <w:t>, Kazuma Yamakawa, MD</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Takashi Tagami, MD</w:t>
      </w:r>
      <w:r>
        <w:rPr>
          <w:rFonts w:ascii="Times New Roman" w:eastAsia="Times New Roman" w:hAnsi="Times New Roman" w:cs="Times New Roman"/>
          <w:sz w:val="20"/>
          <w:vertAlign w:val="superscript"/>
        </w:rPr>
        <w:t>4</w:t>
      </w:r>
      <w:r>
        <w:rPr>
          <w:rFonts w:ascii="Times New Roman" w:eastAsia="Times New Roman" w:hAnsi="Times New Roman" w:cs="Times New Roman"/>
          <w:sz w:val="20"/>
        </w:rPr>
        <w:t>, Yutaka Umemura, MD</w:t>
      </w:r>
      <w:r>
        <w:rPr>
          <w:rFonts w:ascii="Times New Roman" w:eastAsia="Times New Roman" w:hAnsi="Times New Roman" w:cs="Times New Roman"/>
          <w:sz w:val="20"/>
          <w:vertAlign w:val="superscript"/>
        </w:rPr>
        <w:t>5</w:t>
      </w:r>
      <w:r>
        <w:rPr>
          <w:rFonts w:ascii="Times New Roman" w:eastAsia="Times New Roman" w:hAnsi="Times New Roman" w:cs="Times New Roman"/>
          <w:sz w:val="20"/>
        </w:rPr>
        <w:t>, Takeshi Wada, MD</w:t>
      </w:r>
      <w:r>
        <w:rPr>
          <w:rFonts w:ascii="Times New Roman" w:eastAsia="Times New Roman" w:hAnsi="Times New Roman" w:cs="Times New Roman"/>
          <w:sz w:val="20"/>
          <w:vertAlign w:val="superscript"/>
        </w:rPr>
        <w:t>6</w:t>
      </w:r>
      <w:r>
        <w:rPr>
          <w:rFonts w:ascii="Times New Roman" w:eastAsia="Times New Roman" w:hAnsi="Times New Roman" w:cs="Times New Roman"/>
          <w:sz w:val="20"/>
        </w:rPr>
        <w:t>, Ryo Yamamoto, MD</w:t>
      </w: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Hiroki Nagasawa, MD</w:t>
      </w:r>
      <w:r>
        <w:rPr>
          <w:rFonts w:ascii="Times New Roman" w:eastAsia="Times New Roman" w:hAnsi="Times New Roman" w:cs="Times New Roman"/>
          <w:sz w:val="20"/>
          <w:vertAlign w:val="superscript"/>
        </w:rPr>
        <w:t>8</w:t>
      </w:r>
      <w:r>
        <w:rPr>
          <w:rFonts w:ascii="Times New Roman" w:eastAsia="Times New Roman" w:hAnsi="Times New Roman" w:cs="Times New Roman"/>
          <w:sz w:val="20"/>
        </w:rPr>
        <w:t>, Wataru Takayama, MD</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Masayuki Yagi, MD</w:t>
      </w:r>
      <w:r>
        <w:rPr>
          <w:rFonts w:ascii="Times New Roman" w:eastAsia="Times New Roman" w:hAnsi="Times New Roman" w:cs="Times New Roman"/>
          <w:sz w:val="20"/>
          <w:vertAlign w:val="superscript"/>
        </w:rPr>
        <w:t>9</w:t>
      </w:r>
      <w:r>
        <w:rPr>
          <w:rFonts w:ascii="Times New Roman" w:eastAsia="Times New Roman" w:hAnsi="Times New Roman" w:cs="Times New Roman"/>
          <w:sz w:val="20"/>
        </w:rPr>
        <w:t>, Kyosuke Takahashi, MD</w:t>
      </w:r>
      <w:r>
        <w:rPr>
          <w:rFonts w:ascii="Times New Roman" w:eastAsia="Times New Roman" w:hAnsi="Times New Roman" w:cs="Times New Roman"/>
          <w:sz w:val="20"/>
          <w:vertAlign w:val="superscript"/>
        </w:rPr>
        <w:t>10</w:t>
      </w:r>
      <w:r>
        <w:rPr>
          <w:rFonts w:ascii="Times New Roman" w:eastAsia="Times New Roman" w:hAnsi="Times New Roman" w:cs="Times New Roman"/>
          <w:sz w:val="20"/>
        </w:rPr>
        <w:t>, Mitsuaki Kojima, MD</w:t>
      </w:r>
      <w:r>
        <w:rPr>
          <w:rFonts w:ascii="Times New Roman" w:eastAsia="Times New Roman" w:hAnsi="Times New Roman" w:cs="Times New Roman"/>
          <w:sz w:val="20"/>
          <w:vertAlign w:val="superscript"/>
        </w:rPr>
        <w:t>2,11</w:t>
      </w:r>
      <w:r>
        <w:rPr>
          <w:rFonts w:ascii="Times New Roman" w:eastAsia="Times New Roman" w:hAnsi="Times New Roman" w:cs="Times New Roman"/>
          <w:sz w:val="20"/>
        </w:rPr>
        <w:t>, Chihiro Narita, MD</w:t>
      </w:r>
      <w:r>
        <w:rPr>
          <w:rFonts w:ascii="Times New Roman" w:eastAsia="Times New Roman" w:hAnsi="Times New Roman" w:cs="Times New Roman"/>
          <w:sz w:val="20"/>
          <w:vertAlign w:val="superscript"/>
        </w:rPr>
        <w:t>12</w:t>
      </w:r>
      <w:r>
        <w:rPr>
          <w:rFonts w:ascii="Times New Roman" w:eastAsia="Times New Roman" w:hAnsi="Times New Roman" w:cs="Times New Roman"/>
          <w:sz w:val="20"/>
        </w:rPr>
        <w:t>, Satoshi Kazuma, MD</w:t>
      </w:r>
      <w:r>
        <w:rPr>
          <w:rFonts w:ascii="Times New Roman" w:eastAsia="Times New Roman" w:hAnsi="Times New Roman" w:cs="Times New Roman"/>
          <w:sz w:val="20"/>
          <w:vertAlign w:val="superscript"/>
        </w:rPr>
        <w:t>13</w:t>
      </w:r>
      <w:r>
        <w:rPr>
          <w:rFonts w:ascii="Times New Roman" w:eastAsia="Times New Roman" w:hAnsi="Times New Roman" w:cs="Times New Roman"/>
          <w:sz w:val="20"/>
        </w:rPr>
        <w:t>, Jiro Takahashi, MD</w:t>
      </w:r>
      <w:r>
        <w:rPr>
          <w:rFonts w:ascii="Times New Roman" w:eastAsia="Times New Roman" w:hAnsi="Times New Roman" w:cs="Times New Roman"/>
          <w:sz w:val="20"/>
          <w:vertAlign w:val="superscript"/>
        </w:rPr>
        <w:t>14</w:t>
      </w:r>
      <w:r>
        <w:rPr>
          <w:rFonts w:ascii="Times New Roman" w:eastAsia="Times New Roman" w:hAnsi="Times New Roman" w:cs="Times New Roman"/>
          <w:sz w:val="20"/>
        </w:rPr>
        <w:t>, Atsushi Shiraishi, MD</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Masaki Todani, MD</w:t>
      </w:r>
      <w:r>
        <w:rPr>
          <w:rFonts w:ascii="Times New Roman" w:eastAsia="Times New Roman" w:hAnsi="Times New Roman" w:cs="Times New Roman"/>
          <w:sz w:val="20"/>
          <w:vertAlign w:val="superscript"/>
        </w:rPr>
        <w:t>16</w:t>
      </w:r>
      <w:r>
        <w:rPr>
          <w:rFonts w:ascii="Times New Roman" w:eastAsia="Times New Roman" w:hAnsi="Times New Roman" w:cs="Times New Roman"/>
          <w:sz w:val="20"/>
        </w:rPr>
        <w:t>, Masaki Nakane, MD</w:t>
      </w:r>
      <w:r>
        <w:rPr>
          <w:rFonts w:ascii="Times New Roman" w:eastAsia="Times New Roman" w:hAnsi="Times New Roman" w:cs="Times New Roman"/>
          <w:sz w:val="20"/>
          <w:vertAlign w:val="superscript"/>
        </w:rPr>
        <w:t>17</w:t>
      </w:r>
      <w:r>
        <w:rPr>
          <w:rFonts w:ascii="Times New Roman" w:eastAsia="Times New Roman" w:hAnsi="Times New Roman" w:cs="Times New Roman"/>
          <w:sz w:val="20"/>
        </w:rPr>
        <w:t>, Toshihiko Nagata, MD</w:t>
      </w:r>
      <w:r>
        <w:rPr>
          <w:rFonts w:ascii="Times New Roman" w:eastAsia="Times New Roman" w:hAnsi="Times New Roman" w:cs="Times New Roman"/>
          <w:sz w:val="20"/>
          <w:vertAlign w:val="superscript"/>
        </w:rPr>
        <w:t>18</w:t>
      </w:r>
      <w:r>
        <w:rPr>
          <w:rFonts w:ascii="Times New Roman" w:eastAsia="Times New Roman" w:hAnsi="Times New Roman" w:cs="Times New Roman"/>
          <w:sz w:val="20"/>
        </w:rPr>
        <w:t>, Shohei Tanaka, MD</w:t>
      </w:r>
      <w:r>
        <w:rPr>
          <w:rFonts w:ascii="Times New Roman" w:eastAsia="Times New Roman" w:hAnsi="Times New Roman" w:cs="Times New Roman"/>
          <w:sz w:val="20"/>
          <w:vertAlign w:val="superscript"/>
        </w:rPr>
        <w:t>19</w:t>
      </w:r>
      <w:r>
        <w:rPr>
          <w:rFonts w:ascii="Times New Roman" w:eastAsia="Times New Roman" w:hAnsi="Times New Roman" w:cs="Times New Roman"/>
          <w:sz w:val="20"/>
        </w:rPr>
        <w:t>, Yuta Yokokawa, MD</w:t>
      </w:r>
      <w:r>
        <w:rPr>
          <w:rFonts w:ascii="Times New Roman" w:eastAsia="Times New Roman" w:hAnsi="Times New Roman" w:cs="Times New Roman"/>
          <w:sz w:val="20"/>
          <w:vertAlign w:val="superscript"/>
        </w:rPr>
        <w:t>20</w:t>
      </w:r>
      <w:r>
        <w:rPr>
          <w:rFonts w:ascii="Times New Roman" w:eastAsia="Times New Roman" w:hAnsi="Times New Roman" w:cs="Times New Roman"/>
          <w:sz w:val="20"/>
        </w:rPr>
        <w:t>, Kunihiko Takahashi, PhD</w:t>
      </w:r>
      <w:r>
        <w:rPr>
          <w:rFonts w:ascii="Times New Roman" w:eastAsia="Times New Roman" w:hAnsi="Times New Roman" w:cs="Times New Roman"/>
          <w:sz w:val="20"/>
          <w:vertAlign w:val="superscript"/>
        </w:rPr>
        <w:t>21</w:t>
      </w:r>
      <w:r>
        <w:rPr>
          <w:rFonts w:ascii="Times New Roman" w:eastAsia="Times New Roman" w:hAnsi="Times New Roman" w:cs="Times New Roman"/>
          <w:sz w:val="20"/>
        </w:rPr>
        <w:t>, Haruka Ishikita, MD</w:t>
      </w:r>
      <w:r>
        <w:rPr>
          <w:rFonts w:ascii="Times New Roman" w:eastAsia="Times New Roman" w:hAnsi="Times New Roman" w:cs="Times New Roman"/>
          <w:sz w:val="20"/>
          <w:vertAlign w:val="superscript"/>
        </w:rPr>
        <w:t>1, 2</w:t>
      </w:r>
      <w:r>
        <w:rPr>
          <w:rFonts w:ascii="Times New Roman" w:eastAsia="Times New Roman" w:hAnsi="Times New Roman" w:cs="Times New Roman"/>
          <w:sz w:val="20"/>
        </w:rPr>
        <w:t>, Ryo Hisamune, MD</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Junichi Sasaki, MD</w:t>
      </w: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Ken-ichi Muramatsu, MD</w:t>
      </w:r>
      <w:r>
        <w:rPr>
          <w:rFonts w:ascii="Times New Roman" w:eastAsia="Times New Roman" w:hAnsi="Times New Roman" w:cs="Times New Roman"/>
          <w:sz w:val="20"/>
          <w:vertAlign w:val="superscript"/>
        </w:rPr>
        <w:t>8</w:t>
      </w:r>
      <w:r>
        <w:rPr>
          <w:rFonts w:ascii="Times New Roman" w:eastAsia="Times New Roman" w:hAnsi="Times New Roman" w:cs="Times New Roman"/>
          <w:sz w:val="20"/>
        </w:rPr>
        <w:t>, Hiroyuki Sonobe, MD</w:t>
      </w:r>
      <w:r>
        <w:rPr>
          <w:rFonts w:ascii="Times New Roman" w:eastAsia="Times New Roman" w:hAnsi="Times New Roman" w:cs="Times New Roman"/>
          <w:sz w:val="20"/>
          <w:vertAlign w:val="superscript"/>
        </w:rPr>
        <w:t>9</w:t>
      </w:r>
      <w:r>
        <w:rPr>
          <w:rFonts w:ascii="Times New Roman" w:eastAsia="Times New Roman" w:hAnsi="Times New Roman" w:cs="Times New Roman"/>
          <w:sz w:val="20"/>
        </w:rPr>
        <w:t>, Kazunobu Minami, MD</w:t>
      </w:r>
      <w:r>
        <w:rPr>
          <w:rFonts w:ascii="Times New Roman" w:eastAsia="Times New Roman" w:hAnsi="Times New Roman" w:cs="Times New Roman"/>
          <w:sz w:val="20"/>
          <w:vertAlign w:val="superscript"/>
        </w:rPr>
        <w:t>22</w:t>
      </w:r>
      <w:r>
        <w:rPr>
          <w:rFonts w:ascii="Times New Roman" w:eastAsia="Times New Roman" w:hAnsi="Times New Roman" w:cs="Times New Roman"/>
          <w:sz w:val="20"/>
        </w:rPr>
        <w:t>, Hiromasa Hoshi, MD</w:t>
      </w:r>
      <w:r>
        <w:rPr>
          <w:rFonts w:ascii="Times New Roman" w:eastAsia="Times New Roman" w:hAnsi="Times New Roman" w:cs="Times New Roman"/>
          <w:sz w:val="20"/>
          <w:vertAlign w:val="superscript"/>
        </w:rPr>
        <w:t>1, 2</w:t>
      </w:r>
      <w:r>
        <w:rPr>
          <w:rFonts w:ascii="Times New Roman" w:eastAsia="Times New Roman" w:hAnsi="Times New Roman" w:cs="Times New Roman"/>
          <w:sz w:val="20"/>
        </w:rPr>
        <w:t>, Yasuhiro Otomo, MD</w:t>
      </w:r>
      <w:r>
        <w:rPr>
          <w:rFonts w:ascii="Times New Roman" w:eastAsia="Times New Roman" w:hAnsi="Times New Roman" w:cs="Times New Roman"/>
          <w:sz w:val="20"/>
          <w:vertAlign w:val="superscript"/>
        </w:rPr>
        <w:t>2, 23</w:t>
      </w:r>
      <w:r>
        <w:rPr>
          <w:rFonts w:ascii="Times New Roman" w:eastAsia="Times New Roman" w:hAnsi="Times New Roman" w:cs="Times New Roman"/>
          <w:sz w:val="20"/>
        </w:rPr>
        <w:t>, on behalf of the OPTPRESS trial investigators</w:t>
      </w:r>
    </w:p>
    <w:p w14:paraId="043875C0" w14:textId="77777777" w:rsidR="008961BB" w:rsidRDefault="008961BB" w:rsidP="008961BB">
      <w:pPr>
        <w:rPr>
          <w:rFonts w:ascii="Times New Roman" w:eastAsia="Times New Roman" w:hAnsi="Times New Roman" w:cs="Times New Roman"/>
          <w:sz w:val="20"/>
        </w:rPr>
      </w:pPr>
    </w:p>
    <w:p w14:paraId="0509F4E9" w14:textId="77777777" w:rsidR="008961BB" w:rsidRDefault="008961BB" w:rsidP="008961BB">
      <w:pPr>
        <w:snapToGrid w:val="0"/>
        <w:spacing w:line="480" w:lineRule="auto"/>
        <w:rPr>
          <w:rFonts w:ascii="Times New Roman" w:eastAsia="Times New Roman" w:hAnsi="Times New Roman" w:cs="Times New Roman"/>
          <w:b/>
          <w:sz w:val="20"/>
        </w:rPr>
      </w:pPr>
      <w:r>
        <w:rPr>
          <w:rFonts w:ascii="Times New Roman" w:eastAsia="Times New Roman" w:hAnsi="Times New Roman" w:cs="Times New Roman"/>
          <w:b/>
          <w:sz w:val="20"/>
        </w:rPr>
        <w:t>Affiliation</w:t>
      </w:r>
      <w:r>
        <w:rPr>
          <w:rFonts w:ascii="Times New Roman" w:eastAsia="Times New Roman" w:hAnsi="Times New Roman" w:cs="Times New Roman"/>
          <w:sz w:val="20"/>
        </w:rPr>
        <w:t>s</w:t>
      </w:r>
      <w:r>
        <w:rPr>
          <w:rFonts w:ascii="Times New Roman" w:eastAsia="Times New Roman" w:hAnsi="Times New Roman" w:cs="Times New Roman"/>
          <w:b/>
          <w:sz w:val="20"/>
        </w:rPr>
        <w:t>:</w:t>
      </w:r>
    </w:p>
    <w:p w14:paraId="6A053DEC"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Department of Acute Critical Care Medicine, Tsuchiura Kyodo General Hospital</w:t>
      </w:r>
      <w:r>
        <w:rPr>
          <w:rFonts w:ascii="Times New Roman" w:eastAsia="Times New Roman" w:hAnsi="Times New Roman" w:cs="Times New Roman"/>
          <w:color w:val="000000"/>
          <w:sz w:val="20"/>
        </w:rPr>
        <w:t>, 4-1-1 Otsuno, Tsuchiura, Ibaraki, Japan</w:t>
      </w:r>
    </w:p>
    <w:p w14:paraId="6625782C"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Trauma and Acute Critical Care Center, Tokyo Medical and Dental University Hospital</w:t>
      </w:r>
      <w:r>
        <w:rPr>
          <w:rFonts w:ascii="Times New Roman" w:eastAsia="Times New Roman" w:hAnsi="Times New Roman" w:cs="Times New Roman"/>
          <w:color w:val="000000"/>
          <w:sz w:val="20"/>
        </w:rPr>
        <w:t>, 1-5-45 Yushima, Bunkyo, Tokyo, Japan</w:t>
      </w:r>
    </w:p>
    <w:p w14:paraId="46803056"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Department of Emergency and Critical Care Medicine, Osaka Medical and Pharmaceutical University, 2-7 Daigakumachi, Takatsuki, Osaka, Japan</w:t>
      </w:r>
    </w:p>
    <w:p w14:paraId="3ECB32DA"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4</w:t>
      </w:r>
      <w:r>
        <w:rPr>
          <w:rFonts w:ascii="Times New Roman" w:eastAsia="Times New Roman" w:hAnsi="Times New Roman" w:cs="Times New Roman"/>
          <w:sz w:val="20"/>
        </w:rPr>
        <w:t>Department of Emergency and Critical Care Medicine, Nippon Medical School Musashikosugi Hospital, 1-396 Kosugimachi, Nakahara-ku, Kawasaki, Kanagawa, Japan</w:t>
      </w:r>
    </w:p>
    <w:p w14:paraId="146AA658"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5</w:t>
      </w:r>
      <w:r>
        <w:rPr>
          <w:rFonts w:ascii="Times New Roman" w:eastAsia="Times New Roman" w:hAnsi="Times New Roman" w:cs="Times New Roman"/>
          <w:color w:val="000000"/>
          <w:sz w:val="20"/>
        </w:rPr>
        <w:t>Division of Trauma and Surgical Critical Care, Osaka General Medical Center, 3-1-56 Bandai-Higashi, Sumiyoshi, Osaka, Japan</w:t>
      </w:r>
    </w:p>
    <w:p w14:paraId="5A7C4CF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lastRenderedPageBreak/>
        <w:t>6</w:t>
      </w:r>
      <w:r>
        <w:rPr>
          <w:rFonts w:ascii="Times New Roman" w:eastAsia="Times New Roman" w:hAnsi="Times New Roman" w:cs="Times New Roman"/>
          <w:sz w:val="20"/>
        </w:rPr>
        <w:t>Division of Acute and Critical Care Medicine, Department of Anesthesiology and Critical Care Medicine, Faculty of Medicine, Hokkaido University</w:t>
      </w:r>
      <w:r>
        <w:rPr>
          <w:rFonts w:ascii="Times New Roman" w:eastAsia="Times New Roman" w:hAnsi="Times New Roman" w:cs="Times New Roman"/>
          <w:color w:val="000000"/>
          <w:sz w:val="20"/>
        </w:rPr>
        <w:t>, N15, W7, Kita-ku, Sapporo Japan.</w:t>
      </w:r>
    </w:p>
    <w:p w14:paraId="6DA0A49F"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Department of Emergency and Critical Care Medicine, Keio University School of Medicine</w:t>
      </w:r>
      <w:r>
        <w:rPr>
          <w:rFonts w:ascii="Times New Roman" w:eastAsia="Times New Roman" w:hAnsi="Times New Roman" w:cs="Times New Roman"/>
          <w:color w:val="000000"/>
          <w:sz w:val="20"/>
        </w:rPr>
        <w:t>, 35 Shinanomachi, Shinjuku, Tokyo, Japan.</w:t>
      </w:r>
    </w:p>
    <w:p w14:paraId="46D8574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8</w:t>
      </w:r>
      <w:r>
        <w:rPr>
          <w:rFonts w:ascii="Times New Roman" w:eastAsia="Times New Roman" w:hAnsi="Times New Roman" w:cs="Times New Roman"/>
          <w:sz w:val="20"/>
        </w:rPr>
        <w:t>Department of Acute Critical Care Medicine, Shizuoka Hospital, Juntendo University</w:t>
      </w:r>
      <w:r>
        <w:rPr>
          <w:rFonts w:ascii="Times New Roman" w:eastAsia="Times New Roman" w:hAnsi="Times New Roman" w:cs="Times New Roman"/>
          <w:color w:val="000000"/>
          <w:sz w:val="20"/>
        </w:rPr>
        <w:t>, 1129 Nagaoka, Izunokuni City, Shizuoka, Japan</w:t>
      </w:r>
    </w:p>
    <w:p w14:paraId="74983D3D"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9</w:t>
      </w:r>
      <w:r>
        <w:rPr>
          <w:rFonts w:ascii="Times New Roman" w:eastAsia="Times New Roman" w:hAnsi="Times New Roman" w:cs="Times New Roman"/>
          <w:sz w:val="20"/>
        </w:rPr>
        <w:t>Emergency Medicine and Acute Care Surgery, Matsudo City General Hospital</w:t>
      </w:r>
      <w:r>
        <w:rPr>
          <w:rFonts w:ascii="Times New Roman" w:eastAsia="Times New Roman" w:hAnsi="Times New Roman" w:cs="Times New Roman"/>
          <w:color w:val="000000"/>
          <w:sz w:val="20"/>
        </w:rPr>
        <w:t>, 993-1 Sendabori, Matsudo-shi, Chiba, Japan</w:t>
      </w:r>
    </w:p>
    <w:p w14:paraId="0F724B3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10</w:t>
      </w:r>
      <w:r>
        <w:rPr>
          <w:rFonts w:ascii="Times New Roman" w:eastAsia="Times New Roman" w:hAnsi="Times New Roman" w:cs="Times New Roman"/>
          <w:sz w:val="20"/>
        </w:rPr>
        <w:t>Emergency and Critical Care Center, Hyogo Prefectural Nishinomiya Hospital</w:t>
      </w:r>
      <w:r>
        <w:rPr>
          <w:rFonts w:ascii="Times New Roman" w:eastAsia="Times New Roman" w:hAnsi="Times New Roman" w:cs="Times New Roman"/>
          <w:color w:val="000000"/>
          <w:sz w:val="20"/>
        </w:rPr>
        <w:t>, 13-9, Rokutanjicho, Nishinomiya City, Hyogo, Japan</w:t>
      </w:r>
    </w:p>
    <w:p w14:paraId="2EBB5E35" w14:textId="77777777" w:rsidR="008961BB" w:rsidRDefault="008961BB" w:rsidP="008961BB">
      <w:pPr>
        <w:tabs>
          <w:tab w:val="left" w:pos="1035"/>
        </w:tabs>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11</w:t>
      </w:r>
      <w:r>
        <w:rPr>
          <w:rFonts w:ascii="Times New Roman" w:eastAsia="Times New Roman" w:hAnsi="Times New Roman" w:cs="Times New Roman"/>
          <w:sz w:val="20"/>
        </w:rPr>
        <w:t>Emergency and Critical Care Medicine, Tokyo Women’s Medical University Adachi Medical Center</w:t>
      </w:r>
      <w:r>
        <w:rPr>
          <w:rFonts w:ascii="Times New Roman" w:eastAsia="Times New Roman" w:hAnsi="Times New Roman" w:cs="Times New Roman"/>
          <w:color w:val="000000"/>
          <w:sz w:val="20"/>
        </w:rPr>
        <w:t>, 4</w:t>
      </w:r>
      <w:r>
        <w:rPr>
          <w:rFonts w:ascii="Times New Roman" w:eastAsia="Times New Roman" w:hAnsi="Times New Roman" w:cs="Times New Roman"/>
          <w:color w:val="000000"/>
          <w:sz w:val="20"/>
        </w:rPr>
        <w:noBreakHyphen/>
        <w:t>33</w:t>
      </w:r>
      <w:r>
        <w:rPr>
          <w:rFonts w:ascii="Times New Roman" w:eastAsia="Times New Roman" w:hAnsi="Times New Roman" w:cs="Times New Roman"/>
          <w:color w:val="000000"/>
          <w:sz w:val="20"/>
        </w:rPr>
        <w:noBreakHyphen/>
        <w:t>1 Kohoku, Adachi</w:t>
      </w:r>
      <w:r>
        <w:rPr>
          <w:rFonts w:ascii="Times New Roman" w:eastAsia="Times New Roman" w:hAnsi="Times New Roman" w:cs="Times New Roman"/>
          <w:color w:val="000000"/>
          <w:sz w:val="20"/>
        </w:rPr>
        <w:noBreakHyphen/>
        <w:t>ku, Tokyo, Japan</w:t>
      </w:r>
    </w:p>
    <w:p w14:paraId="6519F510"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12</w:t>
      </w:r>
      <w:r>
        <w:rPr>
          <w:rFonts w:ascii="Times New Roman" w:eastAsia="Times New Roman" w:hAnsi="Times New Roman" w:cs="Times New Roman"/>
          <w:sz w:val="20"/>
        </w:rPr>
        <w:t>Department of Emergency Medicine, Shizuoka General Hospital</w:t>
      </w:r>
      <w:r>
        <w:rPr>
          <w:rFonts w:ascii="Times New Roman" w:eastAsia="Times New Roman" w:hAnsi="Times New Roman" w:cs="Times New Roman"/>
          <w:color w:val="000000"/>
          <w:sz w:val="20"/>
        </w:rPr>
        <w:t>, 4-27-1 Kitaando, Aoiku, Shizuoka, Japan</w:t>
      </w:r>
    </w:p>
    <w:p w14:paraId="2FDB508A"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13</w:t>
      </w:r>
      <w:r>
        <w:rPr>
          <w:rFonts w:ascii="Times New Roman" w:eastAsia="Times New Roman" w:hAnsi="Times New Roman" w:cs="Times New Roman"/>
          <w:sz w:val="20"/>
        </w:rPr>
        <w:t>Department of Intensive Care Medicine, Sapporo Medical University School of Medicine</w:t>
      </w:r>
      <w:r>
        <w:rPr>
          <w:rFonts w:ascii="Times New Roman" w:eastAsia="Times New Roman" w:hAnsi="Times New Roman" w:cs="Times New Roman"/>
          <w:color w:val="000000"/>
          <w:sz w:val="20"/>
        </w:rPr>
        <w:t>, S1, W16, Chuo-ku, Sapporo, Hokkaido, Japan</w:t>
      </w:r>
    </w:p>
    <w:p w14:paraId="0BAD7CED"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14</w:t>
      </w:r>
      <w:r>
        <w:rPr>
          <w:rFonts w:ascii="Times New Roman" w:eastAsia="Times New Roman" w:hAnsi="Times New Roman" w:cs="Times New Roman"/>
          <w:sz w:val="20"/>
        </w:rPr>
        <w:t>Department of Acute Medicine, Kawasaki Medical School</w:t>
      </w:r>
      <w:r>
        <w:rPr>
          <w:rFonts w:ascii="Times New Roman" w:eastAsia="Times New Roman" w:hAnsi="Times New Roman" w:cs="Times New Roman"/>
          <w:color w:val="000000"/>
          <w:sz w:val="20"/>
        </w:rPr>
        <w:t>, 577 Matsushima, Kurashiki, Okayama, Japan.</w:t>
      </w:r>
    </w:p>
    <w:p w14:paraId="199E4BD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Emergency and Trauma Center, Kameda Medical Center</w:t>
      </w:r>
      <w:r>
        <w:rPr>
          <w:rFonts w:ascii="Times New Roman" w:eastAsia="Times New Roman" w:hAnsi="Times New Roman" w:cs="Times New Roman"/>
          <w:color w:val="000000"/>
          <w:sz w:val="20"/>
        </w:rPr>
        <w:t>, 929 Higashicho, Kamogawa, Chiba, Japan</w:t>
      </w:r>
    </w:p>
    <w:p w14:paraId="68CF61D9"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16</w:t>
      </w:r>
      <w:r>
        <w:rPr>
          <w:rFonts w:ascii="Times New Roman" w:eastAsia="Times New Roman" w:hAnsi="Times New Roman" w:cs="Times New Roman"/>
          <w:sz w:val="20"/>
        </w:rPr>
        <w:t>Emergency and Critical Care Medicine, Yamaguchi University</w:t>
      </w:r>
      <w:r>
        <w:rPr>
          <w:rFonts w:ascii="Times New Roman" w:eastAsia="Times New Roman" w:hAnsi="Times New Roman" w:cs="Times New Roman"/>
          <w:color w:val="000000"/>
          <w:sz w:val="20"/>
        </w:rPr>
        <w:t>, 1-1-1 Minami-Kogushi, Ube, Yamaguchi, Japan</w:t>
      </w:r>
    </w:p>
    <w:p w14:paraId="76E9A243"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17</w:t>
      </w:r>
      <w:r>
        <w:rPr>
          <w:rFonts w:ascii="Times New Roman" w:eastAsia="Times New Roman" w:hAnsi="Times New Roman" w:cs="Times New Roman"/>
          <w:sz w:val="20"/>
        </w:rPr>
        <w:t>Department of Emergency and Critical Care Medicine, Yamagata University Hospital</w:t>
      </w:r>
      <w:r>
        <w:rPr>
          <w:rFonts w:ascii="Times New Roman" w:eastAsia="Times New Roman" w:hAnsi="Times New Roman" w:cs="Times New Roman"/>
          <w:color w:val="000000"/>
          <w:sz w:val="20"/>
        </w:rPr>
        <w:t>, 2-2-2 Iida-nishi, Yamagata, Japan</w:t>
      </w:r>
    </w:p>
    <w:p w14:paraId="7C02DBC6"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18</w:t>
      </w:r>
      <w:r>
        <w:rPr>
          <w:rFonts w:ascii="Times New Roman" w:eastAsia="Times New Roman" w:hAnsi="Times New Roman" w:cs="Times New Roman"/>
          <w:sz w:val="20"/>
        </w:rPr>
        <w:t>Department of Emergency and Critical Care Medicine, Yodogawa Christian Hospital, 1-7-50, Kunijima, Higashi-Yodogawa, Osaka, Japan</w:t>
      </w:r>
    </w:p>
    <w:p w14:paraId="14B6294D"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19</w:t>
      </w:r>
      <w:r>
        <w:rPr>
          <w:rFonts w:ascii="Times New Roman" w:eastAsia="Times New Roman" w:hAnsi="Times New Roman" w:cs="Times New Roman"/>
          <w:sz w:val="20"/>
        </w:rPr>
        <w:t>Department of Emergency Medicine, Sunagawa City Medical Center</w:t>
      </w:r>
      <w:r>
        <w:rPr>
          <w:rFonts w:ascii="Times New Roman" w:eastAsia="Times New Roman" w:hAnsi="Times New Roman" w:cs="Times New Roman"/>
          <w:color w:val="000000"/>
          <w:sz w:val="20"/>
        </w:rPr>
        <w:t>, 3-1-1 Nishi 4-jo Kita, Sunagawa, Hokkaido, Japan.</w:t>
      </w:r>
    </w:p>
    <w:p w14:paraId="2B5B37E1"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20</w:t>
      </w:r>
      <w:r>
        <w:rPr>
          <w:rFonts w:ascii="Times New Roman" w:eastAsia="Times New Roman" w:hAnsi="Times New Roman" w:cs="Times New Roman"/>
          <w:sz w:val="20"/>
        </w:rPr>
        <w:t>Division of Emergency and Critical Care Medicine, Tohoku University Graduate School of Medicine</w:t>
      </w:r>
      <w:r>
        <w:rPr>
          <w:rFonts w:ascii="Times New Roman" w:eastAsia="Times New Roman" w:hAnsi="Times New Roman" w:cs="Times New Roman"/>
          <w:color w:val="000000"/>
          <w:sz w:val="20"/>
        </w:rPr>
        <w:t>, 1-1 Seiryocho, Aoba-ku, Sendai, Miyagi, Japan</w:t>
      </w:r>
    </w:p>
    <w:p w14:paraId="657B8276" w14:textId="77777777" w:rsidR="008961BB" w:rsidRDefault="008961BB" w:rsidP="008961BB">
      <w:pPr>
        <w:snapToGrid w:val="0"/>
        <w:spacing w:line="480" w:lineRule="auto"/>
        <w:rPr>
          <w:rFonts w:ascii="Times New Roman" w:eastAsia="Times New Roman" w:hAnsi="Times New Roman" w:cs="Times New Roman"/>
          <w:sz w:val="20"/>
          <w:vertAlign w:val="superscript"/>
        </w:rPr>
      </w:pPr>
      <w:r>
        <w:rPr>
          <w:rFonts w:ascii="Times New Roman" w:eastAsia="Times New Roman" w:hAnsi="Times New Roman" w:cs="Times New Roman"/>
          <w:sz w:val="20"/>
          <w:vertAlign w:val="superscript"/>
        </w:rPr>
        <w:lastRenderedPageBreak/>
        <w:t>21</w:t>
      </w:r>
      <w:r>
        <w:rPr>
          <w:rFonts w:ascii="Times New Roman" w:eastAsia="Times New Roman" w:hAnsi="Times New Roman" w:cs="Times New Roman"/>
          <w:sz w:val="20"/>
        </w:rPr>
        <w:t>Department of Biostatistics, M&amp;D Data Science Center, Tokyo Medical and Dental University</w:t>
      </w:r>
      <w:r>
        <w:rPr>
          <w:rFonts w:ascii="Times New Roman" w:eastAsia="Times New Roman" w:hAnsi="Times New Roman" w:cs="Times New Roman"/>
          <w:color w:val="000000"/>
          <w:sz w:val="20"/>
        </w:rPr>
        <w:t>, 1-5-45 Yushima, Bunkyo, Tokyo, Japan</w:t>
      </w:r>
    </w:p>
    <w:p w14:paraId="4E48CCE5"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22</w:t>
      </w:r>
      <w:r>
        <w:rPr>
          <w:rFonts w:ascii="Times New Roman" w:eastAsia="Times New Roman" w:hAnsi="Times New Roman" w:cs="Times New Roman"/>
          <w:sz w:val="20"/>
        </w:rPr>
        <w:t>Department of Intensive Care Medicine, Kameda Medical Center</w:t>
      </w:r>
      <w:r>
        <w:rPr>
          <w:rFonts w:ascii="Times New Roman" w:eastAsia="Times New Roman" w:hAnsi="Times New Roman" w:cs="Times New Roman"/>
          <w:color w:val="000000"/>
          <w:sz w:val="20"/>
        </w:rPr>
        <w:t>, 929 Higashicho, Kamogawa, Chiba, Japan</w:t>
      </w:r>
    </w:p>
    <w:p w14:paraId="59E959D6"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23</w:t>
      </w:r>
      <w:r>
        <w:rPr>
          <w:rFonts w:ascii="Times New Roman" w:eastAsia="Times New Roman" w:hAnsi="Times New Roman" w:cs="Times New Roman"/>
          <w:sz w:val="20"/>
        </w:rPr>
        <w:t>Department of Trauma and Critical Care Medicine, National Hospital Organization Disaster Medical Center, 3256, Midori-cho, Tachikawa, Tokyo, Japan</w:t>
      </w:r>
    </w:p>
    <w:p w14:paraId="68284F1D" w14:textId="77777777" w:rsidR="008961BB" w:rsidRDefault="008961BB" w:rsidP="008961BB">
      <w:pPr>
        <w:rPr>
          <w:rFonts w:ascii="Times New Roman" w:eastAsia="Times New Roman" w:hAnsi="Times New Roman" w:cs="Times New Roman"/>
          <w:sz w:val="20"/>
        </w:rPr>
      </w:pPr>
    </w:p>
    <w:p w14:paraId="6D700CB6" w14:textId="77777777" w:rsidR="008961BB" w:rsidRDefault="008961BB" w:rsidP="008961BB">
      <w:pPr>
        <w:rPr>
          <w:rFonts w:ascii="Times New Roman" w:eastAsia="Times New Roman" w:hAnsi="Times New Roman" w:cs="Times New Roman"/>
          <w:sz w:val="20"/>
        </w:rPr>
      </w:pPr>
    </w:p>
    <w:p w14:paraId="7EA481A6" w14:textId="77777777" w:rsidR="008961BB" w:rsidRDefault="008961BB" w:rsidP="008961BB">
      <w:pPr>
        <w:snapToGrid w:val="0"/>
        <w:spacing w:line="480" w:lineRule="auto"/>
        <w:rPr>
          <w:rFonts w:ascii="Times New Roman" w:eastAsia="Times New Roman" w:hAnsi="Times New Roman" w:cs="Times New Roman"/>
          <w:b/>
          <w:sz w:val="20"/>
        </w:rPr>
      </w:pPr>
      <w:r>
        <w:rPr>
          <w:rFonts w:ascii="Times New Roman" w:eastAsia="Times New Roman" w:hAnsi="Times New Roman" w:cs="Times New Roman"/>
          <w:b/>
          <w:sz w:val="20"/>
        </w:rPr>
        <w:t>Correspondence to:</w:t>
      </w:r>
    </w:p>
    <w:p w14:paraId="080EADED"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rPr>
        <w:t>Akira Endo, MD, PhD</w:t>
      </w:r>
    </w:p>
    <w:p w14:paraId="363310E0"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rPr>
        <w:t xml:space="preserve">Department of Acute Critical Care Medicine, Tsuchiura Kyodo General Hospital, 4-1-1 Otsuno, Tsuchiura, Ibaraki, Japan </w:t>
      </w:r>
    </w:p>
    <w:p w14:paraId="601B288E" w14:textId="77777777" w:rsidR="008961BB" w:rsidRDefault="008961BB" w:rsidP="008961BB">
      <w:pPr>
        <w:snapToGrid w:val="0"/>
        <w:spacing w:line="480" w:lineRule="auto"/>
        <w:rPr>
          <w:rFonts w:ascii="Times New Roman" w:eastAsia="Times New Roman" w:hAnsi="Times New Roman" w:cs="Times New Roman"/>
          <w:sz w:val="20"/>
        </w:rPr>
      </w:pPr>
      <w:r>
        <w:rPr>
          <w:rFonts w:ascii="Times New Roman" w:eastAsia="Times New Roman" w:hAnsi="Times New Roman" w:cs="Times New Roman"/>
          <w:sz w:val="20"/>
        </w:rPr>
        <w:t>Department of Acute Critical Care and Disaster Medicine, Tokyo Medical and Dental University Graduate School of Medicine and Dental Sciences</w:t>
      </w:r>
      <w:r>
        <w:rPr>
          <w:rFonts w:ascii="Times New Roman" w:eastAsia="Times New Roman" w:hAnsi="Times New Roman" w:cs="Times New Roman"/>
          <w:color w:val="000000"/>
          <w:sz w:val="20"/>
        </w:rPr>
        <w:t xml:space="preserve">, 1-5-45 Yushima, Bunkyo, Tokyo, Japan </w:t>
      </w:r>
    </w:p>
    <w:p w14:paraId="0CEFBEDC" w14:textId="77777777" w:rsidR="008961BB" w:rsidRDefault="008961BB" w:rsidP="008961BB">
      <w:pPr>
        <w:snapToGrid w:val="0"/>
        <w:spacing w:line="48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Tel: +81-3-3813-6111</w:t>
      </w:r>
    </w:p>
    <w:p w14:paraId="6479A748" w14:textId="77777777" w:rsidR="008961BB" w:rsidRDefault="008961BB" w:rsidP="008961BB">
      <w:pPr>
        <w:snapToGrid w:val="0"/>
        <w:spacing w:line="48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E-mail: </w:t>
      </w:r>
      <w:hyperlink r:id="rId6" w:history="1">
        <w:r>
          <w:rPr>
            <w:rStyle w:val="ad"/>
            <w:rFonts w:ascii="Times New Roman" w:eastAsia="Times New Roman" w:hAnsi="Times New Roman" w:cs="Times New Roman"/>
            <w:sz w:val="20"/>
          </w:rPr>
          <w:t>akira.endo.0112@gmail.com</w:t>
        </w:r>
      </w:hyperlink>
    </w:p>
    <w:p w14:paraId="2A135930" w14:textId="77777777" w:rsidR="008961BB" w:rsidRDefault="008961BB" w:rsidP="008961BB">
      <w:pP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br w:type="page"/>
      </w:r>
    </w:p>
    <w:p w14:paraId="43514CB8" w14:textId="77777777" w:rsidR="008961BB" w:rsidRDefault="008961BB" w:rsidP="008961BB">
      <w:pPr>
        <w:ind w:right="-22"/>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lastRenderedPageBreak/>
        <w:t>Revision history</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3969"/>
        <w:gridCol w:w="3118"/>
      </w:tblGrid>
      <w:tr w:rsidR="008961BB" w14:paraId="65E4E65A" w14:textId="77777777" w:rsidTr="00772551">
        <w:trPr>
          <w:trHeight w:val="319"/>
          <w:jc w:val="center"/>
        </w:trPr>
        <w:tc>
          <w:tcPr>
            <w:tcW w:w="1555" w:type="dxa"/>
            <w:vAlign w:val="center"/>
          </w:tcPr>
          <w:p w14:paraId="20F91739"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Edition number</w:t>
            </w:r>
          </w:p>
        </w:tc>
        <w:tc>
          <w:tcPr>
            <w:tcW w:w="3969" w:type="dxa"/>
            <w:vAlign w:val="center"/>
          </w:tcPr>
          <w:p w14:paraId="0EFC9A29"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Edition dates</w:t>
            </w:r>
          </w:p>
        </w:tc>
        <w:tc>
          <w:tcPr>
            <w:tcW w:w="3118" w:type="dxa"/>
            <w:vAlign w:val="center"/>
          </w:tcPr>
          <w:p w14:paraId="0BB2D011"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Revision content</w:t>
            </w:r>
          </w:p>
        </w:tc>
      </w:tr>
      <w:tr w:rsidR="008961BB" w14:paraId="286CEFEC" w14:textId="77777777" w:rsidTr="00772551">
        <w:trPr>
          <w:trHeight w:val="319"/>
          <w:jc w:val="center"/>
        </w:trPr>
        <w:tc>
          <w:tcPr>
            <w:tcW w:w="1555" w:type="dxa"/>
            <w:vAlign w:val="center"/>
          </w:tcPr>
          <w:p w14:paraId="19660428"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1∙0</w:t>
            </w:r>
          </w:p>
        </w:tc>
        <w:tc>
          <w:tcPr>
            <w:tcW w:w="3969" w:type="dxa"/>
            <w:vAlign w:val="center"/>
          </w:tcPr>
          <w:p w14:paraId="79BA36DD"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November 24, 2020</w:t>
            </w:r>
          </w:p>
        </w:tc>
        <w:tc>
          <w:tcPr>
            <w:tcW w:w="3118" w:type="dxa"/>
            <w:vAlign w:val="center"/>
          </w:tcPr>
          <w:p w14:paraId="77D7AF4C" w14:textId="77777777" w:rsidR="008961BB" w:rsidRDefault="008961BB" w:rsidP="00772551">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First edition</w:t>
            </w:r>
          </w:p>
        </w:tc>
      </w:tr>
    </w:tbl>
    <w:p w14:paraId="763CE734" w14:textId="77777777" w:rsidR="008961BB" w:rsidRDefault="008961BB" w:rsidP="008961BB">
      <w:pPr>
        <w:rPr>
          <w:rFonts w:ascii="Times New Roman" w:eastAsia="Times New Roman" w:hAnsi="Times New Roman" w:cs="Times New Roman"/>
          <w:sz w:val="20"/>
        </w:rPr>
      </w:pPr>
    </w:p>
    <w:p w14:paraId="197EB81E"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b/>
          <w:sz w:val="20"/>
        </w:rPr>
        <w:t>1. Objectives</w:t>
      </w:r>
    </w:p>
    <w:p w14:paraId="2D6A24E6" w14:textId="4230D3AC"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This protocol defines the terms needed for the statistical analysis of ‘Early stage blood pressure management strategies for older patients with septic shock: a multicentre randomised controlled trial’ (UMIN-CTR trial ID: UMIN000041775) and describes the analytical methods used and their rationale.</w:t>
      </w:r>
    </w:p>
    <w:p w14:paraId="5C1668C4" w14:textId="77777777" w:rsidR="008961BB" w:rsidRDefault="008961BB" w:rsidP="008961BB">
      <w:pPr>
        <w:rPr>
          <w:rFonts w:ascii="Times New Roman" w:eastAsia="Times New Roman" w:hAnsi="Times New Roman" w:cs="Times New Roman"/>
          <w:sz w:val="20"/>
        </w:rPr>
      </w:pPr>
    </w:p>
    <w:p w14:paraId="62BDFF8B"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2. Endpoints</w:t>
      </w:r>
    </w:p>
    <w:p w14:paraId="2E015742"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2.1. Primary endpoint</w:t>
      </w:r>
    </w:p>
    <w:p w14:paraId="047D37B4"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1. All-cause mortality at 90 days after randomisation</w:t>
      </w:r>
    </w:p>
    <w:p w14:paraId="52CE94C2"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2.2. Secondary endpoints</w:t>
      </w:r>
    </w:p>
    <w:p w14:paraId="5A2DC24C" w14:textId="02C4F3F5"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 xml:space="preserve">1. Lactate clearance at 24 </w:t>
      </w:r>
      <w:r>
        <w:rPr>
          <w:rFonts w:ascii="Times New Roman" w:eastAsia="Times New Roman" w:hAnsi="Times New Roman" w:cs="Times New Roman"/>
          <w:sz w:val="20"/>
        </w:rPr>
        <w:t>h</w:t>
      </w:r>
      <w:r>
        <w:rPr>
          <w:rFonts w:ascii="Times New Roman" w:eastAsia="Times New Roman" w:hAnsi="Times New Roman" w:cs="Times New Roman"/>
          <w:sz w:val="20"/>
        </w:rPr>
        <w:t xml:space="preserve"> based on calculated lactate levels at and 24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 randomisation</w:t>
      </w:r>
    </w:p>
    <w:p w14:paraId="2883C610" w14:textId="33EF60D0"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 xml:space="preserve">2. Incidence of arrhythmia (ventricular tachycardia, supraventricular arrhythmia affecting patient haemodynamics)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62520F3B" w14:textId="24A1A6F8"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 xml:space="preserve">3. Incidence of thromboembolism (myocardial infarction, cerebral infarction, intestinal necrosis, irreversible ischaemia of peripheral limbs)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011F25DA" w14:textId="5BD72B8D"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 xml:space="preserve">4. Incidence of haemorrhagic events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22FBC063"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5. All-cause mortality 28 days after allocation</w:t>
      </w:r>
    </w:p>
    <w:p w14:paraId="2F10658B"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6. Mortality from sepsis 28 days after allocation</w:t>
      </w:r>
    </w:p>
    <w:p w14:paraId="231440BB"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7. Ventilator-free days at 28 days</w:t>
      </w:r>
    </w:p>
    <w:p w14:paraId="5B03FCBE"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8. Renal replacement therapy-free days at 28 days</w:t>
      </w:r>
    </w:p>
    <w:p w14:paraId="4303ED10"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9. Catecholamines-free days at 28 days</w:t>
      </w:r>
    </w:p>
    <w:p w14:paraId="08AA4D7E"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10. Mortality from sepsis at 90 days</w:t>
      </w:r>
    </w:p>
    <w:p w14:paraId="086B839D" w14:textId="77777777" w:rsidR="008961BB" w:rsidRDefault="008961BB" w:rsidP="008961BB">
      <w:pPr>
        <w:ind w:left="240"/>
        <w:rPr>
          <w:rFonts w:ascii="Times New Roman" w:eastAsia="Times New Roman" w:hAnsi="Times New Roman" w:cs="Times New Roman"/>
          <w:sz w:val="20"/>
        </w:rPr>
      </w:pPr>
      <w:r>
        <w:rPr>
          <w:rFonts w:ascii="Times New Roman" w:eastAsia="Times New Roman" w:hAnsi="Times New Roman" w:cs="Times New Roman"/>
          <w:sz w:val="20"/>
        </w:rPr>
        <w:t>11. Change in clinical frailty scale 90 days after allocation</w:t>
      </w:r>
    </w:p>
    <w:p w14:paraId="1FA4D14A" w14:textId="77777777" w:rsidR="008961BB" w:rsidRDefault="008961BB" w:rsidP="008961BB">
      <w:pPr>
        <w:rPr>
          <w:rFonts w:ascii="Times New Roman" w:eastAsia="Times New Roman" w:hAnsi="Times New Roman" w:cs="Times New Roman"/>
          <w:sz w:val="20"/>
        </w:rPr>
      </w:pPr>
    </w:p>
    <w:p w14:paraId="10FDC0A7"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3. Handling of the analysis set and patients</w:t>
      </w:r>
    </w:p>
    <w:p w14:paraId="71D4860E"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3.1. Analysis set</w:t>
      </w:r>
    </w:p>
    <w:p w14:paraId="0127BA8E" w14:textId="24B07051"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The intention-to-treat population includes all registered and randomised patients who meet the eligibility criteria for the trial protocol. Patients who do not provide informed consent, those with misregistrations due to operational errors, and duplicate patients are excluded from the study. The per-protocol set is a subset of the intention-to-treat population that includes patients who undergo at least one intervention to </w:t>
      </w:r>
      <w:r>
        <w:rPr>
          <w:rFonts w:ascii="Times New Roman" w:eastAsia="Times New Roman" w:hAnsi="Times New Roman" w:cs="Times New Roman"/>
          <w:sz w:val="20"/>
        </w:rPr>
        <w:lastRenderedPageBreak/>
        <w:t>raise blood pressure using vasopressors or fluid replacement, excluding those who violate the inclusion or exclusion criteria. Patients who undergo protocol therapy at least once will be included in the safety analysis. A list of the reasons for each patient being accepted or rejected for the analysis sets will be prepared in consultation with the principal investigator, coinvestigators, trial secretariat, and statistical analysis supervisor. Ultimately, this will be determined before the data are fixed.</w:t>
      </w:r>
    </w:p>
    <w:p w14:paraId="6C2C899D" w14:textId="77777777" w:rsidR="008961BB" w:rsidRDefault="008961BB" w:rsidP="008961BB">
      <w:pPr>
        <w:rPr>
          <w:rFonts w:ascii="Times New Roman" w:eastAsia="Times New Roman" w:hAnsi="Times New Roman" w:cs="Times New Roman"/>
          <w:sz w:val="20"/>
        </w:rPr>
      </w:pPr>
    </w:p>
    <w:p w14:paraId="03A83670"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3.2. Handling of patients</w:t>
      </w:r>
    </w:p>
    <w:p w14:paraId="673D2301"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 Consent obtained: Patients from whom written was obtained (including from a legally authorised representative)</w:t>
      </w:r>
    </w:p>
    <w:p w14:paraId="2F74BFAC"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Ineligible: Patients who provided consent but were not registered because they violated the selection or exclusion criteria.</w:t>
      </w:r>
    </w:p>
    <w:p w14:paraId="2CE9E8F3"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 Registered: Patients who met the eligibility criteria and were registered</w:t>
      </w:r>
    </w:p>
    <w:p w14:paraId="249A8659"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 Allocated: Patients were registered and randomly allocated</w:t>
      </w:r>
    </w:p>
    <w:p w14:paraId="5720D687"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hint="eastAsia"/>
          <w:sz w:val="20"/>
        </w:rPr>
        <w:t>・</w:t>
      </w:r>
      <w:r>
        <w:rPr>
          <w:rFonts w:ascii="Times New Roman" w:eastAsia="Times New Roman" w:hAnsi="Times New Roman" w:cs="Times New Roman"/>
          <w:sz w:val="20"/>
        </w:rPr>
        <w:t>No protocol intervention: Patients who did not receive the protocol intervention after randomisation</w:t>
      </w:r>
    </w:p>
    <w:p w14:paraId="21D2DCDA"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Received protocol intervention: Patients who received the protocol therapy after randomisation</w:t>
      </w:r>
    </w:p>
    <w:p w14:paraId="316F4893" w14:textId="77777777" w:rsidR="008961BB" w:rsidRDefault="008961BB" w:rsidP="008961BB">
      <w:pPr>
        <w:rPr>
          <w:rFonts w:ascii="Times New Roman" w:eastAsia="Times New Roman" w:hAnsi="Times New Roman" w:cs="Times New Roman"/>
          <w:sz w:val="20"/>
        </w:rPr>
      </w:pPr>
    </w:p>
    <w:p w14:paraId="153FFDC8" w14:textId="1FD1A8FF"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4. Data treatment</w:t>
      </w:r>
    </w:p>
    <w:p w14:paraId="52F794FB" w14:textId="494D02BF"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4.1. Calculation of the time points and scope of the time point data</w:t>
      </w:r>
    </w:p>
    <w:p w14:paraId="5523EAC9" w14:textId="1799A1F4"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In this study, the day on which allocation is performed is defined as Day 1, and unless otherwise specified, data collected before allocation are considered baseline data.</w:t>
      </w:r>
      <w:r>
        <w:rPr>
          <w:rFonts w:ascii="ＭＳ Ｐゴシック" w:eastAsia="ＭＳ Ｐゴシック" w:hAnsi="ＭＳ Ｐゴシック" w:cs="ＭＳ Ｐゴシック"/>
          <w:sz w:val="20"/>
        </w:rPr>
        <w:t xml:space="preserve">　</w:t>
      </w:r>
      <w:r>
        <w:rPr>
          <w:rFonts w:ascii="Times New Roman" w:eastAsia="Times New Roman" w:hAnsi="Times New Roman" w:cs="Times New Roman"/>
          <w:sz w:val="20"/>
        </w:rPr>
        <w:t xml:space="preserve">The basic scope of data for each time point is as follows: data for 24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 allocation: allowable range ±6 </w:t>
      </w:r>
      <w:r>
        <w:rPr>
          <w:rFonts w:ascii="Times New Roman" w:eastAsia="Times New Roman" w:hAnsi="Times New Roman" w:cs="Times New Roman"/>
          <w:sz w:val="20"/>
        </w:rPr>
        <w:t>h</w:t>
      </w:r>
      <w:r>
        <w:rPr>
          <w:rFonts w:ascii="Times New Roman" w:eastAsia="Times New Roman" w:hAnsi="Times New Roman" w:cs="Times New Roman"/>
          <w:sz w:val="20"/>
        </w:rPr>
        <w:t xml:space="preserve">; for 72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 allocation: ±12 </w:t>
      </w:r>
      <w:r>
        <w:rPr>
          <w:rFonts w:ascii="Times New Roman" w:eastAsia="Times New Roman" w:hAnsi="Times New Roman" w:cs="Times New Roman"/>
          <w:sz w:val="20"/>
        </w:rPr>
        <w:t>h</w:t>
      </w:r>
      <w:r>
        <w:rPr>
          <w:rFonts w:ascii="Times New Roman" w:eastAsia="Times New Roman" w:hAnsi="Times New Roman" w:cs="Times New Roman"/>
          <w:sz w:val="20"/>
        </w:rPr>
        <w:t>; for 28 days after allocation: ±2 days; and for 90 days after allocation: ±10 days.</w:t>
      </w:r>
    </w:p>
    <w:p w14:paraId="5DF314EF" w14:textId="77777777" w:rsidR="008961BB" w:rsidRDefault="008961BB" w:rsidP="008961BB">
      <w:pPr>
        <w:rPr>
          <w:rFonts w:ascii="Times New Roman" w:eastAsia="Times New Roman" w:hAnsi="Times New Roman" w:cs="Times New Roman"/>
          <w:sz w:val="20"/>
        </w:rPr>
      </w:pPr>
    </w:p>
    <w:p w14:paraId="5176EE96" w14:textId="670EF1C9"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4.2. Calculation of time durations</w:t>
      </w:r>
    </w:p>
    <w:p w14:paraId="5AABE18F" w14:textId="435EA7BA"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number of days from allocation was calculated as follows:</w:t>
      </w:r>
    </w:p>
    <w:p w14:paraId="0EF90877" w14:textId="7777777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w:t>
      </w:r>
      <w:r>
        <w:rPr>
          <w:rFonts w:ascii="Times New Roman" w:eastAsia="Times New Roman" w:hAnsi="Times New Roman" w:cs="Times New Roman"/>
          <w:sz w:val="20"/>
        </w:rPr>
        <w:t xml:space="preserve"> (Number of days) = (Implementation date) - (Allocation date) + 1</w:t>
      </w:r>
    </w:p>
    <w:p w14:paraId="02C664B9" w14:textId="77777777" w:rsidR="008961BB" w:rsidRDefault="008961BB" w:rsidP="008961BB">
      <w:pPr>
        <w:rPr>
          <w:rFonts w:ascii="Times New Roman" w:eastAsia="Times New Roman" w:hAnsi="Times New Roman" w:cs="Times New Roman"/>
          <w:sz w:val="20"/>
        </w:rPr>
      </w:pPr>
    </w:p>
    <w:p w14:paraId="1012B61F" w14:textId="21556024"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4.3. Treatment of group variables</w:t>
      </w:r>
    </w:p>
    <w:p w14:paraId="38E17D7C" w14:textId="76AB548B"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following two groups are defined based on the allocation:</w:t>
      </w:r>
    </w:p>
    <w:p w14:paraId="3D97CDB2" w14:textId="7777777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w:t>
      </w:r>
      <w:r>
        <w:rPr>
          <w:rFonts w:ascii="Times New Roman" w:eastAsia="Times New Roman" w:hAnsi="Times New Roman" w:cs="Times New Roman"/>
          <w:sz w:val="20"/>
        </w:rPr>
        <w:t>High-target group: Intervention group. Target MAP = 80–85 mmHg in early-stage resuscitation.</w:t>
      </w:r>
    </w:p>
    <w:p w14:paraId="03BB02BB" w14:textId="7777777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w:t>
      </w:r>
      <w:r>
        <w:rPr>
          <w:rFonts w:ascii="Times New Roman" w:eastAsia="Times New Roman" w:hAnsi="Times New Roman" w:cs="Times New Roman"/>
          <w:sz w:val="20"/>
        </w:rPr>
        <w:t>Control group: Standard treatment group. Following SSCG 2016, circulatory management will aim for a MAP of 65–70 mmHg as the initial therapeutic target.</w:t>
      </w:r>
    </w:p>
    <w:p w14:paraId="386463FA" w14:textId="77777777" w:rsidR="008961BB" w:rsidRDefault="008961BB" w:rsidP="008961BB">
      <w:pPr>
        <w:rPr>
          <w:rFonts w:ascii="Times New Roman" w:eastAsia="Times New Roman" w:hAnsi="Times New Roman" w:cs="Times New Roman"/>
          <w:sz w:val="20"/>
        </w:rPr>
      </w:pPr>
    </w:p>
    <w:p w14:paraId="7E5C2F74" w14:textId="25D75E18"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lastRenderedPageBreak/>
        <w:t>The allocated groups will be used as references for the efficacy analysis. If the target blood pressure is clearly incorrect, the safety analysis will include a group based on the actual target blood pressure.</w:t>
      </w:r>
    </w:p>
    <w:p w14:paraId="319579D7" w14:textId="77777777" w:rsidR="008961BB" w:rsidRDefault="008961BB" w:rsidP="008961BB">
      <w:pPr>
        <w:rPr>
          <w:rFonts w:ascii="Times New Roman" w:eastAsia="Times New Roman" w:hAnsi="Times New Roman" w:cs="Times New Roman"/>
          <w:sz w:val="20"/>
        </w:rPr>
      </w:pPr>
    </w:p>
    <w:p w14:paraId="4E6FFAF5" w14:textId="38C3006A"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4.4. Treatment of processing variables</w:t>
      </w:r>
    </w:p>
    <w:p w14:paraId="38FB5847" w14:textId="60C493F6"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The number of days without ventilator support, renal replacement therapy, and catecholamines is the clinical data collected 28 days after allocation and calculated for patients who survive for at least 28 days. They do not require support again for at least 48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 support withdrawal. The endpoint is defined as 0 days for patients who receive support for ≥28 days or who die within 28 days.</w:t>
      </w:r>
    </w:p>
    <w:p w14:paraId="1D767C61" w14:textId="77777777" w:rsidR="008961BB" w:rsidRDefault="008961BB" w:rsidP="008961BB">
      <w:pPr>
        <w:rPr>
          <w:rFonts w:ascii="Times New Roman" w:eastAsia="Times New Roman" w:hAnsi="Times New Roman" w:cs="Times New Roman"/>
          <w:sz w:val="20"/>
        </w:rPr>
      </w:pPr>
    </w:p>
    <w:p w14:paraId="658E4DE2" w14:textId="73B8872B"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4.5. Other data management </w:t>
      </w:r>
    </w:p>
    <w:p w14:paraId="1F4EBD3B" w14:textId="7E45A38A"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Missing data on the primary endpoint (overall mortality 90 days after allocation) will be treated as mortality events in the analysis. These will be considered possible adverse events of the intervention. Similarly, missing data on secondary endpoints will be treated as events when the frequency of event onset is calculated in the analysis.</w:t>
      </w:r>
    </w:p>
    <w:p w14:paraId="2ABE4A04" w14:textId="08116BB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 xml:space="preserve">　</w:t>
      </w:r>
      <w:r>
        <w:rPr>
          <w:rFonts w:ascii="Times New Roman" w:eastAsia="Times New Roman" w:hAnsi="Times New Roman" w:cs="Times New Roman"/>
          <w:sz w:val="20"/>
        </w:rPr>
        <w:t>In principle, missing values for other variables will not be supplemented. If a variable is missing, the patient will be excluded from the study. The analysis will include only patients with data.</w:t>
      </w:r>
    </w:p>
    <w:p w14:paraId="612A3D2A" w14:textId="77777777" w:rsidR="008961BB" w:rsidRDefault="008961BB" w:rsidP="008961BB">
      <w:pPr>
        <w:rPr>
          <w:rFonts w:ascii="Times New Roman" w:eastAsia="Times New Roman" w:hAnsi="Times New Roman" w:cs="Times New Roman"/>
          <w:sz w:val="20"/>
        </w:rPr>
      </w:pPr>
    </w:p>
    <w:p w14:paraId="2C795990"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5. Description of the statistical analysis</w:t>
      </w:r>
    </w:p>
    <w:p w14:paraId="466DB2F8"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5.1. Significance levels of the tests and confidence coefficients for estimating intervals</w:t>
      </w:r>
    </w:p>
    <w:p w14:paraId="79779CC5"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tests will be two-tailed with a significance level of 5%. The two-tailed confidence coefficient for estimating intervals will be 95%.</w:t>
      </w:r>
    </w:p>
    <w:p w14:paraId="7CC6391C" w14:textId="77777777" w:rsidR="008961BB" w:rsidRDefault="008961BB" w:rsidP="008961BB">
      <w:pPr>
        <w:rPr>
          <w:rFonts w:ascii="Times New Roman" w:eastAsia="Times New Roman" w:hAnsi="Times New Roman" w:cs="Times New Roman"/>
          <w:sz w:val="20"/>
        </w:rPr>
      </w:pPr>
    </w:p>
    <w:p w14:paraId="5B89D7A3"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5.2. Statistics and digits to display</w:t>
      </w:r>
    </w:p>
    <w:p w14:paraId="52227AC8"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All </w:t>
      </w:r>
      <w:r>
        <w:rPr>
          <w:rFonts w:ascii="Times New Roman" w:eastAsia="Times New Roman" w:hAnsi="Times New Roman" w:cs="Times New Roman"/>
          <w:i/>
          <w:sz w:val="20"/>
        </w:rPr>
        <w:t>P</w:t>
      </w:r>
      <w:r>
        <w:rPr>
          <w:rFonts w:ascii="Times New Roman" w:eastAsia="Times New Roman" w:hAnsi="Times New Roman" w:cs="Times New Roman"/>
          <w:sz w:val="20"/>
        </w:rPr>
        <w:t xml:space="preserve"> values will be rounded to the fourth decimal place and expressed as three digits. However, </w:t>
      </w:r>
      <w:r>
        <w:rPr>
          <w:rFonts w:ascii="Times New Roman" w:eastAsia="Times New Roman" w:hAnsi="Times New Roman" w:cs="Times New Roman"/>
          <w:i/>
          <w:sz w:val="20"/>
        </w:rPr>
        <w:t>P</w:t>
      </w:r>
      <w:r>
        <w:rPr>
          <w:rFonts w:ascii="Times New Roman" w:eastAsia="Times New Roman" w:hAnsi="Times New Roman" w:cs="Times New Roman"/>
          <w:sz w:val="20"/>
        </w:rPr>
        <w:t xml:space="preserve"> values less than 0∙001 will be expressed as ‘&lt;0∙001’.</w:t>
      </w:r>
    </w:p>
    <w:p w14:paraId="0FCD1A15" w14:textId="77777777" w:rsidR="008961BB" w:rsidRDefault="008961BB" w:rsidP="008961BB">
      <w:pPr>
        <w:rPr>
          <w:rFonts w:ascii="Times New Roman" w:eastAsia="Times New Roman" w:hAnsi="Times New Roman" w:cs="Times New Roman"/>
          <w:sz w:val="20"/>
        </w:rPr>
      </w:pPr>
    </w:p>
    <w:p w14:paraId="4A6E5FC9"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5.3. Other matters</w:t>
      </w:r>
    </w:p>
    <w:p w14:paraId="075D78CA"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Unless otherwise specified, the calculation of the amount of change will only consider patients with both before and after data, and the number of patients included in these calculations will be indicated.</w:t>
      </w:r>
    </w:p>
    <w:p w14:paraId="27EF9DE6" w14:textId="77777777" w:rsidR="008961BB" w:rsidRDefault="008961BB" w:rsidP="008961BB">
      <w:pPr>
        <w:rPr>
          <w:rFonts w:ascii="Times New Roman" w:eastAsia="Times New Roman" w:hAnsi="Times New Roman" w:cs="Times New Roman"/>
          <w:sz w:val="20"/>
        </w:rPr>
      </w:pPr>
    </w:p>
    <w:p w14:paraId="2E894318"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6. Interim analysis</w:t>
      </w:r>
    </w:p>
    <w:p w14:paraId="62DFAE95"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6. Interim analysis</w:t>
      </w:r>
    </w:p>
    <w:p w14:paraId="3A39732E" w14:textId="721C64EB"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lastRenderedPageBreak/>
        <w:t>As this trial is designed to be conducted over a long period, an interim analysis will be performed to examine the futility of the intervention and minimise any disadvantages to the participants. Interim analysis will be conducted after 300 patients are registered and when their survival or death is confirmed 90 days later. Participant registration will continue during the interim analysis.</w:t>
      </w:r>
    </w:p>
    <w:p w14:paraId="49047883" w14:textId="37B45FCE"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r>
        <w:rPr>
          <w:rFonts w:ascii="Times New Roman" w:eastAsia="Times New Roman" w:hAnsi="Times New Roman" w:cs="Times New Roman"/>
          <w:sz w:val="20"/>
        </w:rPr>
        <w:t>In the statistical analysis, the power and Bayesian predictive power will be calculated on the basis of the current data when the planned number of patients is registered. If this declines markedly (to approximately ≤5%), trial discontinuation will be considered. As no decision was made regarding treatment suspension owing to efficacy, the significance level will not be adjusted in the final analysis.</w:t>
      </w:r>
    </w:p>
    <w:p w14:paraId="4B901A66" w14:textId="6B13A8B0"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r>
        <w:rPr>
          <w:rFonts w:ascii="Times New Roman" w:eastAsia="Times New Roman" w:hAnsi="Times New Roman" w:cs="Times New Roman"/>
          <w:sz w:val="20"/>
        </w:rPr>
        <w:t>Based on the results of the analysis of the unblinded allocation groups, the Efficacy and Safety Assessment committee will make recommendations to the principal investigator regarding study suspension or continuation. The principal investigator will then decide whether to suspend or continue the trial on the basis of these recommendations. If the trial continues, the results of the interim analysis will not be announced until the end of the trial.</w:t>
      </w:r>
    </w:p>
    <w:p w14:paraId="7251889A" w14:textId="77777777" w:rsidR="008961BB" w:rsidRDefault="008961BB" w:rsidP="008961BB">
      <w:pPr>
        <w:rPr>
          <w:rFonts w:ascii="Times New Roman" w:eastAsia="Times New Roman" w:hAnsi="Times New Roman" w:cs="Times New Roman"/>
          <w:sz w:val="20"/>
        </w:rPr>
      </w:pPr>
    </w:p>
    <w:p w14:paraId="3CF27C13"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7. Participating patients</w:t>
      </w:r>
    </w:p>
    <w:p w14:paraId="3D8EAF9B"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7.1. Patient flow</w:t>
      </w:r>
    </w:p>
    <w:p w14:paraId="0FED0825" w14:textId="1430688C"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A flowchart depicting the number of participants in each group who consented to participate in the trial will be created.</w:t>
      </w:r>
      <w:r>
        <w:rPr>
          <w:rFonts w:ascii="ＭＳ 明朝" w:eastAsia="ＭＳ 明朝" w:hAnsi="ＭＳ 明朝" w:cs="ＭＳ 明朝"/>
          <w:sz w:val="20"/>
        </w:rPr>
        <w:t xml:space="preserve">　</w:t>
      </w:r>
      <w:r>
        <w:rPr>
          <w:rFonts w:ascii="Times New Roman" w:eastAsia="Times New Roman" w:hAnsi="Times New Roman" w:cs="Times New Roman"/>
          <w:sz w:val="20"/>
        </w:rPr>
        <w:t>The numbers included and excluded from each analysis will be totalled, and a list of excluded patients will be created.</w:t>
      </w:r>
    </w:p>
    <w:p w14:paraId="135E1C5B" w14:textId="77777777" w:rsidR="008961BB" w:rsidRDefault="008961BB" w:rsidP="008961BB">
      <w:pPr>
        <w:rPr>
          <w:rFonts w:ascii="Times New Roman" w:eastAsia="Times New Roman" w:hAnsi="Times New Roman" w:cs="Times New Roman"/>
          <w:sz w:val="20"/>
        </w:rPr>
      </w:pPr>
    </w:p>
    <w:p w14:paraId="1C728948"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7.2. Demographics and characteristics</w:t>
      </w:r>
    </w:p>
    <w:p w14:paraId="710947CD" w14:textId="7E565184"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For basic patient and pathology/severity-related data, continuous values will be expressed as summary statistics and categorical values as frequencies and proportions. Continuous values will be categorised as required.</w:t>
      </w:r>
    </w:p>
    <w:p w14:paraId="0C14699A" w14:textId="77777777" w:rsidR="008961BB" w:rsidRDefault="008961BB" w:rsidP="008961BB">
      <w:pPr>
        <w:rPr>
          <w:rFonts w:ascii="Times New Roman" w:eastAsia="Times New Roman" w:hAnsi="Times New Roman" w:cs="Times New Roman"/>
          <w:sz w:val="20"/>
        </w:rPr>
      </w:pPr>
    </w:p>
    <w:p w14:paraId="0624029B"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7.3. Post-allocation treatment and clinical status</w:t>
      </w:r>
    </w:p>
    <w:p w14:paraId="2E8496A1" w14:textId="294E7956"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Clinical information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 allocation will be aggregated as described in ‘7.2 Demographics and characteristics’.</w:t>
      </w:r>
    </w:p>
    <w:p w14:paraId="2F93594F" w14:textId="77777777" w:rsidR="008961BB" w:rsidRDefault="008961BB" w:rsidP="008961BB">
      <w:pPr>
        <w:rPr>
          <w:rFonts w:ascii="Times New Roman" w:eastAsia="Times New Roman" w:hAnsi="Times New Roman" w:cs="Times New Roman"/>
          <w:sz w:val="20"/>
        </w:rPr>
      </w:pPr>
    </w:p>
    <w:p w14:paraId="42D5F5BB"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8. Efficacy assessment</w:t>
      </w:r>
    </w:p>
    <w:p w14:paraId="2540CC18"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8.1. Intervention status</w:t>
      </w:r>
    </w:p>
    <w:p w14:paraId="41E2814C"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achievement status for the target blood pressure will be totalled for each group. When possible, data on the drugs used and fluid replacements will also be included.</w:t>
      </w:r>
    </w:p>
    <w:p w14:paraId="29870C83" w14:textId="77777777" w:rsidR="008961BB" w:rsidRDefault="008961BB" w:rsidP="008961BB">
      <w:pPr>
        <w:rPr>
          <w:rFonts w:ascii="Times New Roman" w:eastAsia="Times New Roman" w:hAnsi="Times New Roman" w:cs="Times New Roman"/>
          <w:sz w:val="20"/>
        </w:rPr>
      </w:pPr>
    </w:p>
    <w:p w14:paraId="3CF7D781"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8.2. Analyses of the primary endpoint</w:t>
      </w:r>
    </w:p>
    <w:p w14:paraId="0B134882" w14:textId="7777777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w:t>
      </w:r>
      <w:r>
        <w:rPr>
          <w:rFonts w:ascii="Times New Roman" w:eastAsia="Times New Roman" w:hAnsi="Times New Roman" w:cs="Times New Roman"/>
          <w:sz w:val="20"/>
        </w:rPr>
        <w:t>Primary analysis</w:t>
      </w:r>
    </w:p>
    <w:p w14:paraId="7DD15221" w14:textId="508222F2"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final analysis will be the primary analysis. The main objective of the statistical analysis is to examine whether the primary endpoint, all-cause mortality at 90 days after allocation, is lower in the high-target group than in the control group.</w:t>
      </w:r>
    </w:p>
    <w:p w14:paraId="6248B0F3" w14:textId="77777777" w:rsidR="008961BB" w:rsidRDefault="008961BB" w:rsidP="008961BB">
      <w:pPr>
        <w:rPr>
          <w:rFonts w:ascii="Times New Roman" w:eastAsia="Times New Roman" w:hAnsi="Times New Roman" w:cs="Times New Roman"/>
          <w:sz w:val="20"/>
        </w:rPr>
      </w:pPr>
      <w:r>
        <w:rPr>
          <w:rFonts w:ascii="ＭＳ Ｐゴシック" w:eastAsia="ＭＳ Ｐゴシック" w:hAnsi="ＭＳ Ｐゴシック" w:cs="ＭＳ Ｐゴシック"/>
          <w:sz w:val="20"/>
        </w:rPr>
        <w:t xml:space="preserve">　</w:t>
      </w:r>
      <w:r>
        <w:rPr>
          <w:rFonts w:ascii="Times New Roman" w:eastAsia="Times New Roman" w:hAnsi="Times New Roman" w:cs="Times New Roman"/>
          <w:sz w:val="20"/>
        </w:rPr>
        <w:t>The final analysis will be performed after the 90-day outcomes of the final participants. In the primary analysis of the intention-to-treat population, differences in mortality 90 days after allocation will be compared between groups using the Fisher exact test.</w:t>
      </w:r>
    </w:p>
    <w:p w14:paraId="19B948F3" w14:textId="77777777" w:rsidR="008961BB" w:rsidRDefault="008961BB" w:rsidP="008961BB">
      <w:pPr>
        <w:rPr>
          <w:rFonts w:ascii="Times New Roman" w:eastAsia="Times New Roman" w:hAnsi="Times New Roman" w:cs="Times New Roman"/>
          <w:sz w:val="20"/>
        </w:rPr>
      </w:pPr>
    </w:p>
    <w:p w14:paraId="7430509D"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 Secondary analysis</w:t>
      </w:r>
    </w:p>
    <w:p w14:paraId="7C919C08"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Logistic regression analysis using factors stratified at allocation as adjustment factors and survival time analysis using the time from allocation to death as the endpoint will be performed by estimating Kaplan–Meier curves, log-rank test, adjustment analysis, and other methods. The per-protocol set will be analysed in the same manner as that described for the primary analysis.</w:t>
      </w:r>
    </w:p>
    <w:p w14:paraId="791BC8A0" w14:textId="2B8390A1"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r>
        <w:rPr>
          <w:rFonts w:ascii="Times New Roman" w:eastAsia="Times New Roman" w:hAnsi="Times New Roman" w:cs="Times New Roman"/>
          <w:sz w:val="20"/>
        </w:rPr>
        <w:t>If many missing values cannot be ignored, a sensitivity analysis will be performed using multiple imputations of the missing values.</w:t>
      </w:r>
    </w:p>
    <w:p w14:paraId="39ECADB8"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p>
    <w:p w14:paraId="47D12E9B"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8.3. Analysis of secondary endpoints</w:t>
      </w:r>
    </w:p>
    <w:p w14:paraId="3EF5C414" w14:textId="249605A5"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Lactate clearance at 24 </w:t>
      </w:r>
      <w:r>
        <w:rPr>
          <w:rFonts w:ascii="Times New Roman" w:eastAsia="Times New Roman" w:hAnsi="Times New Roman" w:cs="Times New Roman"/>
          <w:sz w:val="20"/>
        </w:rPr>
        <w:t>h</w:t>
      </w:r>
      <w:r>
        <w:rPr>
          <w:rFonts w:ascii="Times New Roman" w:eastAsia="Times New Roman" w:hAnsi="Times New Roman" w:cs="Times New Roman"/>
          <w:sz w:val="20"/>
        </w:rPr>
        <w:t xml:space="preserve"> will be calculated by lactate levels at randomisation and 24 </w:t>
      </w:r>
      <w:r>
        <w:rPr>
          <w:rFonts w:ascii="Times New Roman" w:eastAsia="Times New Roman" w:hAnsi="Times New Roman" w:cs="Times New Roman"/>
          <w:sz w:val="20"/>
        </w:rPr>
        <w:t>h</w:t>
      </w:r>
      <w:r>
        <w:rPr>
          <w:rFonts w:ascii="Times New Roman" w:eastAsia="Times New Roman" w:hAnsi="Times New Roman" w:cs="Times New Roman"/>
          <w:sz w:val="20"/>
        </w:rPr>
        <w:t xml:space="preserve"> after</w:t>
      </w:r>
    </w:p>
    <w:p w14:paraId="75700FF3"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For the intention-to-treat population, summary statistics will be calculated for each group and compared using the Student's t-test and other methods.</w:t>
      </w:r>
    </w:p>
    <w:p w14:paraId="6720D190" w14:textId="77777777" w:rsidR="008961BB" w:rsidRDefault="008961BB" w:rsidP="008961BB">
      <w:pPr>
        <w:rPr>
          <w:rFonts w:ascii="Times New Roman" w:eastAsia="Times New Roman" w:hAnsi="Times New Roman" w:cs="Times New Roman"/>
          <w:sz w:val="20"/>
        </w:rPr>
      </w:pPr>
    </w:p>
    <w:p w14:paraId="71147DEA" w14:textId="3D3E9675"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Incidence of arrhythmia (ventricular tachycardia, supraventricular arrhythmia affecting haemodynamics)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3A2F7CD5"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used for the primary endpoint.</w:t>
      </w:r>
    </w:p>
    <w:p w14:paraId="4AD4D6C3" w14:textId="77777777" w:rsidR="008961BB" w:rsidRDefault="008961BB" w:rsidP="008961BB">
      <w:pPr>
        <w:rPr>
          <w:rFonts w:ascii="Times New Roman" w:eastAsia="Times New Roman" w:hAnsi="Times New Roman" w:cs="Times New Roman"/>
          <w:sz w:val="20"/>
        </w:rPr>
      </w:pPr>
    </w:p>
    <w:p w14:paraId="623FD972" w14:textId="2A527B82"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 xml:space="preserve">Incidence of thromboembolism (myocardial infarction, cerebral infarction, intestinal necrosis, irreversible ischaemia of peripheral limbs)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4685C5C0" w14:textId="71504DD9"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used for the primary endpoint.</w:t>
      </w:r>
    </w:p>
    <w:p w14:paraId="150040B4" w14:textId="77777777" w:rsidR="008961BB" w:rsidRDefault="008961BB" w:rsidP="008961BB">
      <w:pPr>
        <w:rPr>
          <w:rFonts w:ascii="Times New Roman" w:eastAsia="Times New Roman" w:hAnsi="Times New Roman" w:cs="Times New Roman"/>
          <w:sz w:val="20"/>
        </w:rPr>
      </w:pPr>
    </w:p>
    <w:p w14:paraId="45BEE6B9" w14:textId="23F5B4C5"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lastRenderedPageBreak/>
        <w:t>・</w:t>
      </w:r>
      <w:r>
        <w:rPr>
          <w:rFonts w:ascii="Times New Roman" w:eastAsia="Times New Roman" w:hAnsi="Times New Roman" w:cs="Times New Roman"/>
          <w:sz w:val="20"/>
        </w:rPr>
        <w:t xml:space="preserve">Incidence of haemorrhagic events within 72 </w:t>
      </w:r>
      <w:r>
        <w:rPr>
          <w:rFonts w:ascii="Times New Roman" w:eastAsia="Times New Roman" w:hAnsi="Times New Roman" w:cs="Times New Roman"/>
          <w:sz w:val="20"/>
        </w:rPr>
        <w:t>h</w:t>
      </w:r>
      <w:r>
        <w:rPr>
          <w:rFonts w:ascii="Times New Roman" w:eastAsia="Times New Roman" w:hAnsi="Times New Roman" w:cs="Times New Roman"/>
          <w:sz w:val="20"/>
        </w:rPr>
        <w:t xml:space="preserve"> of randomisation</w:t>
      </w:r>
    </w:p>
    <w:p w14:paraId="47A61CED"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of the primary endpoint.</w:t>
      </w:r>
    </w:p>
    <w:p w14:paraId="4AB08225" w14:textId="77777777" w:rsidR="008961BB" w:rsidRDefault="008961BB" w:rsidP="008961BB">
      <w:pPr>
        <w:rPr>
          <w:rFonts w:ascii="Times New Roman" w:eastAsia="Times New Roman" w:hAnsi="Times New Roman" w:cs="Times New Roman"/>
          <w:sz w:val="20"/>
        </w:rPr>
      </w:pPr>
    </w:p>
    <w:p w14:paraId="707D9B4E"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All-cause mortality at 28 days after allocation</w:t>
      </w:r>
    </w:p>
    <w:p w14:paraId="1DBC05AF"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of the primary endpoint.</w:t>
      </w:r>
    </w:p>
    <w:p w14:paraId="5132D846" w14:textId="77777777" w:rsidR="008961BB" w:rsidRDefault="008961BB" w:rsidP="008961BB">
      <w:pPr>
        <w:rPr>
          <w:rFonts w:ascii="Times New Roman" w:eastAsia="Times New Roman" w:hAnsi="Times New Roman" w:cs="Times New Roman"/>
          <w:sz w:val="20"/>
        </w:rPr>
      </w:pPr>
    </w:p>
    <w:p w14:paraId="269FDD22"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Mortality from sepsis at 28 days after allocation</w:t>
      </w:r>
    </w:p>
    <w:p w14:paraId="5DF323D0"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of the primary endpoint.</w:t>
      </w:r>
    </w:p>
    <w:p w14:paraId="53B1C0D2" w14:textId="77777777" w:rsidR="008961BB" w:rsidRDefault="008961BB" w:rsidP="008961BB">
      <w:pPr>
        <w:rPr>
          <w:rFonts w:ascii="Times New Roman" w:eastAsia="Times New Roman" w:hAnsi="Times New Roman" w:cs="Times New Roman"/>
          <w:sz w:val="20"/>
        </w:rPr>
      </w:pPr>
    </w:p>
    <w:p w14:paraId="653F2575"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Ventilator-free days at 28 days</w:t>
      </w:r>
    </w:p>
    <w:p w14:paraId="428CEC4B"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Summary statistics for the intention-to-treat population will be calculated for each group and compared using the Student's t-test and other methods.</w:t>
      </w:r>
    </w:p>
    <w:p w14:paraId="3351DD94" w14:textId="77777777" w:rsidR="008961BB" w:rsidRDefault="008961BB" w:rsidP="008961BB">
      <w:pPr>
        <w:rPr>
          <w:rFonts w:ascii="Times New Roman" w:eastAsia="Times New Roman" w:hAnsi="Times New Roman" w:cs="Times New Roman"/>
          <w:sz w:val="20"/>
        </w:rPr>
      </w:pPr>
    </w:p>
    <w:p w14:paraId="66AE328E"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Renal replacement therapy-free days at 28 days</w:t>
      </w:r>
    </w:p>
    <w:p w14:paraId="43D66FD7"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Summary statistics for the intention-to-treat population will be calculated for each group and compared using the Student's t-test and other methods.</w:t>
      </w:r>
    </w:p>
    <w:p w14:paraId="148D676C" w14:textId="77777777" w:rsidR="008961BB" w:rsidRDefault="008961BB" w:rsidP="008961BB">
      <w:pPr>
        <w:rPr>
          <w:rFonts w:ascii="Times New Roman" w:eastAsia="Times New Roman" w:hAnsi="Times New Roman" w:cs="Times New Roman"/>
          <w:sz w:val="20"/>
        </w:rPr>
      </w:pPr>
    </w:p>
    <w:p w14:paraId="0FC54552"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Catecholamines-free days at 28 days</w:t>
      </w:r>
    </w:p>
    <w:p w14:paraId="1E011F47"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Summary statistics for the intention-to-treat population will be calculated for each group and compared using the Student's t-test and other methods.</w:t>
      </w:r>
    </w:p>
    <w:p w14:paraId="2C199B05" w14:textId="77777777" w:rsidR="008961BB" w:rsidRDefault="008961BB" w:rsidP="008961BB">
      <w:pPr>
        <w:rPr>
          <w:rFonts w:ascii="Times New Roman" w:eastAsia="Times New Roman" w:hAnsi="Times New Roman" w:cs="Times New Roman"/>
          <w:sz w:val="20"/>
        </w:rPr>
      </w:pPr>
    </w:p>
    <w:p w14:paraId="6D5CD971"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Mortality from sepsis at 90 days after allocation</w:t>
      </w:r>
    </w:p>
    <w:p w14:paraId="1E0EC0F5"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intention-to-treat population will be analysed using the same method as that of the primary endpoint.</w:t>
      </w:r>
    </w:p>
    <w:p w14:paraId="370D490D" w14:textId="77777777" w:rsidR="008961BB" w:rsidRDefault="008961BB" w:rsidP="008961BB">
      <w:pPr>
        <w:rPr>
          <w:rFonts w:ascii="Times New Roman" w:eastAsia="Times New Roman" w:hAnsi="Times New Roman" w:cs="Times New Roman"/>
          <w:sz w:val="20"/>
        </w:rPr>
      </w:pPr>
    </w:p>
    <w:p w14:paraId="13B84D98"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w:t>
      </w:r>
      <w:r>
        <w:rPr>
          <w:rFonts w:ascii="Times New Roman" w:eastAsia="Times New Roman" w:hAnsi="Times New Roman" w:cs="Times New Roman"/>
          <w:sz w:val="20"/>
        </w:rPr>
        <w:t>Change in clinical frailty scale at 90 days after allocation</w:t>
      </w:r>
    </w:p>
    <w:p w14:paraId="208579D7"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 xml:space="preserve">Summary statistics for the intention-to-treat population will be calculated for each group and compared using the Student's </w:t>
      </w:r>
      <w:r>
        <w:rPr>
          <w:rFonts w:ascii="Times New Roman" w:eastAsia="Times New Roman" w:hAnsi="Times New Roman" w:cs="Times New Roman"/>
          <w:i/>
          <w:sz w:val="20"/>
        </w:rPr>
        <w:t>t</w:t>
      </w:r>
      <w:r>
        <w:rPr>
          <w:rFonts w:ascii="Times New Roman" w:eastAsia="Times New Roman" w:hAnsi="Times New Roman" w:cs="Times New Roman"/>
          <w:sz w:val="20"/>
        </w:rPr>
        <w:t xml:space="preserve"> test and other methods. The adjusted baseline values will also be analysed.</w:t>
      </w:r>
    </w:p>
    <w:p w14:paraId="3B9FFABB" w14:textId="77777777" w:rsidR="008961BB" w:rsidRDefault="008961BB" w:rsidP="008961BB">
      <w:pPr>
        <w:rPr>
          <w:rFonts w:ascii="Times New Roman" w:eastAsia="Times New Roman" w:hAnsi="Times New Roman" w:cs="Times New Roman"/>
          <w:sz w:val="20"/>
        </w:rPr>
      </w:pPr>
    </w:p>
    <w:p w14:paraId="0362B8AC"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9. Safety analysis</w:t>
      </w:r>
    </w:p>
    <w:p w14:paraId="7D533EB3"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9.1. Adverse events</w:t>
      </w:r>
    </w:p>
    <w:p w14:paraId="7D995D46" w14:textId="2622A914"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Adverse events that occurred after allocation and starting a certain therapy protocol will be included in the safety analysis set. Adverse events will be assessed until clinical data are measured 90 days after allocation.</w:t>
      </w:r>
    </w:p>
    <w:p w14:paraId="7F9C3731" w14:textId="77777777"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lastRenderedPageBreak/>
        <w:t xml:space="preserve">　</w:t>
      </w:r>
      <w:r>
        <w:rPr>
          <w:rFonts w:ascii="Times New Roman" w:eastAsia="Times New Roman" w:hAnsi="Times New Roman" w:cs="Times New Roman"/>
          <w:sz w:val="20"/>
        </w:rPr>
        <w:t>For these adverse events, the number of incidences and their frequencies will be calculated for each group, and accurate 95% confidence intervals based on the F distribution will be calculated. The same procedure will be performed for serious adverse events. A list of these adverse events will be created. If necessary, the data will also be aggregated according to adverse events.</w:t>
      </w:r>
    </w:p>
    <w:p w14:paraId="26FE613E" w14:textId="77777777" w:rsidR="008961BB" w:rsidRDefault="008961BB" w:rsidP="008961BB">
      <w:pPr>
        <w:rPr>
          <w:rFonts w:ascii="Times New Roman" w:eastAsia="Times New Roman" w:hAnsi="Times New Roman" w:cs="Times New Roman"/>
          <w:sz w:val="20"/>
        </w:rPr>
      </w:pPr>
    </w:p>
    <w:p w14:paraId="07E5468B"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9.2. Evaluation of laboratory test values</w:t>
      </w:r>
    </w:p>
    <w:p w14:paraId="01CFECC3"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This section is not applicable because it is covered by ‘7.2. Demographics and characteristics’ and ‘7.3. Post-allocation treatment and clinical status’.</w:t>
      </w:r>
    </w:p>
    <w:p w14:paraId="20BA930A" w14:textId="77777777" w:rsidR="008961BB" w:rsidRDefault="008961BB" w:rsidP="008961BB">
      <w:pPr>
        <w:rPr>
          <w:rFonts w:ascii="Times New Roman" w:eastAsia="Times New Roman" w:hAnsi="Times New Roman" w:cs="Times New Roman"/>
          <w:sz w:val="20"/>
        </w:rPr>
      </w:pPr>
    </w:p>
    <w:p w14:paraId="30A7A1D4"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9.3. Vital signs, physical findings, and other observations related to safety</w:t>
      </w:r>
    </w:p>
    <w:p w14:paraId="29F81F87"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This section is not applicable because it is covered by ‘7.2. Demographics and characteristics’ and ‘7.3. Post-allocation treatment and clinical status’.</w:t>
      </w:r>
    </w:p>
    <w:p w14:paraId="2EDE4BE5" w14:textId="77777777" w:rsidR="008961BB" w:rsidRDefault="008961BB" w:rsidP="008961BB">
      <w:pPr>
        <w:rPr>
          <w:rFonts w:ascii="Times New Roman" w:eastAsia="Times New Roman" w:hAnsi="Times New Roman" w:cs="Times New Roman"/>
          <w:sz w:val="20"/>
        </w:rPr>
      </w:pPr>
    </w:p>
    <w:p w14:paraId="21125F78"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10. Other analyses</w:t>
      </w:r>
    </w:p>
    <w:p w14:paraId="58E538D0"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As necessary, a subgroup analysis of the population that achieves the target blood pressure will be considered.</w:t>
      </w:r>
    </w:p>
    <w:p w14:paraId="6CC16292" w14:textId="77777777" w:rsidR="008961BB" w:rsidRDefault="008961BB" w:rsidP="008961BB">
      <w:pPr>
        <w:rPr>
          <w:rFonts w:ascii="Times New Roman" w:eastAsia="Times New Roman" w:hAnsi="Times New Roman" w:cs="Times New Roman"/>
          <w:sz w:val="20"/>
        </w:rPr>
      </w:pPr>
    </w:p>
    <w:p w14:paraId="51EF612A" w14:textId="1ABD349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11. Target number of patients and rationale</w:t>
      </w:r>
    </w:p>
    <w:p w14:paraId="676F7846" w14:textId="337AB6F6"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The entire trial will enrol 418 patients in the high-target group and 418 patients in the control group for a total of 836 patients.</w:t>
      </w:r>
    </w:p>
    <w:p w14:paraId="3A660479" w14:textId="77777777"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[Rationale]</w:t>
      </w:r>
    </w:p>
    <w:p w14:paraId="76C67723" w14:textId="31C29B15"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r>
        <w:rPr>
          <w:rFonts w:ascii="Times New Roman" w:eastAsia="Times New Roman" w:hAnsi="Times New Roman" w:cs="Times New Roman"/>
          <w:sz w:val="20"/>
        </w:rPr>
        <w:t>We hypothesised a 45% incidence of the primary endpoint in the control group and an absolute difference from the intervention of 10%. With a two-sided alpha level of 0∙05 for the significance level and power of 0∙80, each group requires 376 patients, for a total of 752 patients. Assuming a withdrawal rate of approximately 10% due to patient withdrawal or other reasons, we calculated that approximately 836 patients would be required.</w:t>
      </w:r>
    </w:p>
    <w:p w14:paraId="36D56A1C" w14:textId="30C43D22" w:rsidR="008961BB" w:rsidRDefault="008961BB" w:rsidP="008961BB">
      <w:pPr>
        <w:rPr>
          <w:rFonts w:ascii="Times New Roman" w:eastAsia="Times New Roman" w:hAnsi="Times New Roman" w:cs="Times New Roman"/>
          <w:sz w:val="20"/>
        </w:rPr>
      </w:pPr>
      <w:r>
        <w:rPr>
          <w:rFonts w:ascii="ＭＳ 明朝" w:eastAsia="ＭＳ 明朝" w:hAnsi="ＭＳ 明朝" w:cs="ＭＳ 明朝"/>
          <w:sz w:val="20"/>
        </w:rPr>
        <w:t xml:space="preserve">　</w:t>
      </w:r>
      <w:r>
        <w:rPr>
          <w:rFonts w:ascii="Times New Roman" w:eastAsia="Times New Roman" w:hAnsi="Times New Roman" w:cs="Times New Roman"/>
          <w:sz w:val="20"/>
        </w:rPr>
        <w:t>The FORECAST study [1] enrolled 745 patients with septic shock from 59 hospitals over 15 months. Considering the disparities in the number of enrolments between institutions, we believe that registering approximately 1–2 patients with septic shock per hospital per month will meet the study participation criteria. Assuming the participation of 20 institutions nationwide, an estimated 2–3 years will be necessary to meet the target number of patients.</w:t>
      </w:r>
    </w:p>
    <w:p w14:paraId="34547955" w14:textId="77777777" w:rsidR="008961BB" w:rsidRDefault="008961BB" w:rsidP="008961BB">
      <w:pPr>
        <w:rPr>
          <w:rFonts w:ascii="Times New Roman" w:eastAsia="Times New Roman" w:hAnsi="Times New Roman" w:cs="Times New Roman"/>
          <w:sz w:val="20"/>
        </w:rPr>
      </w:pPr>
    </w:p>
    <w:p w14:paraId="27BF7E75" w14:textId="77777777"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12. Appendix</w:t>
      </w:r>
    </w:p>
    <w:p w14:paraId="78631A67" w14:textId="77777777" w:rsidR="008961BB" w:rsidRDefault="008961BB" w:rsidP="008961BB">
      <w:pPr>
        <w:tabs>
          <w:tab w:val="left" w:pos="2790"/>
        </w:tabs>
        <w:rPr>
          <w:rFonts w:ascii="Times New Roman" w:eastAsia="Times New Roman" w:hAnsi="Times New Roman" w:cs="Times New Roman"/>
          <w:sz w:val="20"/>
        </w:rPr>
      </w:pPr>
      <w:r>
        <w:rPr>
          <w:rFonts w:ascii="Times New Roman" w:eastAsia="Times New Roman" w:hAnsi="Times New Roman" w:cs="Times New Roman"/>
          <w:sz w:val="20"/>
        </w:rPr>
        <w:lastRenderedPageBreak/>
        <w:t>Not applicable to this trial.</w:t>
      </w:r>
      <w:r>
        <w:rPr>
          <w:rFonts w:ascii="Times New Roman" w:eastAsia="Times New Roman" w:hAnsi="Times New Roman" w:cs="Times New Roman"/>
          <w:sz w:val="20"/>
        </w:rPr>
        <w:tab/>
      </w:r>
    </w:p>
    <w:p w14:paraId="42F7424E" w14:textId="736A06F5" w:rsidR="008961BB" w:rsidRDefault="008961BB" w:rsidP="008961BB">
      <w:pPr>
        <w:rPr>
          <w:rFonts w:ascii="Times New Roman" w:eastAsia="Times New Roman" w:hAnsi="Times New Roman" w:cs="Times New Roman"/>
          <w:b/>
          <w:sz w:val="20"/>
        </w:rPr>
      </w:pPr>
      <w:r>
        <w:rPr>
          <w:rFonts w:ascii="Times New Roman" w:eastAsia="Times New Roman" w:hAnsi="Times New Roman" w:cs="Times New Roman"/>
          <w:b/>
          <w:sz w:val="20"/>
        </w:rPr>
        <w:t>References</w:t>
      </w:r>
    </w:p>
    <w:p w14:paraId="22B77F9B" w14:textId="23E21313" w:rsidR="008961BB" w:rsidRDefault="008961BB" w:rsidP="008961BB">
      <w:pPr>
        <w:rPr>
          <w:rFonts w:ascii="Times New Roman" w:eastAsia="Times New Roman" w:hAnsi="Times New Roman" w:cs="Times New Roman"/>
          <w:sz w:val="20"/>
        </w:rPr>
      </w:pPr>
      <w:r>
        <w:rPr>
          <w:rFonts w:ascii="Times New Roman" w:eastAsia="Times New Roman" w:hAnsi="Times New Roman" w:cs="Times New Roman"/>
          <w:sz w:val="20"/>
        </w:rPr>
        <w:t>1</w:t>
      </w:r>
      <w:r>
        <w:rPr>
          <w:rFonts w:ascii="Times New Roman" w:eastAsia="Times New Roman" w:hAnsi="Times New Roman" w:cs="Times New Roman"/>
          <w:sz w:val="20"/>
        </w:rPr>
        <w:tab/>
        <w:t xml:space="preserve">Abe T, Ogura H, Shiraishi A, et al (2018) Characteristics, management, and in-hospital mortality among patients with severe sepsis in intensive care units in Japan: The FORECAST study. Crit Care 22:322. </w:t>
      </w:r>
      <w:hyperlink r:id="rId7" w:history="1">
        <w:r>
          <w:rPr>
            <w:rStyle w:val="ad"/>
            <w:rFonts w:ascii="Times New Roman" w:eastAsia="Times New Roman" w:hAnsi="Times New Roman" w:cs="Times New Roman"/>
            <w:sz w:val="20"/>
          </w:rPr>
          <w:t>https://doi.org/10.1186/s13054-018-2186-7</w:t>
        </w:r>
      </w:hyperlink>
    </w:p>
    <w:p w14:paraId="74A72BE8" w14:textId="77777777" w:rsidR="008961BB" w:rsidRDefault="008961BB" w:rsidP="008961BB">
      <w:pPr>
        <w:rPr>
          <w:rFonts w:ascii="Times New Roman" w:eastAsia="Times New Roman" w:hAnsi="Times New Roman" w:cs="Times New Roman"/>
          <w:sz w:val="20"/>
        </w:rPr>
      </w:pPr>
    </w:p>
    <w:p w14:paraId="4C4C51E0" w14:textId="77777777" w:rsidR="008961BB" w:rsidRDefault="008961BB" w:rsidP="008961BB"/>
    <w:p w14:paraId="3896A207" w14:textId="77777777" w:rsidR="000A685B" w:rsidRPr="008961BB" w:rsidRDefault="000A685B" w:rsidP="008961BB"/>
    <w:sectPr w:rsidR="000A685B" w:rsidRPr="008961BB" w:rsidSect="003F38FD">
      <w:footerReference w:type="even" r:id="rId8"/>
      <w:footerReference w:type="default" r:id="rId9"/>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3C152" w14:textId="77777777" w:rsidR="00C31D76" w:rsidRDefault="00C31D76" w:rsidP="00E86314">
      <w:r>
        <w:separator/>
      </w:r>
    </w:p>
  </w:endnote>
  <w:endnote w:type="continuationSeparator" w:id="0">
    <w:p w14:paraId="29CEB913" w14:textId="77777777" w:rsidR="00C31D76" w:rsidRDefault="00C31D76" w:rsidP="00E86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1151713117"/>
      <w:docPartObj>
        <w:docPartGallery w:val="Page Numbers (Bottom of Page)"/>
        <w:docPartUnique/>
      </w:docPartObj>
    </w:sdtPr>
    <w:sdtContent>
      <w:p w14:paraId="0094D566" w14:textId="5C7F7FB3" w:rsidR="00E86314" w:rsidRDefault="00E86314" w:rsidP="000B7162">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51609083" w14:textId="77777777" w:rsidR="00E86314" w:rsidRDefault="00E86314" w:rsidP="00E8631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130101001"/>
      <w:docPartObj>
        <w:docPartGallery w:val="Page Numbers (Bottom of Page)"/>
        <w:docPartUnique/>
      </w:docPartObj>
    </w:sdtPr>
    <w:sdtContent>
      <w:p w14:paraId="1B315DA9" w14:textId="4903C6D2" w:rsidR="00E86314" w:rsidRDefault="00E86314" w:rsidP="000B7162">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622E098D" w14:textId="77777777" w:rsidR="00E86314" w:rsidRDefault="00E86314" w:rsidP="00E8631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34DB3" w14:textId="77777777" w:rsidR="00C31D76" w:rsidRDefault="00C31D76" w:rsidP="00E86314">
      <w:r>
        <w:separator/>
      </w:r>
    </w:p>
  </w:footnote>
  <w:footnote w:type="continuationSeparator" w:id="0">
    <w:p w14:paraId="19F23927" w14:textId="77777777" w:rsidR="00C31D76" w:rsidRDefault="00C31D76" w:rsidP="00E86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56"/>
    <w:rsid w:val="000A685B"/>
    <w:rsid w:val="00131C56"/>
    <w:rsid w:val="001334FC"/>
    <w:rsid w:val="00274556"/>
    <w:rsid w:val="003E099D"/>
    <w:rsid w:val="003F38FD"/>
    <w:rsid w:val="0040400E"/>
    <w:rsid w:val="0042352B"/>
    <w:rsid w:val="00587BE5"/>
    <w:rsid w:val="008164F1"/>
    <w:rsid w:val="00893B82"/>
    <w:rsid w:val="008961BB"/>
    <w:rsid w:val="00933AB2"/>
    <w:rsid w:val="00B27D20"/>
    <w:rsid w:val="00C31D76"/>
    <w:rsid w:val="00C37E19"/>
    <w:rsid w:val="00CA5386"/>
    <w:rsid w:val="00E86314"/>
    <w:rsid w:val="00ED3A17"/>
    <w:rsid w:val="00F14981"/>
    <w:rsid w:val="00F7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CCFB10"/>
  <w15:chartTrackingRefBased/>
  <w15:docId w15:val="{016F5382-77C2-6645-B418-5A0AE6F6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8961BB"/>
  </w:style>
  <w:style w:type="paragraph" w:styleId="1">
    <w:name w:val="heading 1"/>
    <w:basedOn w:val="a"/>
    <w:next w:val="a"/>
    <w:link w:val="10"/>
    <w:uiPriority w:val="9"/>
    <w:qFormat/>
    <w:rsid w:val="00131C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31C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31C5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31C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31C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31C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31C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31C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31C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31C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31C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31C5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131C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31C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31C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31C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31C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31C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31C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31C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1C5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31C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1C56"/>
    <w:pPr>
      <w:spacing w:before="160" w:after="160"/>
      <w:jc w:val="center"/>
    </w:pPr>
    <w:rPr>
      <w:i/>
      <w:iCs/>
      <w:color w:val="404040" w:themeColor="text1" w:themeTint="BF"/>
    </w:rPr>
  </w:style>
  <w:style w:type="character" w:customStyle="1" w:styleId="a8">
    <w:name w:val="引用文 (文字)"/>
    <w:basedOn w:val="a0"/>
    <w:link w:val="a7"/>
    <w:uiPriority w:val="29"/>
    <w:rsid w:val="00131C56"/>
    <w:rPr>
      <w:i/>
      <w:iCs/>
      <w:color w:val="404040" w:themeColor="text1" w:themeTint="BF"/>
    </w:rPr>
  </w:style>
  <w:style w:type="paragraph" w:styleId="a9">
    <w:name w:val="List Paragraph"/>
    <w:basedOn w:val="a"/>
    <w:uiPriority w:val="34"/>
    <w:qFormat/>
    <w:rsid w:val="00131C56"/>
    <w:pPr>
      <w:ind w:left="720"/>
      <w:contextualSpacing/>
    </w:pPr>
  </w:style>
  <w:style w:type="character" w:styleId="21">
    <w:name w:val="Intense Emphasis"/>
    <w:basedOn w:val="a0"/>
    <w:uiPriority w:val="21"/>
    <w:qFormat/>
    <w:rsid w:val="00131C56"/>
    <w:rPr>
      <w:i/>
      <w:iCs/>
      <w:color w:val="2F5496" w:themeColor="accent1" w:themeShade="BF"/>
    </w:rPr>
  </w:style>
  <w:style w:type="paragraph" w:styleId="22">
    <w:name w:val="Intense Quote"/>
    <w:basedOn w:val="a"/>
    <w:next w:val="a"/>
    <w:link w:val="23"/>
    <w:uiPriority w:val="30"/>
    <w:qFormat/>
    <w:rsid w:val="00131C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31C56"/>
    <w:rPr>
      <w:i/>
      <w:iCs/>
      <w:color w:val="2F5496" w:themeColor="accent1" w:themeShade="BF"/>
    </w:rPr>
  </w:style>
  <w:style w:type="character" w:styleId="24">
    <w:name w:val="Intense Reference"/>
    <w:basedOn w:val="a0"/>
    <w:uiPriority w:val="32"/>
    <w:qFormat/>
    <w:rsid w:val="00131C56"/>
    <w:rPr>
      <w:b/>
      <w:bCs/>
      <w:smallCaps/>
      <w:color w:val="2F5496" w:themeColor="accent1" w:themeShade="BF"/>
      <w:spacing w:val="5"/>
    </w:rPr>
  </w:style>
  <w:style w:type="paragraph" w:styleId="aa">
    <w:name w:val="footer"/>
    <w:basedOn w:val="a"/>
    <w:link w:val="ab"/>
    <w:uiPriority w:val="99"/>
    <w:unhideWhenUsed/>
    <w:rsid w:val="00E86314"/>
    <w:pPr>
      <w:tabs>
        <w:tab w:val="center" w:pos="4252"/>
        <w:tab w:val="right" w:pos="8504"/>
      </w:tabs>
      <w:snapToGrid w:val="0"/>
    </w:pPr>
  </w:style>
  <w:style w:type="character" w:customStyle="1" w:styleId="ab">
    <w:name w:val="フッター (文字)"/>
    <w:basedOn w:val="a0"/>
    <w:link w:val="aa"/>
    <w:uiPriority w:val="99"/>
    <w:rsid w:val="00E86314"/>
  </w:style>
  <w:style w:type="character" w:styleId="ac">
    <w:name w:val="page number"/>
    <w:basedOn w:val="a0"/>
    <w:uiPriority w:val="99"/>
    <w:semiHidden/>
    <w:unhideWhenUsed/>
    <w:rsid w:val="00E86314"/>
  </w:style>
  <w:style w:type="character" w:styleId="ad">
    <w:name w:val="Hyperlink"/>
    <w:basedOn w:val="a0"/>
    <w:rsid w:val="00F73BD6"/>
    <w:rPr>
      <w:color w:val="0563C1"/>
      <w:u w:val="single"/>
    </w:rPr>
  </w:style>
  <w:style w:type="character" w:styleId="ae">
    <w:name w:val="annotation reference"/>
    <w:basedOn w:val="a0"/>
    <w:rsid w:val="008961BB"/>
    <w:rPr>
      <w:sz w:val="16"/>
    </w:rPr>
  </w:style>
  <w:style w:type="paragraph" w:styleId="af">
    <w:name w:val="annotation text"/>
    <w:basedOn w:val="a"/>
    <w:link w:val="af0"/>
    <w:rsid w:val="008961BB"/>
    <w:rPr>
      <w:rFonts w:ascii="Calibri" w:eastAsia="Calibri" w:hAnsi="Calibri" w:cs="Calibri"/>
      <w:sz w:val="20"/>
    </w:rPr>
  </w:style>
  <w:style w:type="character" w:customStyle="1" w:styleId="af0">
    <w:name w:val="コメント文字列 (文字)"/>
    <w:basedOn w:val="a0"/>
    <w:link w:val="af"/>
    <w:rsid w:val="008961BB"/>
    <w:rPr>
      <w:rFonts w:ascii="Calibri" w:eastAsia="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186/s13054-018-218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ira.endo.0112@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2754</Words>
  <Characters>15701</Characters>
  <Application>Microsoft Office Word</Application>
  <DocSecurity>0</DocSecurity>
  <Lines>130</Lines>
  <Paragraphs>36</Paragraphs>
  <ScaleCrop>false</ScaleCrop>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彰 遠藤</dc:creator>
  <cp:keywords/>
  <dc:description/>
  <cp:lastModifiedBy>彰 遠藤</cp:lastModifiedBy>
  <cp:revision>6</cp:revision>
  <dcterms:created xsi:type="dcterms:W3CDTF">2024-11-13T01:43:00Z</dcterms:created>
  <dcterms:modified xsi:type="dcterms:W3CDTF">2024-12-04T12:25:00Z</dcterms:modified>
</cp:coreProperties>
</file>