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34EF6" w14:textId="1704D1F2" w:rsidR="00AC0B54" w:rsidRDefault="00725049" w:rsidP="00AC0B54">
      <w:pPr>
        <w:pStyle w:val="Rubrik1"/>
      </w:pPr>
      <w:r>
        <w:t>H</w:t>
      </w:r>
      <w:r w:rsidR="009537C3">
        <w:t>ealth-Related</w:t>
      </w:r>
      <w:r w:rsidR="00AC0B54" w:rsidRPr="0049721F">
        <w:t xml:space="preserve"> Quality of Life after intensive care for sepsis, </w:t>
      </w:r>
      <w:r w:rsidR="00AC0B54" w:rsidRPr="0049721F">
        <w:br/>
        <w:t>a national cohort study</w:t>
      </w:r>
      <w:r w:rsidR="00AC0B54">
        <w:t>.</w:t>
      </w:r>
    </w:p>
    <w:p w14:paraId="3F75802F" w14:textId="4682FD9F" w:rsidR="00A82E4B" w:rsidRDefault="00EA5D6D" w:rsidP="00566511">
      <w:pPr>
        <w:pStyle w:val="Rubrik1"/>
      </w:pPr>
      <w:r>
        <w:t>Electronic online s</w:t>
      </w:r>
      <w:r w:rsidR="00AC0B54">
        <w:t>upplement</w:t>
      </w:r>
      <w:r w:rsidR="00F43318">
        <w:t>s</w:t>
      </w:r>
    </w:p>
    <w:p w14:paraId="08BF76BA" w14:textId="348CFEC4" w:rsidR="00EA5D6D" w:rsidRPr="00566511" w:rsidRDefault="00EA5D6D" w:rsidP="00EA5D6D">
      <w:r w:rsidRPr="00566511">
        <w:t>Peter Halvorsen</w:t>
      </w:r>
      <w:r w:rsidRPr="00566511">
        <w:rPr>
          <w:vertAlign w:val="superscript"/>
        </w:rPr>
        <w:t>1</w:t>
      </w:r>
      <w:r w:rsidRPr="00566511">
        <w:t>, Michael Marks-Hultström</w:t>
      </w:r>
      <w:r w:rsidRPr="00566511">
        <w:rPr>
          <w:vertAlign w:val="superscript"/>
        </w:rPr>
        <w:t>1,2</w:t>
      </w:r>
      <w:r w:rsidRPr="00566511">
        <w:t>, Ewa Wallin1, Björn Ahlström</w:t>
      </w:r>
      <w:r w:rsidRPr="00566511">
        <w:rPr>
          <w:vertAlign w:val="superscript"/>
        </w:rPr>
        <w:t>1,3</w:t>
      </w:r>
      <w:r w:rsidRPr="00566511">
        <w:t>, Miklós Lipcsey</w:t>
      </w:r>
      <w:r w:rsidRPr="00566511">
        <w:rPr>
          <w:vertAlign w:val="superscript"/>
        </w:rPr>
        <w:t>1,4</w:t>
      </w:r>
    </w:p>
    <w:p w14:paraId="343A6CB4" w14:textId="77777777" w:rsidR="00EA5D6D" w:rsidRDefault="00EA5D6D" w:rsidP="00EA5D6D">
      <w:r>
        <w:t>1. Anesthesiology and Intensive Care Medicine, Department of Surgical Sciences, Uppsala University, Uppsala, Sweden.</w:t>
      </w:r>
    </w:p>
    <w:p w14:paraId="4068F288" w14:textId="77777777" w:rsidR="00EA5D6D" w:rsidRDefault="00EA5D6D" w:rsidP="00EA5D6D">
      <w:r>
        <w:t>2. Integrative Physiology, Department of Medical Cell Biology, Uppsala University, Uppsala, Sweden.</w:t>
      </w:r>
    </w:p>
    <w:p w14:paraId="152D2DA4" w14:textId="77777777" w:rsidR="00EA5D6D" w:rsidRDefault="00EA5D6D" w:rsidP="00EA5D6D">
      <w:r>
        <w:t>3. Center for Clinical Research Dalarna, Uppsala University, Sweden</w:t>
      </w:r>
    </w:p>
    <w:p w14:paraId="267C5C4F" w14:textId="013CA514" w:rsidR="00EA5D6D" w:rsidRDefault="00EA5D6D" w:rsidP="00EA5D6D">
      <w:r>
        <w:t xml:space="preserve">4. </w:t>
      </w:r>
      <w:proofErr w:type="spellStart"/>
      <w:r>
        <w:t>Hedenstierna</w:t>
      </w:r>
      <w:proofErr w:type="spellEnd"/>
      <w:r>
        <w:t xml:space="preserve"> Laboratory, Department of Surgical Sciences, Uppsala University, Uppsala, Sweden.</w:t>
      </w:r>
    </w:p>
    <w:p w14:paraId="1B4931B7" w14:textId="77777777" w:rsidR="00EA5D6D" w:rsidRDefault="00EA5D6D" w:rsidP="00566511">
      <w:pPr>
        <w:pStyle w:val="Rubrik2"/>
      </w:pPr>
      <w:r w:rsidRPr="00566511">
        <w:t>Corresponding</w:t>
      </w:r>
      <w:r>
        <w:t xml:space="preserve"> author:</w:t>
      </w:r>
    </w:p>
    <w:p w14:paraId="62050A54" w14:textId="77777777" w:rsidR="00EA5D6D" w:rsidRDefault="00EA5D6D" w:rsidP="00EA5D6D">
      <w:pPr>
        <w:spacing w:line="256" w:lineRule="auto"/>
      </w:pPr>
      <w:r>
        <w:t>Peter Halvorsen</w:t>
      </w:r>
    </w:p>
    <w:p w14:paraId="766A11FA" w14:textId="77777777" w:rsidR="00EA5D6D" w:rsidRDefault="00EA5D6D" w:rsidP="00EA5D6D">
      <w:pPr>
        <w:spacing w:line="256" w:lineRule="auto"/>
      </w:pPr>
      <w:r>
        <w:t>peter.halvorsen@uu.se</w:t>
      </w:r>
    </w:p>
    <w:p w14:paraId="5E409F60" w14:textId="77777777" w:rsidR="00EA5D6D" w:rsidRDefault="00EA5D6D" w:rsidP="00EA5D6D">
      <w:pPr>
        <w:spacing w:after="0" w:line="360" w:lineRule="auto"/>
      </w:pPr>
      <w:r>
        <w:t>Department of Anesthesia and Intensive Care</w:t>
      </w:r>
    </w:p>
    <w:p w14:paraId="702F13F1" w14:textId="77777777" w:rsidR="00EA5D6D" w:rsidRDefault="00EA5D6D" w:rsidP="00EA5D6D">
      <w:pPr>
        <w:spacing w:after="0" w:line="360" w:lineRule="auto"/>
        <w:rPr>
          <w:lang w:val="sv-SE"/>
        </w:rPr>
      </w:pPr>
      <w:r w:rsidRPr="003320C4">
        <w:rPr>
          <w:lang w:val="sv-SE"/>
        </w:rPr>
        <w:t>Akademiska sjukhuset, Ing 70</w:t>
      </w:r>
    </w:p>
    <w:p w14:paraId="591CFE3C" w14:textId="77777777" w:rsidR="00EA5D6D" w:rsidRPr="003320C4" w:rsidRDefault="00EA5D6D" w:rsidP="00EA5D6D">
      <w:pPr>
        <w:spacing w:after="0" w:line="360" w:lineRule="auto"/>
        <w:rPr>
          <w:lang w:val="sv-SE"/>
        </w:rPr>
      </w:pPr>
      <w:r w:rsidRPr="003320C4">
        <w:rPr>
          <w:lang w:val="sv-SE"/>
        </w:rPr>
        <w:t>Uppsala University</w:t>
      </w:r>
    </w:p>
    <w:p w14:paraId="48521D09" w14:textId="77777777" w:rsidR="00EA5D6D" w:rsidRPr="003320C4" w:rsidRDefault="00EA5D6D" w:rsidP="00EA5D6D">
      <w:pPr>
        <w:spacing w:after="0" w:line="360" w:lineRule="auto"/>
        <w:rPr>
          <w:lang w:val="sv-SE"/>
        </w:rPr>
      </w:pPr>
      <w:r w:rsidRPr="003320C4">
        <w:rPr>
          <w:lang w:val="sv-SE"/>
        </w:rPr>
        <w:t>Uppsala, S-751 85</w:t>
      </w:r>
    </w:p>
    <w:p w14:paraId="1130C8ED" w14:textId="77777777" w:rsidR="00EA5D6D" w:rsidRDefault="00EA5D6D" w:rsidP="00EA5D6D">
      <w:pPr>
        <w:spacing w:after="0" w:line="360" w:lineRule="auto"/>
      </w:pPr>
      <w:r>
        <w:t>Sweden</w:t>
      </w:r>
    </w:p>
    <w:p w14:paraId="1798D9BB" w14:textId="77777777" w:rsidR="00EA5D6D" w:rsidRPr="00623226" w:rsidRDefault="00EA5D6D" w:rsidP="00EA5D6D">
      <w:pPr>
        <w:rPr>
          <w:color w:val="000000" w:themeColor="text1"/>
        </w:rPr>
      </w:pPr>
      <w:r w:rsidRPr="00623226">
        <w:rPr>
          <w:color w:val="000000" w:themeColor="text1"/>
        </w:rPr>
        <w:t xml:space="preserve">ORCID </w:t>
      </w:r>
      <w:proofErr w:type="spellStart"/>
      <w:r w:rsidRPr="00623226">
        <w:rPr>
          <w:color w:val="000000" w:themeColor="text1"/>
        </w:rPr>
        <w:t>iD</w:t>
      </w:r>
      <w:proofErr w:type="spellEnd"/>
      <w:r w:rsidRPr="00623226">
        <w:rPr>
          <w:color w:val="000000" w:themeColor="text1"/>
        </w:rPr>
        <w:t>: 0009-0004-9727-8144</w:t>
      </w:r>
    </w:p>
    <w:p w14:paraId="4007B54D" w14:textId="5FA1CDF3" w:rsidR="00EA5D6D" w:rsidRDefault="00EA5D6D">
      <w:pPr>
        <w:spacing w:line="259" w:lineRule="auto"/>
      </w:pPr>
      <w:r>
        <w:br w:type="page"/>
      </w:r>
    </w:p>
    <w:p w14:paraId="2E5EE75D" w14:textId="3E3BCF57" w:rsidR="00140505" w:rsidRDefault="00816C23" w:rsidP="00566511">
      <w:pPr>
        <w:pStyle w:val="Rubrik2"/>
      </w:pPr>
      <w:r>
        <w:lastRenderedPageBreak/>
        <w:t>Order</w:t>
      </w:r>
      <w:r w:rsidR="00140505">
        <w:t xml:space="preserve"> of </w:t>
      </w:r>
      <w:r w:rsidR="00140505" w:rsidRPr="00566511">
        <w:t>content</w:t>
      </w:r>
      <w:r w:rsidR="00140505">
        <w:t>:</w:t>
      </w:r>
    </w:p>
    <w:p w14:paraId="169ADE2D" w14:textId="0F0D67E4" w:rsidR="00140505" w:rsidRDefault="00140505" w:rsidP="00140505">
      <w:bookmarkStart w:id="0" w:name="_Hlk188898122"/>
      <w:r>
        <w:t>The selection process of cases and controls</w:t>
      </w:r>
    </w:p>
    <w:bookmarkEnd w:id="0"/>
    <w:p w14:paraId="702D995C" w14:textId="5F36B246" w:rsidR="00140505" w:rsidRDefault="00140505" w:rsidP="00140505">
      <w:r>
        <w:t>The RAND-36 instrument</w:t>
      </w:r>
    </w:p>
    <w:p w14:paraId="0B9FAC77" w14:textId="719ED8B2" w:rsidR="00D509A3" w:rsidRDefault="00D509A3" w:rsidP="00140505">
      <w:r>
        <w:t>The collection of RAND-36 data for the Swedish intensive care registry</w:t>
      </w:r>
    </w:p>
    <w:p w14:paraId="5AD45C9B" w14:textId="67D5891C" w:rsidR="00974F5D" w:rsidRDefault="00974F5D" w:rsidP="00140505">
      <w:r w:rsidRPr="00974F5D">
        <w:t>Imputation process</w:t>
      </w:r>
    </w:p>
    <w:p w14:paraId="58E6E52F" w14:textId="5F019595" w:rsidR="00CF447E" w:rsidRDefault="00CF447E" w:rsidP="00140505">
      <w:r>
        <w:t>Statistical programs an</w:t>
      </w:r>
      <w:r w:rsidR="00974F5D">
        <w:t>d</w:t>
      </w:r>
      <w:r>
        <w:t xml:space="preserve"> packages</w:t>
      </w:r>
    </w:p>
    <w:p w14:paraId="19ACFEEA" w14:textId="3B366254" w:rsidR="00140505" w:rsidRDefault="00140505" w:rsidP="00140505">
      <w:r>
        <w:t>Supplement</w:t>
      </w:r>
      <w:r w:rsidR="00C0059A">
        <w:t>al</w:t>
      </w:r>
      <w:r>
        <w:t xml:space="preserve"> Figure 1</w:t>
      </w:r>
      <w:r w:rsidR="000276AE">
        <w:t>.</w:t>
      </w:r>
      <w:r w:rsidR="00F00F1E">
        <w:t xml:space="preserve"> </w:t>
      </w:r>
      <w:r w:rsidR="000276AE">
        <w:t>P</w:t>
      </w:r>
      <w:r w:rsidR="00F00F1E">
        <w:t>at</w:t>
      </w:r>
      <w:r w:rsidR="00B030F8">
        <w:t>i</w:t>
      </w:r>
      <w:r w:rsidR="00F00F1E">
        <w:t>ent selection flowchart</w:t>
      </w:r>
      <w:r w:rsidR="000276AE">
        <w:t>.</w:t>
      </w:r>
    </w:p>
    <w:p w14:paraId="222F796E" w14:textId="3AB30C20" w:rsidR="00140505" w:rsidRDefault="00140505" w:rsidP="00140505">
      <w:r>
        <w:t>Supplement</w:t>
      </w:r>
      <w:r w:rsidR="00C0059A">
        <w:t>al</w:t>
      </w:r>
      <w:r>
        <w:t xml:space="preserve"> figure 2</w:t>
      </w:r>
      <w:r w:rsidR="000276AE">
        <w:t>.</w:t>
      </w:r>
      <w:r w:rsidR="00F00F1E">
        <w:t xml:space="preserve"> </w:t>
      </w:r>
      <w:r w:rsidR="000276AE">
        <w:t>A</w:t>
      </w:r>
      <w:r w:rsidR="00F00F1E">
        <w:t xml:space="preserve"> histogram of RAND-36 follow</w:t>
      </w:r>
      <w:r w:rsidR="00B030F8">
        <w:t>-</w:t>
      </w:r>
      <w:r w:rsidR="00F00F1E">
        <w:t>up and division into groups</w:t>
      </w:r>
      <w:r w:rsidR="000276AE">
        <w:t>.</w:t>
      </w:r>
    </w:p>
    <w:p w14:paraId="704CD808" w14:textId="01EBADD2" w:rsidR="00384FE0" w:rsidRDefault="00384FE0" w:rsidP="00384FE0">
      <w:r>
        <w:t>Supplement</w:t>
      </w:r>
      <w:r w:rsidR="00C0059A">
        <w:t>al</w:t>
      </w:r>
      <w:r>
        <w:t xml:space="preserve"> figure 3</w:t>
      </w:r>
      <w:r w:rsidR="000276AE">
        <w:t>.</w:t>
      </w:r>
      <w:r w:rsidR="00F00F1E">
        <w:t xml:space="preserve"> </w:t>
      </w:r>
      <w:r w:rsidR="000276AE">
        <w:t>T</w:t>
      </w:r>
      <w:r w:rsidR="00F00F1E">
        <w:t>he main analysis of RAND-36 data with confidence intervals</w:t>
      </w:r>
      <w:r w:rsidR="000276AE">
        <w:t>.</w:t>
      </w:r>
    </w:p>
    <w:p w14:paraId="7403B43C" w14:textId="006825C2" w:rsidR="003E4271" w:rsidRDefault="003E4271" w:rsidP="00384FE0">
      <w:r>
        <w:t>Supplement</w:t>
      </w:r>
      <w:r w:rsidR="00C0059A">
        <w:t>al</w:t>
      </w:r>
      <w:r>
        <w:t xml:space="preserve"> figure </w:t>
      </w:r>
      <w:r w:rsidR="001123F0">
        <w:t>4</w:t>
      </w:r>
      <w:r w:rsidR="000276AE">
        <w:t>.</w:t>
      </w:r>
      <w:r>
        <w:t xml:space="preserve"> </w:t>
      </w:r>
      <w:r w:rsidR="000276AE">
        <w:t>A</w:t>
      </w:r>
      <w:r>
        <w:t xml:space="preserve"> forest plot panel of the mixed effects model stratified in time as the main </w:t>
      </w:r>
      <w:r w:rsidR="001123F0">
        <w:t>analysis</w:t>
      </w:r>
      <w:r w:rsidR="000276AE">
        <w:t>.</w:t>
      </w:r>
      <w:r>
        <w:t xml:space="preserve"> </w:t>
      </w:r>
    </w:p>
    <w:p w14:paraId="6E868BE0" w14:textId="06C9DC59" w:rsidR="001123F0" w:rsidRDefault="001123F0" w:rsidP="001123F0">
      <w:r>
        <w:t>Supplement</w:t>
      </w:r>
      <w:r w:rsidR="00C0059A">
        <w:t>al</w:t>
      </w:r>
      <w:r>
        <w:t xml:space="preserve"> figure 5</w:t>
      </w:r>
      <w:r w:rsidR="000276AE">
        <w:t>.</w:t>
      </w:r>
      <w:r>
        <w:t xml:space="preserve"> </w:t>
      </w:r>
      <w:r w:rsidR="000276AE">
        <w:t>A</w:t>
      </w:r>
      <w:r>
        <w:t xml:space="preserve"> forest plot of the mixed effects model of our imputed </w:t>
      </w:r>
      <w:r w:rsidR="00C7277C">
        <w:t>dataset</w:t>
      </w:r>
      <w:r w:rsidR="000276AE">
        <w:t>.</w:t>
      </w:r>
      <w:r>
        <w:t xml:space="preserve"> </w:t>
      </w:r>
    </w:p>
    <w:p w14:paraId="60D28095" w14:textId="619AA6EA" w:rsidR="00F573DE" w:rsidRDefault="00F573DE" w:rsidP="00384FE0">
      <w:r>
        <w:t>Supplement</w:t>
      </w:r>
      <w:r w:rsidR="00C0059A">
        <w:t>al</w:t>
      </w:r>
      <w:r>
        <w:t xml:space="preserve"> figure 6</w:t>
      </w:r>
      <w:r w:rsidR="000276AE">
        <w:t>.</w:t>
      </w:r>
      <w:r>
        <w:t xml:space="preserve"> </w:t>
      </w:r>
      <w:r w:rsidR="000276AE">
        <w:t>A</w:t>
      </w:r>
      <w:r>
        <w:t xml:space="preserve"> forest plot of the mixed effects model of our imputed data set</w:t>
      </w:r>
      <w:r w:rsidR="00AE06ED">
        <w:t>,</w:t>
      </w:r>
      <w:r>
        <w:t xml:space="preserve"> with the lowest 5% of each RAND-36 dimension censored</w:t>
      </w:r>
      <w:r w:rsidR="000276AE">
        <w:t>.</w:t>
      </w:r>
    </w:p>
    <w:p w14:paraId="3C14D078" w14:textId="2CB56593" w:rsidR="008C4D02" w:rsidRDefault="008C4D02" w:rsidP="00384FE0">
      <w:r w:rsidRPr="008C4D02">
        <w:t>Supplement</w:t>
      </w:r>
      <w:r w:rsidR="00C0059A">
        <w:t>al</w:t>
      </w:r>
      <w:r w:rsidRPr="008C4D02">
        <w:t xml:space="preserve"> Figure 7. A graph showing the mean and confidence interval of the sick-leave in subgroup 25-60 years old</w:t>
      </w:r>
      <w:r w:rsidR="000276AE">
        <w:t>.</w:t>
      </w:r>
    </w:p>
    <w:p w14:paraId="7DA3086F" w14:textId="32634008" w:rsidR="00F573DE" w:rsidRDefault="004E67DB" w:rsidP="00384FE0">
      <w:bookmarkStart w:id="1" w:name="_Hlk197979350"/>
      <w:r w:rsidRPr="004E67DB">
        <w:t>Supplement</w:t>
      </w:r>
      <w:r w:rsidR="00C0059A">
        <w:t>al</w:t>
      </w:r>
      <w:r w:rsidRPr="004E67DB">
        <w:t xml:space="preserve"> figure </w:t>
      </w:r>
      <w:r w:rsidR="008C4D02">
        <w:t>8</w:t>
      </w:r>
      <w:bookmarkEnd w:id="1"/>
      <w:r w:rsidR="000276AE">
        <w:t>. A</w:t>
      </w:r>
      <w:r w:rsidRPr="004E67DB">
        <w:t xml:space="preserve"> forest plot of the mixed effects model of</w:t>
      </w:r>
      <w:r>
        <w:t xml:space="preserve"> the subgroup with age 25-60 with RAND-36 data</w:t>
      </w:r>
      <w:r w:rsidR="00C7277C">
        <w:t>,</w:t>
      </w:r>
      <w:r>
        <w:t xml:space="preserve"> where we added sick-leave to the analysis.</w:t>
      </w:r>
    </w:p>
    <w:p w14:paraId="3F2189C1" w14:textId="4AD4210D" w:rsidR="003E4271" w:rsidRDefault="003E4271" w:rsidP="00384FE0">
      <w:r>
        <w:t>Supplement</w:t>
      </w:r>
      <w:r w:rsidR="00C0059A">
        <w:t>al</w:t>
      </w:r>
      <w:r>
        <w:t xml:space="preserve"> figure </w:t>
      </w:r>
      <w:r w:rsidR="008C4D02">
        <w:t>9</w:t>
      </w:r>
      <w:r w:rsidR="000276AE">
        <w:t>. A</w:t>
      </w:r>
      <w:r>
        <w:t xml:space="preserve"> forest plot of the linear model between sick-leave and HRQoL</w:t>
      </w:r>
      <w:r w:rsidR="000276AE">
        <w:t>.</w:t>
      </w:r>
      <w:r>
        <w:t xml:space="preserve"> </w:t>
      </w:r>
    </w:p>
    <w:p w14:paraId="27CDAC91" w14:textId="098A7C6B" w:rsidR="00384FE0" w:rsidRDefault="00384FE0" w:rsidP="002647A6">
      <w:r>
        <w:t>Supplement</w:t>
      </w:r>
      <w:r w:rsidR="00C0059A">
        <w:t>al</w:t>
      </w:r>
      <w:r>
        <w:t xml:space="preserve"> table 1</w:t>
      </w:r>
      <w:r w:rsidR="000276AE">
        <w:t>. A</w:t>
      </w:r>
      <w:r w:rsidR="00F00F1E">
        <w:t xml:space="preserve"> table over the diagnoses and corresponding ICD-10 codes</w:t>
      </w:r>
      <w:r w:rsidR="000276AE">
        <w:t>.</w:t>
      </w:r>
    </w:p>
    <w:p w14:paraId="01DA789A" w14:textId="1FC81D5D" w:rsidR="00D82C95" w:rsidRDefault="00D82C95" w:rsidP="002647A6">
      <w:r w:rsidRPr="00D82C95">
        <w:t>Supplement</w:t>
      </w:r>
      <w:r w:rsidR="00C0059A">
        <w:t>al</w:t>
      </w:r>
      <w:r w:rsidRPr="00D82C95">
        <w:t xml:space="preserve"> Table 2</w:t>
      </w:r>
      <w:r w:rsidR="000276AE">
        <w:t>. A</w:t>
      </w:r>
      <w:r>
        <w:t xml:space="preserve"> table </w:t>
      </w:r>
      <w:r w:rsidR="000276AE">
        <w:t xml:space="preserve">showing the coding of </w:t>
      </w:r>
      <w:r w:rsidRPr="00D82C95">
        <w:t>the education</w:t>
      </w:r>
      <w:r w:rsidR="000276AE">
        <w:t>.</w:t>
      </w:r>
    </w:p>
    <w:p w14:paraId="01204435" w14:textId="4D9B5E43" w:rsidR="00F00F1E" w:rsidRDefault="00725049">
      <w:pPr>
        <w:spacing w:line="259" w:lineRule="auto"/>
      </w:pPr>
      <w:r>
        <w:t>References</w:t>
      </w:r>
      <w:r w:rsidR="00F00F1E">
        <w:br w:type="page"/>
      </w:r>
    </w:p>
    <w:p w14:paraId="23C4753F" w14:textId="5E8ABBF8" w:rsidR="00140505" w:rsidRDefault="00140505" w:rsidP="00566511">
      <w:pPr>
        <w:pStyle w:val="Rubrik2"/>
      </w:pPr>
      <w:r w:rsidRPr="00140505">
        <w:lastRenderedPageBreak/>
        <w:t>The selection process of cases and controls</w:t>
      </w:r>
    </w:p>
    <w:p w14:paraId="4D0FF324" w14:textId="0056AF69" w:rsidR="00AE1DB9" w:rsidRDefault="00AE1DB9" w:rsidP="00AE1DB9">
      <w:r>
        <w:t xml:space="preserve">The original cohort </w:t>
      </w:r>
      <w:r w:rsidRPr="003468AB">
        <w:t xml:space="preserve">from </w:t>
      </w:r>
      <w:r>
        <w:t xml:space="preserve">SIR had </w:t>
      </w:r>
      <w:r w:rsidRPr="001D0030">
        <w:t>42</w:t>
      </w:r>
      <w:r>
        <w:t>,</w:t>
      </w:r>
      <w:r w:rsidRPr="001D0030">
        <w:t>1</w:t>
      </w:r>
      <w:r>
        <w:t xml:space="preserve">51 </w:t>
      </w:r>
      <w:r w:rsidR="002F57D7">
        <w:t>intensive care unit (</w:t>
      </w:r>
      <w:r w:rsidRPr="00166915">
        <w:t>ICU</w:t>
      </w:r>
      <w:r w:rsidR="002F57D7">
        <w:t>)</w:t>
      </w:r>
      <w:r>
        <w:t xml:space="preserve"> patients with sepsis, 73 were excluded due to absence in the SCB registers, and one was excluded due to faulty registration of Swedish identity number, </w:t>
      </w:r>
      <w:r w:rsidRPr="00166915">
        <w:t xml:space="preserve">amounting </w:t>
      </w:r>
      <w:r>
        <w:t>to 42,077 sepsis cases with data</w:t>
      </w:r>
      <w:r w:rsidR="004C2125">
        <w:t xml:space="preserve"> (Supplement figure 1, patient selection flowchart)</w:t>
      </w:r>
      <w:r>
        <w:t xml:space="preserve">. Among the sepsis cases, we received RAND-36 data on </w:t>
      </w:r>
      <w:r w:rsidRPr="001D0030">
        <w:t>14</w:t>
      </w:r>
      <w:r>
        <w:t>,041 individuals. Since there was a considerable spread in time of the RAND-36 observations</w:t>
      </w:r>
      <w:r w:rsidR="00C7277C">
        <w:t>,</w:t>
      </w:r>
      <w:r>
        <w:t xml:space="preserve"> we chose to group the observations in three strata according to </w:t>
      </w:r>
      <w:r w:rsidR="00F00F1E">
        <w:t>Supplement</w:t>
      </w:r>
      <w:r w:rsidR="00384FE0">
        <w:t xml:space="preserve"> </w:t>
      </w:r>
      <w:r w:rsidR="00F00F1E">
        <w:t>F</w:t>
      </w:r>
      <w:r w:rsidR="00384FE0">
        <w:t>igure 2</w:t>
      </w:r>
      <w:r>
        <w:t xml:space="preserve"> and discard observations outside the range of day 10 - 450 after ICU discharge, leaving us with </w:t>
      </w:r>
      <w:r w:rsidRPr="00C3666E">
        <w:t>14,0</w:t>
      </w:r>
      <w:r>
        <w:t>06 individuals and 28,396 questionnaires. The strata were used to analyze each RAND-36 dimension over time</w:t>
      </w:r>
      <w:r w:rsidR="00C7277C">
        <w:t>,</w:t>
      </w:r>
      <w:r>
        <w:t xml:space="preserve"> corresponding to 3-, 6-, and </w:t>
      </w:r>
      <w:r w:rsidR="00AE06ED">
        <w:t>12-month</w:t>
      </w:r>
      <w:r>
        <w:t xml:space="preserve"> follow-up</w:t>
      </w:r>
      <w:r w:rsidRPr="00B31641">
        <w:t xml:space="preserve">, </w:t>
      </w:r>
      <w:r>
        <w:t xml:space="preserve">each </w:t>
      </w:r>
      <w:r w:rsidRPr="00B31641">
        <w:t>containing between</w:t>
      </w:r>
      <w:r>
        <w:t xml:space="preserve"> 7,873 </w:t>
      </w:r>
      <w:r w:rsidRPr="008236F7">
        <w:t>–</w:t>
      </w:r>
      <w:r>
        <w:t xml:space="preserve"> </w:t>
      </w:r>
      <w:r w:rsidRPr="008236F7">
        <w:t xml:space="preserve">10,835 </w:t>
      </w:r>
      <w:r>
        <w:t>observations. Statistics Sweden provided four matched controls for each case</w:t>
      </w:r>
      <w:r w:rsidR="00C7277C">
        <w:t>,</w:t>
      </w:r>
      <w:r>
        <w:t xml:space="preserve"> amounting to </w:t>
      </w:r>
      <w:r w:rsidRPr="00C3666E">
        <w:t>168,308</w:t>
      </w:r>
      <w:r>
        <w:t xml:space="preserve"> controls. Individuals were only eligible to be controls once; however, 817 controls later became cases.</w:t>
      </w:r>
    </w:p>
    <w:p w14:paraId="06143BC5" w14:textId="736EAA0A" w:rsidR="0078003E" w:rsidRDefault="0078003E" w:rsidP="0078003E">
      <w:r>
        <w:t xml:space="preserve">The </w:t>
      </w:r>
      <w:r w:rsidRPr="00205FC3">
        <w:t xml:space="preserve">11,813 </w:t>
      </w:r>
      <w:r>
        <w:t xml:space="preserve">cases in the subgroup of working-age sepsis </w:t>
      </w:r>
      <w:r w:rsidRPr="00205FC3">
        <w:t>patients</w:t>
      </w:r>
      <w:r>
        <w:t xml:space="preserve"> were </w:t>
      </w:r>
      <w:r w:rsidRPr="00205FC3">
        <w:t xml:space="preserve">compared with four matched controls </w:t>
      </w:r>
      <w:r>
        <w:t xml:space="preserve">each </w:t>
      </w:r>
      <w:r w:rsidRPr="00205FC3">
        <w:t xml:space="preserve">(47,252). </w:t>
      </w:r>
      <w:r>
        <w:t>Of these, 2,256 (19%) patients had died at 24 months</w:t>
      </w:r>
      <w:r w:rsidR="00AE06ED">
        <w:t>,</w:t>
      </w:r>
      <w:r>
        <w:t xml:space="preserve"> of whom 814 (7%) died </w:t>
      </w:r>
      <w:r w:rsidR="004C2125">
        <w:t xml:space="preserve">in </w:t>
      </w:r>
      <w:r>
        <w:t>the first month, whereas in the control group</w:t>
      </w:r>
      <w:r w:rsidR="00C7277C">
        <w:t>,</w:t>
      </w:r>
      <w:r>
        <w:t xml:space="preserve"> 181 (.3%) individuals died within 24 months and 3 (.06</w:t>
      </w:r>
      <w:r w:rsidRPr="00937D60">
        <w:t>‰</w:t>
      </w:r>
      <w:r>
        <w:t>)</w:t>
      </w:r>
      <w:r w:rsidR="004C2125">
        <w:t xml:space="preserve"> in</w:t>
      </w:r>
      <w:r>
        <w:t xml:space="preserve"> the first month.</w:t>
      </w:r>
    </w:p>
    <w:p w14:paraId="59040F1F" w14:textId="77777777" w:rsidR="00140505" w:rsidRDefault="00140505" w:rsidP="00566511">
      <w:pPr>
        <w:pStyle w:val="Rubrik2"/>
      </w:pPr>
      <w:r>
        <w:t>The RAND-36 instrument</w:t>
      </w:r>
    </w:p>
    <w:p w14:paraId="0BC505A9" w14:textId="2DCDC6D5" w:rsidR="00140505" w:rsidRDefault="00140505" w:rsidP="00140505">
      <w:r>
        <w:t>The RAND-36 was developed to reflect the part of the World Health Organization’s definition of health that pertains to self-reports of physical, mental and social well-being and functional ability</w:t>
      </w:r>
      <w:r>
        <w:fldChar w:fldCharType="begin"/>
      </w:r>
      <w:r w:rsidR="00725049">
        <w:instrText xml:space="preserve"> ADDIN ZOTERO_ITEM CSL_CITATION {"citationID":"qJH30oFd","properties":{"formattedCitation":"[1, 2]","plainCitation":"[1, 2]","noteIndex":0},"citationItems":[{"id":101,"uris":["http://zotero.org/users/8931952/items/H6WDXNZD"],"itemData":{"id":101,"type":"article-journal","container-title":"Health Economics","DOI":"10.1002/hec.4730020305","ISSN":"10579230, 10991050","issue":"3","journalAbbreviation":"Health Econ.","language":"en","page":"217-227","source":"DOI.org (Crossref)","title":"The rand 36-item health survey 1.0","volume":"2","author":[{"family":"Hays","given":"Ron D."},{"family":"Sherbourne","given":"Cathy Donald"},{"family":"Mazel","given":"Rebecca M."}],"issued":{"date-parts":[["1993",10]]}}},{"id":7,"uris":["http://zotero.org/users/8931952/items/DGGQ794D"],"itemData":{"id":7,"type":"article-journal","container-title":"Annals of Medicine","DOI":"10.3109/07853890109002089","ISSN":"0785-3890, 1365-2060","issue":"5","journalAbbreviation":"Annals of Medicine","language":"en","page":"350-357","source":"DOI.org (Crossref)","title":"The RAND-36 measure of health-related quality of life","volume":"33","author":[{"family":"Hays","given":"Ron D"},{"family":"Morales","given":"Leo S"}],"issued":{"date-parts":[["2001",1]]}}}],"schema":"https://github.com/citation-style-language/schema/raw/master/csl-citation.json"} </w:instrText>
      </w:r>
      <w:r>
        <w:fldChar w:fldCharType="separate"/>
      </w:r>
      <w:r w:rsidR="00725049" w:rsidRPr="00725049">
        <w:rPr>
          <w:rFonts w:ascii="Calibri" w:hAnsi="Calibri" w:cs="Calibri"/>
        </w:rPr>
        <w:t>[1, 2]</w:t>
      </w:r>
      <w:r>
        <w:fldChar w:fldCharType="end"/>
      </w:r>
      <w:r>
        <w:t xml:space="preserve"> and it has been translated and validated for the Swedish language</w:t>
      </w:r>
      <w:r>
        <w:fldChar w:fldCharType="begin"/>
      </w:r>
      <w:r w:rsidR="00725049">
        <w:instrText xml:space="preserve"> ADDIN ZOTERO_ITEM CSL_CITATION {"citationID":"Pnxm5Q84","properties":{"formattedCitation":"[3]","plainCitation":"[3]","noteIndex":0},"citationItems":[{"id":122,"uris":["http://zotero.org/users/8931952/items/ZNXSV7DD",["http://zotero.org/users/8931952/items/ZNXSV7DD"]],"itemData":{"id":122,"type":"article-journal","abstract":"Background: The Short Form 36-Item Survey is one of the most commonly used instruments for assessing health-related quality of life. Two identical versions of the original instrument are currently available: the public domain, license free RAND-36 and the commercial SF-36. RAND-36 is not available in Swedish. The purpose of this study was threefold: to translate and culturally adapt the RAND-36 into Swedish; to evaluate its reliability and responsiveness using Svensson’s method for paired ordered categorical data; and to assess the usability of an electronic version of the questionnaire. The translation process included forward and backward translations and reconciliation. Test-retest reliability was examined during a period of two-weeks in 84 patients undergoing dialysis for chronic kidney disease. Responsiveness was examined in 97 patients before and 2 months after a cardiac rehabilitation program. Usability tests and cognitive debriefing of the electronic questionnaire were carried out with 18 patients.\nResults: The Swedish translation of the RAND-36 was conceptually equivalent to the English version. Test-retest reliability was supported by non-significant relative position (RP) values among dialysis patients for all RAND-36 subscales (range − 0.02 to 0.10; all confidence intervals (CI) included zero). Responsiveness was demonstrated by significant improvements in RP values among cardiac rehabilitation patients for all subscales (range 0.22–0.36; lower limits of all CI &gt; 0.1) except two subscales (General health, RP -0.02; CI -0.13 to 0.10; and Role functioning/emotional, RP 0.03; CI -0.09 to 0.16). In cardiac rehabilitation patients, sizable individual variation (RV &gt; 0.2) was also shown for the Pain, Energy/fatigue and Social functioning subscales. The electronic version of RAND-36 was found easy and intuitive to use.\nConclusions: Our results provide evidence supporting the reliability and responsiveness of the newly translated Swedish RAND-36 and the user-friendliness of the electronic version. Svensson’s method for paired ordinal data was able to characterize not only the direction and size of differences among the patients’ responses at different time points but also variations in response patterns within groups. The method is therefore, besides being suitable for ordinal data, also an important and novel tool for gaining insights into patients’ response patterns to treatment or interventions, thus informing individualized care.","container-title":"Journal of Patient-Reported Outcomes","DOI":"10.1186/s41687-018-0030-0","ISSN":"2509-8020","issue":"1","journalAbbreviation":"J Patient Rep Outcomes","language":"en","page":"4","source":"DOI.org (Crossref)","title":"The Swedish RAND-36 Health Survey - reliability and responsiveness assessed in patient populations using Svensson’s method for paired ordinal data","volume":"2","author":[{"family":"Orwelius","given":"Lotti"},{"family":"Nilsson","given":"Mats"},{"family":"Nilsson","given":"Evalill"},{"family":"Wenemark","given":"Marika"},{"family":"Walfridsson","given":"Ulla"},{"family":"Lundström","given":"Mats"},{"family":"Taft","given":"Charles"},{"family":"Palaszewski","given":"Bo"},{"family":"Kristenson","given":"Margareta"}],"issued":{"date-parts":[["2018",12]]}}}],"schema":"https://github.com/citation-style-language/schema/raw/master/csl-citation.json"} </w:instrText>
      </w:r>
      <w:r>
        <w:fldChar w:fldCharType="separate"/>
      </w:r>
      <w:r w:rsidR="00725049" w:rsidRPr="00725049">
        <w:rPr>
          <w:rFonts w:ascii="Calibri" w:hAnsi="Calibri" w:cs="Calibri"/>
        </w:rPr>
        <w:t>[3]</w:t>
      </w:r>
      <w:r>
        <w:fldChar w:fldCharType="end"/>
      </w:r>
      <w:r>
        <w:t>.</w:t>
      </w:r>
      <w:r w:rsidR="00C7277C">
        <w:t xml:space="preserve"> </w:t>
      </w:r>
      <w:r>
        <w:t>The instrument is standardized and validated to assess physical, mental and social aspects of health and contains 36 items divided into eight subscales or dimensions to measure health status. These dimensions are physical function, physical role function, bodily pain, general health, vitality, social function, emotional role function and mental health. The first four dimensions measure physical health and the last four mental and social health. All sub-scales are transformed to a scale from 0 (the worst score) to 100 (the best score).</w:t>
      </w:r>
      <w:r w:rsidR="00D509A3">
        <w:t xml:space="preserve"> </w:t>
      </w:r>
    </w:p>
    <w:p w14:paraId="262E56B0" w14:textId="1D3BB6EA" w:rsidR="00D509A3" w:rsidRDefault="00D509A3" w:rsidP="00D509A3">
      <w:pPr>
        <w:pStyle w:val="Rubrik4"/>
      </w:pPr>
      <w:r>
        <w:lastRenderedPageBreak/>
        <w:t>Our scoring of RAND-36</w:t>
      </w:r>
    </w:p>
    <w:p w14:paraId="2B63EBC4" w14:textId="72CBC847" w:rsidR="00D509A3" w:rsidRPr="00D509A3" w:rsidRDefault="00D509A3" w:rsidP="00D509A3">
      <w:r>
        <w:t>From the scoring manual</w:t>
      </w:r>
      <w:r w:rsidR="00561067">
        <w:t xml:space="preserve"> from RAND</w:t>
      </w:r>
      <w:r>
        <w:t>:</w:t>
      </w:r>
      <w:r w:rsidRPr="00D509A3">
        <w:t xml:space="preserve"> “Items that are left blank (missing data) are not </w:t>
      </w:r>
      <w:proofErr w:type="gramStart"/>
      <w:r w:rsidRPr="00D509A3">
        <w:t>taken into account</w:t>
      </w:r>
      <w:proofErr w:type="gramEnd"/>
      <w:r w:rsidRPr="00D509A3">
        <w:t xml:space="preserve"> when calculating the scale scores. Hence, scale scores represent the average for all items in the scale that the respondent answered.”</w:t>
      </w:r>
      <w:r w:rsidR="00561067">
        <w:fldChar w:fldCharType="begin"/>
      </w:r>
      <w:r w:rsidR="00725049">
        <w:instrText xml:space="preserve"> ADDIN ZOTERO_ITEM CSL_CITATION {"citationID":"crSRuLnm","properties":{"formattedCitation":"[4]","plainCitation":"[4]","noteIndex":0},"citationItems":[{"id":425,"uris":["http://zotero.org/users/8931952/items/7W9CCTYW"],"itemData":{"id":425,"type":"webpage","title":"36-Item Short Form Survey (SF-36) Scoring Instructions | RAND","URL":"https://www.rand.org/health-care/surveys_tools/mos/36-item-short-form/scoring.html","accessed":{"date-parts":[["2025",4,30]]}}}],"schema":"https://github.com/citation-style-language/schema/raw/master/csl-citation.json"} </w:instrText>
      </w:r>
      <w:r w:rsidR="00561067">
        <w:fldChar w:fldCharType="separate"/>
      </w:r>
      <w:r w:rsidR="00725049" w:rsidRPr="00725049">
        <w:rPr>
          <w:rFonts w:cs="Times New Roman"/>
        </w:rPr>
        <w:t>[4]</w:t>
      </w:r>
      <w:r w:rsidR="00561067">
        <w:fldChar w:fldCharType="end"/>
      </w:r>
      <w:r w:rsidRPr="00D509A3">
        <w:t xml:space="preserve"> However</w:t>
      </w:r>
      <w:r>
        <w:t>,</w:t>
      </w:r>
      <w:r w:rsidRPr="00D509A3">
        <w:t xml:space="preserve"> when less than half of the items </w:t>
      </w:r>
      <w:r w:rsidR="004C2125">
        <w:t>were</w:t>
      </w:r>
      <w:r w:rsidR="004C2125" w:rsidRPr="00D509A3">
        <w:t xml:space="preserve"> </w:t>
      </w:r>
      <w:r w:rsidRPr="00D509A3">
        <w:t>answered</w:t>
      </w:r>
      <w:r w:rsidR="00AE06ED">
        <w:t>,</w:t>
      </w:r>
      <w:r w:rsidRPr="00D509A3">
        <w:t xml:space="preserve"> we judge</w:t>
      </w:r>
      <w:r w:rsidR="004C2125">
        <w:t>d that</w:t>
      </w:r>
      <w:r w:rsidRPr="00D509A3">
        <w:t xml:space="preserve"> the data </w:t>
      </w:r>
      <w:r w:rsidR="004C2125">
        <w:t>was</w:t>
      </w:r>
      <w:r w:rsidRPr="00D509A3">
        <w:t xml:space="preserve"> unreliable</w:t>
      </w:r>
      <w:r>
        <w:t xml:space="preserve"> and </w:t>
      </w:r>
      <w:r w:rsidR="00C7277C">
        <w:t>censor</w:t>
      </w:r>
      <w:r w:rsidR="004C2125">
        <w:t>ed</w:t>
      </w:r>
      <w:r>
        <w:t xml:space="preserve"> that dimension</w:t>
      </w:r>
      <w:r w:rsidR="00C7277C">
        <w:t>,</w:t>
      </w:r>
      <w:r>
        <w:t xml:space="preserve"> hence </w:t>
      </w:r>
      <w:r w:rsidR="008F6AAE">
        <w:t xml:space="preserve">the </w:t>
      </w:r>
      <w:r>
        <w:t>50% rule.</w:t>
      </w:r>
    </w:p>
    <w:p w14:paraId="55C4FF07" w14:textId="77777777" w:rsidR="00D509A3" w:rsidRDefault="00D509A3" w:rsidP="00D509A3">
      <w:pPr>
        <w:pStyle w:val="Rubrik2"/>
      </w:pPr>
      <w:r>
        <w:t>The collection of RAND-36 data for the Swedish intensive care registry</w:t>
      </w:r>
    </w:p>
    <w:p w14:paraId="64D67D63" w14:textId="27F4D05F" w:rsidR="00D509A3" w:rsidRDefault="00D509A3" w:rsidP="00D509A3">
      <w:r w:rsidRPr="00D509A3">
        <w:t xml:space="preserve">The data is collected as part of standard care and sent to the Swedish </w:t>
      </w:r>
      <w:r w:rsidR="008F6AAE">
        <w:t>Intensive Care Registry</w:t>
      </w:r>
      <w:r w:rsidRPr="00D509A3">
        <w:t>.</w:t>
      </w:r>
      <w:r w:rsidR="00137BC5">
        <w:t xml:space="preserve"> </w:t>
      </w:r>
      <w:r w:rsidRPr="00D509A3">
        <w:t>Patients receive</w:t>
      </w:r>
      <w:r w:rsidR="00137BC5">
        <w:t>d</w:t>
      </w:r>
      <w:r w:rsidRPr="00D509A3">
        <w:t xml:space="preserve"> the RAND-36 </w:t>
      </w:r>
      <w:r w:rsidR="00C7277C">
        <w:t>form</w:t>
      </w:r>
      <w:r w:rsidRPr="00D509A3">
        <w:t xml:space="preserve"> prior to their follow-up visit to the “Post ICU clinic”</w:t>
      </w:r>
      <w:r>
        <w:t>,</w:t>
      </w:r>
      <w:r w:rsidRPr="00D509A3">
        <w:t xml:space="preserve"> prompted to fill </w:t>
      </w:r>
      <w:r w:rsidR="00C7277C">
        <w:t>it</w:t>
      </w:r>
      <w:r w:rsidRPr="00D509A3">
        <w:t xml:space="preserve"> </w:t>
      </w:r>
      <w:r w:rsidR="008F6AAE">
        <w:t>out</w:t>
      </w:r>
      <w:r w:rsidR="008F6AAE" w:rsidRPr="00D509A3">
        <w:t xml:space="preserve"> </w:t>
      </w:r>
      <w:r w:rsidRPr="00D509A3">
        <w:t xml:space="preserve">and then hand </w:t>
      </w:r>
      <w:r w:rsidR="00C7277C">
        <w:t>it</w:t>
      </w:r>
      <w:r w:rsidRPr="00D509A3">
        <w:t xml:space="preserve"> in to the </w:t>
      </w:r>
      <w:r w:rsidR="008F6AAE">
        <w:t xml:space="preserve">out-patient clinic </w:t>
      </w:r>
      <w:r w:rsidRPr="00D509A3">
        <w:t xml:space="preserve">nurse. The only </w:t>
      </w:r>
      <w:r w:rsidR="005A3CC7" w:rsidRPr="00D509A3">
        <w:t>criterion</w:t>
      </w:r>
      <w:r w:rsidRPr="00D509A3">
        <w:t xml:space="preserve"> for inclusion is ability to fill in the form and hand it in, patients not able or willing are excluded/missing. The follow-up is done at the discretion of the treating intensive care units, but the recommendation from the registry at the time was to </w:t>
      </w:r>
      <w:r w:rsidR="00137BC5">
        <w:t xml:space="preserve">offer </w:t>
      </w:r>
      <w:r w:rsidRPr="00D509A3">
        <w:t xml:space="preserve">follow-up </w:t>
      </w:r>
      <w:r w:rsidR="00137BC5">
        <w:t xml:space="preserve">for </w:t>
      </w:r>
      <w:r w:rsidRPr="00D509A3">
        <w:t xml:space="preserve">patients with a </w:t>
      </w:r>
      <w:r w:rsidR="002A3A7C">
        <w:t>length of stay (</w:t>
      </w:r>
      <w:proofErr w:type="spellStart"/>
      <w:r w:rsidRPr="00D509A3">
        <w:t>LoS</w:t>
      </w:r>
      <w:proofErr w:type="spellEnd"/>
      <w:r w:rsidR="002A3A7C">
        <w:t>)</w:t>
      </w:r>
      <w:r w:rsidRPr="00D509A3">
        <w:t xml:space="preserve"> exceeding 72-96 hours, although, in some units, patients with shorter </w:t>
      </w:r>
      <w:proofErr w:type="spellStart"/>
      <w:r w:rsidRPr="00D509A3">
        <w:t>LoS</w:t>
      </w:r>
      <w:proofErr w:type="spellEnd"/>
      <w:r w:rsidRPr="00D509A3">
        <w:t xml:space="preserve"> were offered a follow-up</w:t>
      </w:r>
      <w:r w:rsidR="00C7277C">
        <w:t>,</w:t>
      </w:r>
      <w:r w:rsidRPr="00D509A3">
        <w:t xml:space="preserve"> especially if requested by themself.</w:t>
      </w:r>
      <w:r w:rsidR="00137BC5" w:rsidRPr="00137BC5">
        <w:t xml:space="preserve"> </w:t>
      </w:r>
      <w:r w:rsidR="00137BC5">
        <w:t xml:space="preserve">The </w:t>
      </w:r>
      <w:r w:rsidR="00C7277C">
        <w:t>intention</w:t>
      </w:r>
      <w:r w:rsidR="00137BC5">
        <w:t xml:space="preserve"> of the registry at the time was to follow-up patients at 3, 6 and 12 </w:t>
      </w:r>
      <w:r w:rsidR="005A3CC7">
        <w:t>months</w:t>
      </w:r>
      <w:r w:rsidR="00137BC5">
        <w:t xml:space="preserve"> after ICU discharge.</w:t>
      </w:r>
    </w:p>
    <w:p w14:paraId="131E1BE0" w14:textId="490778BD" w:rsidR="007D2FD0" w:rsidRDefault="007D2FD0" w:rsidP="007D2FD0">
      <w:pPr>
        <w:pStyle w:val="Rubrik2"/>
      </w:pPr>
      <w:r>
        <w:t>Imputation process</w:t>
      </w:r>
    </w:p>
    <w:p w14:paraId="2016112C" w14:textId="7F98550E" w:rsidR="007D2FD0" w:rsidRDefault="007D2FD0" w:rsidP="007D2FD0">
      <w:r w:rsidRPr="007D2FD0">
        <w:t xml:space="preserve">For sensitivity analysis, we imputed non-dependent missing values using Multivariate Imputation by Chained Equations. We imputed </w:t>
      </w:r>
      <w:r>
        <w:t xml:space="preserve">education level and </w:t>
      </w:r>
      <w:r w:rsidRPr="007D2FD0">
        <w:t>Simplified Acute Physiology Score (SAPS) 3 without points for age with predictive mean matching</w:t>
      </w:r>
      <w:r>
        <w:t>,</w:t>
      </w:r>
      <w:r w:rsidRPr="007D2FD0">
        <w:t xml:space="preserve"> invasive ventilation </w:t>
      </w:r>
      <w:r>
        <w:t>and</w:t>
      </w:r>
      <w:r w:rsidRPr="007D2FD0">
        <w:t xml:space="preserve"> continuous renal replacement therapy (CRRT) </w:t>
      </w:r>
      <w:r>
        <w:t>was imputed with</w:t>
      </w:r>
      <w:r w:rsidRPr="007D2FD0">
        <w:t xml:space="preserve"> logistic regression, making it possible to include </w:t>
      </w:r>
      <w:r w:rsidR="002F57D7">
        <w:t xml:space="preserve">an </w:t>
      </w:r>
      <w:r w:rsidRPr="007D2FD0">
        <w:t>additional 4,700 RAND-36 observations in each dimension</w:t>
      </w:r>
      <w:r w:rsidR="002F57D7">
        <w:t>, which were</w:t>
      </w:r>
      <w:r w:rsidRPr="007D2FD0">
        <w:t xml:space="preserve"> excluded in the original multi-variable mixed effects model. We made 15 imputed datasets with 100 iterations and pooled the analysis of those.  </w:t>
      </w:r>
    </w:p>
    <w:p w14:paraId="2248BE2D" w14:textId="77777777" w:rsidR="005D35B2" w:rsidRPr="007D2FD0" w:rsidRDefault="005D35B2" w:rsidP="007D2FD0"/>
    <w:p w14:paraId="39F57093" w14:textId="04338279" w:rsidR="00D509A3" w:rsidRDefault="00CF447E" w:rsidP="00CF447E">
      <w:pPr>
        <w:pStyle w:val="Rubrik2"/>
      </w:pPr>
      <w:r>
        <w:lastRenderedPageBreak/>
        <w:t xml:space="preserve">Statistical programs </w:t>
      </w:r>
      <w:r w:rsidR="00AE06ED">
        <w:t xml:space="preserve">and </w:t>
      </w:r>
      <w:r>
        <w:t>packages</w:t>
      </w:r>
    </w:p>
    <w:p w14:paraId="59BE1174" w14:textId="51C23D2F" w:rsidR="00CF447E" w:rsidRDefault="00CF447E" w:rsidP="00CF447E">
      <w:r>
        <w:t xml:space="preserve">We used R version 4.2.2 </w:t>
      </w:r>
      <w:r w:rsidRPr="00666669">
        <w:t xml:space="preserve">2 (The R Foundation for Statistical Computing, Vienna, Austria; </w:t>
      </w:r>
      <w:hyperlink r:id="rId7" w:history="1">
        <w:r w:rsidRPr="009B710B">
          <w:rPr>
            <w:rStyle w:val="Hyperlnk"/>
          </w:rPr>
          <w:t>https://www.r-project.org</w:t>
        </w:r>
      </w:hyperlink>
      <w:r w:rsidRPr="00666669">
        <w:t>)</w:t>
      </w:r>
      <w:r>
        <w:t xml:space="preserve"> with packages </w:t>
      </w:r>
      <w:r w:rsidRPr="00666669">
        <w:t>ggplot2 version 3.4.4</w:t>
      </w:r>
      <w:r>
        <w:t xml:space="preserve">, </w:t>
      </w:r>
      <w:r w:rsidRPr="00666669">
        <w:t>lme</w:t>
      </w:r>
      <w:r>
        <w:t xml:space="preserve">4 </w:t>
      </w:r>
      <w:r w:rsidRPr="00666669">
        <w:t>version 1.1-35.1</w:t>
      </w:r>
      <w:r>
        <w:t xml:space="preserve">, mice </w:t>
      </w:r>
      <w:r w:rsidRPr="00666669">
        <w:t>version</w:t>
      </w:r>
      <w:r>
        <w:t xml:space="preserve"> 3.16.0, </w:t>
      </w:r>
      <w:proofErr w:type="spellStart"/>
      <w:r>
        <w:t>sjPlot</w:t>
      </w:r>
      <w:proofErr w:type="spellEnd"/>
      <w:r>
        <w:t xml:space="preserve"> </w:t>
      </w:r>
      <w:r w:rsidRPr="00666669">
        <w:t>version</w:t>
      </w:r>
      <w:r>
        <w:t xml:space="preserve"> 2.8.16, </w:t>
      </w:r>
      <w:proofErr w:type="spellStart"/>
      <w:r>
        <w:t>ggpubr</w:t>
      </w:r>
      <w:proofErr w:type="spellEnd"/>
      <w:r>
        <w:t xml:space="preserve"> </w:t>
      </w:r>
      <w:r w:rsidRPr="00666669">
        <w:t>version</w:t>
      </w:r>
      <w:r>
        <w:t xml:space="preserve"> 0.6.0, table1 version</w:t>
      </w:r>
      <w:r w:rsidRPr="006625EE">
        <w:t xml:space="preserve"> </w:t>
      </w:r>
      <w:r>
        <w:t xml:space="preserve">1.4.3 </w:t>
      </w:r>
      <w:r w:rsidRPr="006625EE">
        <w:t>for data management, statistical</w:t>
      </w:r>
      <w:r w:rsidRPr="00FE76D7">
        <w:t xml:space="preserve"> analysis</w:t>
      </w:r>
      <w:r w:rsidR="00AE06ED">
        <w:t>,</w:t>
      </w:r>
      <w:r w:rsidRPr="00FE76D7">
        <w:t xml:space="preserve"> graphs and</w:t>
      </w:r>
      <w:r>
        <w:t xml:space="preserve"> tables.</w:t>
      </w:r>
    </w:p>
    <w:p w14:paraId="7F97A1C4" w14:textId="77777777" w:rsidR="00CF447E" w:rsidRPr="00CF447E" w:rsidRDefault="00CF447E" w:rsidP="00CF447E"/>
    <w:p w14:paraId="1DE05F58" w14:textId="77777777" w:rsidR="00140505" w:rsidRPr="0032172B" w:rsidRDefault="00140505" w:rsidP="00B91F10"/>
    <w:p w14:paraId="59791D5E" w14:textId="2193297B" w:rsidR="00EB6EF8" w:rsidRDefault="00FB50E6">
      <w:pPr>
        <w:spacing w:line="259" w:lineRule="auto"/>
        <w:rPr>
          <w:sz w:val="20"/>
          <w:szCs w:val="20"/>
        </w:rPr>
      </w:pPr>
      <w:r>
        <w:rPr>
          <w:noProof/>
        </w:rPr>
        <w:drawing>
          <wp:inline distT="0" distB="0" distL="0" distR="0" wp14:anchorId="25AB0F8E" wp14:editId="59C7125D">
            <wp:extent cx="5972810" cy="3359785"/>
            <wp:effectExtent l="0" t="0" r="8890" b="0"/>
            <wp:docPr id="12247684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6844" name=""/>
                    <pic:cNvPicPr/>
                  </pic:nvPicPr>
                  <pic:blipFill>
                    <a:blip r:embed="rId8">
                      <a:extLst>
                        <a:ext uri="{96DAC541-7B7A-43D3-8B79-37D633B846F1}">
                          <asvg:svgBlip xmlns:asvg="http://schemas.microsoft.com/office/drawing/2016/SVG/main" r:embed="rId9"/>
                        </a:ext>
                      </a:extLst>
                    </a:blip>
                    <a:stretch>
                      <a:fillRect/>
                    </a:stretch>
                  </pic:blipFill>
                  <pic:spPr>
                    <a:xfrm>
                      <a:off x="0" y="0"/>
                      <a:ext cx="5972810" cy="3359785"/>
                    </a:xfrm>
                    <a:prstGeom prst="rect">
                      <a:avLst/>
                    </a:prstGeom>
                  </pic:spPr>
                </pic:pic>
              </a:graphicData>
            </a:graphic>
          </wp:inline>
        </w:drawing>
      </w:r>
    </w:p>
    <w:p w14:paraId="3CB2D1A7" w14:textId="6D803FED" w:rsidR="00CD4931" w:rsidRDefault="00CD4931" w:rsidP="00CD4931"/>
    <w:p w14:paraId="3321C0B2" w14:textId="79C9454E" w:rsidR="00CD4931" w:rsidRPr="00566511" w:rsidRDefault="00CD4931" w:rsidP="00CD4931">
      <w:pPr>
        <w:rPr>
          <w:rFonts w:ascii="Arial" w:hAnsi="Arial" w:cs="Arial"/>
        </w:rPr>
      </w:pPr>
      <w:r w:rsidRPr="00566511">
        <w:rPr>
          <w:rFonts w:ascii="Arial" w:hAnsi="Arial" w:cs="Arial"/>
          <w:b/>
          <w:bCs/>
        </w:rPr>
        <w:t>Supplement</w:t>
      </w:r>
      <w:r w:rsidR="001571AF">
        <w:rPr>
          <w:rFonts w:ascii="Arial" w:hAnsi="Arial" w:cs="Arial"/>
          <w:b/>
          <w:bCs/>
        </w:rPr>
        <w:t>al</w:t>
      </w:r>
      <w:r w:rsidRPr="00566511">
        <w:rPr>
          <w:rFonts w:ascii="Arial" w:hAnsi="Arial" w:cs="Arial"/>
          <w:b/>
          <w:bCs/>
        </w:rPr>
        <w:t xml:space="preserve"> </w:t>
      </w:r>
      <w:r w:rsidR="000F7179" w:rsidRPr="00566511">
        <w:rPr>
          <w:rFonts w:ascii="Arial" w:hAnsi="Arial" w:cs="Arial"/>
          <w:b/>
          <w:bCs/>
        </w:rPr>
        <w:t>F</w:t>
      </w:r>
      <w:r w:rsidRPr="00566511">
        <w:rPr>
          <w:rFonts w:ascii="Arial" w:hAnsi="Arial" w:cs="Arial"/>
          <w:b/>
          <w:bCs/>
        </w:rPr>
        <w:t>igure 1</w:t>
      </w:r>
      <w:r w:rsidR="00566511" w:rsidRPr="00566511">
        <w:rPr>
          <w:rFonts w:ascii="Arial" w:hAnsi="Arial" w:cs="Arial"/>
          <w:b/>
          <w:bCs/>
        </w:rPr>
        <w:t>.</w:t>
      </w:r>
      <w:r w:rsidRPr="00566511">
        <w:rPr>
          <w:rFonts w:ascii="Arial" w:hAnsi="Arial" w:cs="Arial"/>
        </w:rPr>
        <w:t xml:space="preserve"> Showing the selection of cases and controls in the study.</w:t>
      </w:r>
      <w:r w:rsidR="00DC30D3" w:rsidRPr="00566511">
        <w:rPr>
          <w:rFonts w:ascii="Arial" w:hAnsi="Arial" w:cs="Arial"/>
        </w:rPr>
        <w:t xml:space="preserve"> ICU (intensive care unit)</w:t>
      </w:r>
      <w:r w:rsidR="001D34C6" w:rsidRPr="00566511">
        <w:rPr>
          <w:rFonts w:ascii="Arial" w:hAnsi="Arial" w:cs="Arial"/>
        </w:rPr>
        <w:t xml:space="preserve">. Double arrows show comparisons. </w:t>
      </w:r>
    </w:p>
    <w:p w14:paraId="22820F2E" w14:textId="77777777" w:rsidR="00B91F10" w:rsidRDefault="00B91F10" w:rsidP="00B91F10">
      <w:pPr>
        <w:pStyle w:val="Normalwebb"/>
      </w:pPr>
      <w:r>
        <w:rPr>
          <w:noProof/>
          <w14:ligatures w14:val="standardContextual"/>
        </w:rPr>
        <w:lastRenderedPageBreak/>
        <w:drawing>
          <wp:inline distT="0" distB="0" distL="0" distR="0" wp14:anchorId="2BEC9454" wp14:editId="2E0332DC">
            <wp:extent cx="5972810" cy="4222115"/>
            <wp:effectExtent l="0" t="0" r="8890" b="6985"/>
            <wp:docPr id="873266415" name="Bildobjekt 1" descr="En bild som visar text, skärmbild, Färggrann, Graf&#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44690" name="Bildobjekt 1" descr="En bild som visar text, skärmbild, Färggrann, Graf&#10;&#10;Automatiskt genererad beskrivning"/>
                    <pic:cNvPicPr/>
                  </pic:nvPicPr>
                  <pic:blipFill>
                    <a:blip r:embed="rId10">
                      <a:extLst>
                        <a:ext uri="{28A0092B-C50C-407E-A947-70E740481C1C}">
                          <a14:useLocalDpi xmlns:a14="http://schemas.microsoft.com/office/drawing/2010/main" val="0"/>
                        </a:ext>
                      </a:extLst>
                    </a:blip>
                    <a:stretch>
                      <a:fillRect/>
                    </a:stretch>
                  </pic:blipFill>
                  <pic:spPr>
                    <a:xfrm>
                      <a:off x="0" y="0"/>
                      <a:ext cx="5972810" cy="4222115"/>
                    </a:xfrm>
                    <a:prstGeom prst="rect">
                      <a:avLst/>
                    </a:prstGeom>
                  </pic:spPr>
                </pic:pic>
              </a:graphicData>
            </a:graphic>
          </wp:inline>
        </w:drawing>
      </w:r>
    </w:p>
    <w:p w14:paraId="56E4E0B4" w14:textId="1F373B04" w:rsidR="00B91F10" w:rsidRPr="00566511" w:rsidRDefault="00B91F10" w:rsidP="00B91F10">
      <w:pPr>
        <w:rPr>
          <w:rFonts w:ascii="Arial" w:hAnsi="Arial" w:cs="Arial"/>
          <w:sz w:val="20"/>
          <w:szCs w:val="20"/>
        </w:rPr>
      </w:pPr>
      <w:r w:rsidRPr="00566511">
        <w:rPr>
          <w:rFonts w:ascii="Arial" w:hAnsi="Arial" w:cs="Arial"/>
          <w:b/>
          <w:bCs/>
          <w:sz w:val="20"/>
          <w:szCs w:val="20"/>
        </w:rPr>
        <w:t>Supplement</w:t>
      </w:r>
      <w:r w:rsidR="001571AF">
        <w:rPr>
          <w:rFonts w:ascii="Arial" w:hAnsi="Arial" w:cs="Arial"/>
          <w:b/>
          <w:bCs/>
          <w:sz w:val="20"/>
          <w:szCs w:val="20"/>
        </w:rPr>
        <w:t>al</w:t>
      </w:r>
      <w:r w:rsidRPr="00566511">
        <w:rPr>
          <w:rFonts w:ascii="Arial" w:hAnsi="Arial" w:cs="Arial"/>
          <w:b/>
          <w:bCs/>
          <w:sz w:val="20"/>
          <w:szCs w:val="20"/>
        </w:rPr>
        <w:t xml:space="preserve"> </w:t>
      </w:r>
      <w:r w:rsidR="000F7179" w:rsidRPr="00566511">
        <w:rPr>
          <w:rFonts w:ascii="Arial" w:hAnsi="Arial" w:cs="Arial"/>
          <w:b/>
          <w:bCs/>
          <w:sz w:val="20"/>
          <w:szCs w:val="20"/>
        </w:rPr>
        <w:t>F</w:t>
      </w:r>
      <w:r w:rsidRPr="00566511">
        <w:rPr>
          <w:rFonts w:ascii="Arial" w:hAnsi="Arial" w:cs="Arial"/>
          <w:b/>
          <w:bCs/>
          <w:sz w:val="20"/>
          <w:szCs w:val="20"/>
        </w:rPr>
        <w:t>igure 2</w:t>
      </w:r>
      <w:r w:rsidR="00AE06ED">
        <w:rPr>
          <w:rFonts w:ascii="Arial" w:hAnsi="Arial" w:cs="Arial"/>
          <w:b/>
          <w:bCs/>
          <w:sz w:val="20"/>
          <w:szCs w:val="20"/>
        </w:rPr>
        <w:t>.</w:t>
      </w:r>
      <w:r w:rsidR="00A23A69" w:rsidRPr="00A23A69">
        <w:rPr>
          <w:rFonts w:ascii="Arial" w:hAnsi="Arial" w:cs="Arial"/>
          <w:sz w:val="20"/>
          <w:szCs w:val="20"/>
        </w:rPr>
        <w:t xml:space="preserve"> </w:t>
      </w:r>
      <w:r w:rsidR="00A23A69">
        <w:rPr>
          <w:rFonts w:ascii="Arial" w:hAnsi="Arial" w:cs="Arial"/>
          <w:sz w:val="20"/>
          <w:szCs w:val="20"/>
        </w:rPr>
        <w:t>Health</w:t>
      </w:r>
      <w:r w:rsidR="00D85094">
        <w:rPr>
          <w:rFonts w:ascii="Arial" w:hAnsi="Arial" w:cs="Arial"/>
          <w:sz w:val="20"/>
          <w:szCs w:val="20"/>
        </w:rPr>
        <w:t>-</w:t>
      </w:r>
      <w:r w:rsidR="00A23A69">
        <w:rPr>
          <w:rFonts w:ascii="Arial" w:hAnsi="Arial" w:cs="Arial"/>
          <w:sz w:val="20"/>
          <w:szCs w:val="20"/>
        </w:rPr>
        <w:t>Related Quality of Life measured using</w:t>
      </w:r>
      <w:r w:rsidR="00A23A69" w:rsidRPr="00566511">
        <w:rPr>
          <w:rFonts w:ascii="Arial" w:hAnsi="Arial" w:cs="Arial"/>
          <w:sz w:val="20"/>
          <w:szCs w:val="20"/>
        </w:rPr>
        <w:t xml:space="preserve"> RAND-36 observations over time</w:t>
      </w:r>
      <w:r w:rsidR="00A23A69">
        <w:rPr>
          <w:rFonts w:ascii="Arial" w:hAnsi="Arial" w:cs="Arial"/>
          <w:sz w:val="20"/>
          <w:szCs w:val="20"/>
        </w:rPr>
        <w:t xml:space="preserve"> after ICU discharge in 14,006 sepsis patients</w:t>
      </w:r>
      <w:r w:rsidR="00A23A69" w:rsidRPr="00566511">
        <w:rPr>
          <w:rFonts w:ascii="Arial" w:hAnsi="Arial" w:cs="Arial"/>
          <w:sz w:val="20"/>
          <w:szCs w:val="20"/>
        </w:rPr>
        <w:t xml:space="preserve">. Each color represents the period </w:t>
      </w:r>
      <w:r w:rsidR="00A23A69">
        <w:rPr>
          <w:rFonts w:ascii="Arial" w:hAnsi="Arial" w:cs="Arial"/>
          <w:sz w:val="20"/>
          <w:szCs w:val="20"/>
        </w:rPr>
        <w:t>grouping by</w:t>
      </w:r>
      <w:r w:rsidR="00A23A69" w:rsidRPr="00566511">
        <w:rPr>
          <w:rFonts w:ascii="Arial" w:hAnsi="Arial" w:cs="Arial"/>
          <w:sz w:val="20"/>
          <w:szCs w:val="20"/>
        </w:rPr>
        <w:t xml:space="preserve"> which the RAND-36 was </w:t>
      </w:r>
      <w:r w:rsidR="00A23A69">
        <w:rPr>
          <w:rFonts w:ascii="Arial" w:hAnsi="Arial" w:cs="Arial"/>
          <w:sz w:val="20"/>
          <w:szCs w:val="20"/>
        </w:rPr>
        <w:t>analyzed</w:t>
      </w:r>
      <w:r w:rsidR="00A23A69" w:rsidRPr="00566511">
        <w:rPr>
          <w:rFonts w:ascii="Arial" w:hAnsi="Arial" w:cs="Arial"/>
          <w:sz w:val="20"/>
          <w:szCs w:val="20"/>
        </w:rPr>
        <w:t>; red 10-134 days, blue 135-269 days</w:t>
      </w:r>
      <w:r w:rsidR="00AE06ED">
        <w:rPr>
          <w:rFonts w:ascii="Arial" w:hAnsi="Arial" w:cs="Arial"/>
          <w:sz w:val="20"/>
          <w:szCs w:val="20"/>
        </w:rPr>
        <w:t>,</w:t>
      </w:r>
      <w:r w:rsidR="00A23A69" w:rsidRPr="00566511">
        <w:rPr>
          <w:rFonts w:ascii="Arial" w:hAnsi="Arial" w:cs="Arial"/>
          <w:sz w:val="20"/>
          <w:szCs w:val="20"/>
        </w:rPr>
        <w:t xml:space="preserve"> and green 270-450 days after ICU discharge. Values outside the limits were omitted. The colored areas correspond with the colors in Figure 1 and Supplement</w:t>
      </w:r>
      <w:r w:rsidR="00A23A69">
        <w:rPr>
          <w:rFonts w:ascii="Arial" w:hAnsi="Arial" w:cs="Arial"/>
          <w:sz w:val="20"/>
          <w:szCs w:val="20"/>
        </w:rPr>
        <w:t>al</w:t>
      </w:r>
      <w:r w:rsidR="00A23A69" w:rsidRPr="00566511">
        <w:rPr>
          <w:rFonts w:ascii="Arial" w:hAnsi="Arial" w:cs="Arial"/>
          <w:sz w:val="20"/>
          <w:szCs w:val="20"/>
        </w:rPr>
        <w:t xml:space="preserve"> Figure 3.</w:t>
      </w:r>
    </w:p>
    <w:p w14:paraId="728D25B5" w14:textId="77777777" w:rsidR="00B91F10" w:rsidRDefault="00B91F10" w:rsidP="00B91F10"/>
    <w:p w14:paraId="6A1F0F9B" w14:textId="77777777" w:rsidR="00840076" w:rsidRDefault="00840076" w:rsidP="00840076"/>
    <w:p w14:paraId="59E4E0BE" w14:textId="77777777" w:rsidR="00A23A69" w:rsidRDefault="00576D15" w:rsidP="00A23A69">
      <w:pPr>
        <w:rPr>
          <w:rFonts w:ascii="Arial" w:hAnsi="Arial" w:cs="Arial"/>
          <w:sz w:val="20"/>
          <w:szCs w:val="20"/>
        </w:rPr>
      </w:pPr>
      <w:r>
        <w:rPr>
          <w:noProof/>
          <w:sz w:val="16"/>
          <w:szCs w:val="16"/>
        </w:rPr>
        <w:lastRenderedPageBreak/>
        <w:drawing>
          <wp:inline distT="0" distB="0" distL="0" distR="0" wp14:anchorId="3A960FA7" wp14:editId="58D190B6">
            <wp:extent cx="5714286" cy="7142857"/>
            <wp:effectExtent l="0" t="0" r="1270" b="1270"/>
            <wp:docPr id="649221175" name="Bildobjekt 2" descr="En bild som visar text, skärmbild, nummer, li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21175" name="Bildobjekt 2" descr="En bild som visar text, skärmbild, nummer, linje"/>
                    <pic:cNvPicPr/>
                  </pic:nvPicPr>
                  <pic:blipFill>
                    <a:blip r:embed="rId11">
                      <a:extLst>
                        <a:ext uri="{28A0092B-C50C-407E-A947-70E740481C1C}">
                          <a14:useLocalDpi xmlns:a14="http://schemas.microsoft.com/office/drawing/2010/main" val="0"/>
                        </a:ext>
                      </a:extLst>
                    </a:blip>
                    <a:stretch>
                      <a:fillRect/>
                    </a:stretch>
                  </pic:blipFill>
                  <pic:spPr>
                    <a:xfrm>
                      <a:off x="0" y="0"/>
                      <a:ext cx="5714286" cy="7142857"/>
                    </a:xfrm>
                    <a:prstGeom prst="rect">
                      <a:avLst/>
                    </a:prstGeom>
                  </pic:spPr>
                </pic:pic>
              </a:graphicData>
            </a:graphic>
          </wp:inline>
        </w:drawing>
      </w:r>
      <w:r w:rsidR="00840076" w:rsidRPr="00566511">
        <w:rPr>
          <w:rFonts w:ascii="Arial" w:hAnsi="Arial" w:cs="Arial"/>
          <w:b/>
          <w:bCs/>
          <w:sz w:val="20"/>
          <w:szCs w:val="20"/>
        </w:rPr>
        <w:t>Supplement</w:t>
      </w:r>
      <w:r w:rsidR="001571AF">
        <w:rPr>
          <w:rFonts w:ascii="Arial" w:hAnsi="Arial" w:cs="Arial"/>
          <w:b/>
          <w:bCs/>
          <w:sz w:val="20"/>
          <w:szCs w:val="20"/>
        </w:rPr>
        <w:t>al</w:t>
      </w:r>
      <w:r w:rsidR="00840076" w:rsidRPr="00566511">
        <w:rPr>
          <w:rFonts w:ascii="Arial" w:hAnsi="Arial" w:cs="Arial"/>
          <w:b/>
          <w:bCs/>
          <w:sz w:val="20"/>
          <w:szCs w:val="20"/>
        </w:rPr>
        <w:t xml:space="preserve"> </w:t>
      </w:r>
      <w:r w:rsidR="000F7179" w:rsidRPr="00566511">
        <w:rPr>
          <w:rFonts w:ascii="Arial" w:hAnsi="Arial" w:cs="Arial"/>
          <w:b/>
          <w:bCs/>
          <w:sz w:val="20"/>
          <w:szCs w:val="20"/>
        </w:rPr>
        <w:t>F</w:t>
      </w:r>
      <w:r w:rsidR="00840076" w:rsidRPr="00566511">
        <w:rPr>
          <w:rFonts w:ascii="Arial" w:hAnsi="Arial" w:cs="Arial"/>
          <w:b/>
          <w:bCs/>
          <w:sz w:val="20"/>
          <w:szCs w:val="20"/>
        </w:rPr>
        <w:t xml:space="preserve">igure </w:t>
      </w:r>
      <w:r w:rsidR="00384FE0" w:rsidRPr="00566511">
        <w:rPr>
          <w:rFonts w:ascii="Arial" w:hAnsi="Arial" w:cs="Arial"/>
          <w:b/>
          <w:bCs/>
          <w:sz w:val="20"/>
          <w:szCs w:val="20"/>
        </w:rPr>
        <w:t>3</w:t>
      </w:r>
      <w:r w:rsidR="00840076" w:rsidRPr="00566511">
        <w:rPr>
          <w:rFonts w:ascii="Arial" w:hAnsi="Arial" w:cs="Arial"/>
          <w:b/>
          <w:bCs/>
          <w:sz w:val="20"/>
          <w:szCs w:val="20"/>
        </w:rPr>
        <w:t>.</w:t>
      </w:r>
      <w:r w:rsidR="00840076" w:rsidRPr="00566511">
        <w:rPr>
          <w:rFonts w:ascii="Arial" w:hAnsi="Arial" w:cs="Arial"/>
          <w:sz w:val="20"/>
          <w:szCs w:val="20"/>
        </w:rPr>
        <w:t xml:space="preserve"> </w:t>
      </w:r>
    </w:p>
    <w:p w14:paraId="50CB9669" w14:textId="35C6704F" w:rsidR="00A23A69" w:rsidRPr="00EA5D6D" w:rsidRDefault="00A23A69" w:rsidP="00A23A69">
      <w:pPr>
        <w:rPr>
          <w:rFonts w:ascii="Arial" w:hAnsi="Arial" w:cs="Arial"/>
          <w:sz w:val="20"/>
          <w:szCs w:val="20"/>
        </w:rPr>
      </w:pPr>
      <w:r>
        <w:rPr>
          <w:rFonts w:ascii="Arial" w:hAnsi="Arial" w:cs="Arial"/>
          <w:sz w:val="20"/>
          <w:szCs w:val="20"/>
        </w:rPr>
        <w:t>Recovery of Health</w:t>
      </w:r>
      <w:r w:rsidR="00D85094">
        <w:rPr>
          <w:rFonts w:ascii="Arial" w:hAnsi="Arial" w:cs="Arial"/>
          <w:sz w:val="20"/>
          <w:szCs w:val="20"/>
        </w:rPr>
        <w:t>-</w:t>
      </w:r>
      <w:r>
        <w:rPr>
          <w:rFonts w:ascii="Arial" w:hAnsi="Arial" w:cs="Arial"/>
          <w:sz w:val="20"/>
          <w:szCs w:val="20"/>
        </w:rPr>
        <w:t>Related Quality of Life measured using</w:t>
      </w:r>
      <w:r w:rsidRPr="00EA5D6D">
        <w:rPr>
          <w:rFonts w:ascii="Arial" w:hAnsi="Arial" w:cs="Arial"/>
          <w:sz w:val="20"/>
          <w:szCs w:val="20"/>
        </w:rPr>
        <w:t xml:space="preserve"> RAND-36 </w:t>
      </w:r>
      <w:r>
        <w:rPr>
          <w:rFonts w:ascii="Arial" w:hAnsi="Arial" w:cs="Arial"/>
          <w:sz w:val="20"/>
          <w:szCs w:val="20"/>
        </w:rPr>
        <w:t xml:space="preserve">in 14006 patients after intensive care unit (ICU) care for sepsis in Sweden between 2008 and 2020. Each panel shows a </w:t>
      </w:r>
      <w:r w:rsidRPr="00EA5D6D">
        <w:rPr>
          <w:rFonts w:ascii="Arial" w:hAnsi="Arial" w:cs="Arial"/>
          <w:sz w:val="20"/>
          <w:szCs w:val="20"/>
        </w:rPr>
        <w:t xml:space="preserve">dimension </w:t>
      </w:r>
      <w:r>
        <w:rPr>
          <w:rFonts w:ascii="Arial" w:hAnsi="Arial" w:cs="Arial"/>
          <w:sz w:val="20"/>
          <w:szCs w:val="20"/>
        </w:rPr>
        <w:t xml:space="preserve">of RAND-36 </w:t>
      </w:r>
      <w:r w:rsidRPr="00EA5D6D">
        <w:rPr>
          <w:rFonts w:ascii="Arial" w:hAnsi="Arial" w:cs="Arial"/>
          <w:sz w:val="20"/>
          <w:szCs w:val="20"/>
        </w:rPr>
        <w:t xml:space="preserve">showing means and </w:t>
      </w:r>
      <w:r>
        <w:rPr>
          <w:rFonts w:ascii="Arial" w:hAnsi="Arial" w:cs="Arial"/>
          <w:sz w:val="20"/>
          <w:szCs w:val="20"/>
        </w:rPr>
        <w:t>95% confidence intervals of the mean at 3 months, 6 months and 1 year after ICU</w:t>
      </w:r>
      <w:r w:rsidRPr="00EA5D6D">
        <w:rPr>
          <w:rFonts w:ascii="Arial" w:hAnsi="Arial" w:cs="Arial"/>
          <w:sz w:val="20"/>
          <w:szCs w:val="20"/>
        </w:rPr>
        <w:t xml:space="preserve">. The dotted line </w:t>
      </w:r>
      <w:r w:rsidR="00AE06ED">
        <w:rPr>
          <w:rFonts w:ascii="Arial" w:hAnsi="Arial" w:cs="Arial"/>
          <w:sz w:val="20"/>
          <w:szCs w:val="20"/>
        </w:rPr>
        <w:t>indicates</w:t>
      </w:r>
      <w:r w:rsidR="00AE06ED" w:rsidRPr="00EA5D6D">
        <w:rPr>
          <w:rFonts w:ascii="Arial" w:hAnsi="Arial" w:cs="Arial"/>
          <w:sz w:val="20"/>
          <w:szCs w:val="20"/>
        </w:rPr>
        <w:t xml:space="preserve"> </w:t>
      </w:r>
      <w:r w:rsidRPr="00EA5D6D">
        <w:rPr>
          <w:rFonts w:ascii="Arial" w:hAnsi="Arial" w:cs="Arial"/>
          <w:sz w:val="20"/>
          <w:szCs w:val="20"/>
        </w:rPr>
        <w:t xml:space="preserve">the mean of </w:t>
      </w:r>
      <w:r>
        <w:rPr>
          <w:rFonts w:ascii="Arial" w:hAnsi="Arial" w:cs="Arial"/>
          <w:sz w:val="20"/>
          <w:szCs w:val="20"/>
        </w:rPr>
        <w:t xml:space="preserve">a </w:t>
      </w:r>
      <w:r w:rsidRPr="00EA5D6D">
        <w:rPr>
          <w:rFonts w:ascii="Arial" w:hAnsi="Arial" w:cs="Arial"/>
          <w:sz w:val="20"/>
          <w:szCs w:val="20"/>
        </w:rPr>
        <w:t xml:space="preserve">Swedish </w:t>
      </w:r>
      <w:r>
        <w:rPr>
          <w:rFonts w:ascii="Arial" w:hAnsi="Arial" w:cs="Arial"/>
          <w:sz w:val="20"/>
          <w:szCs w:val="20"/>
        </w:rPr>
        <w:t xml:space="preserve">population </w:t>
      </w:r>
      <w:r w:rsidRPr="00EA5D6D">
        <w:rPr>
          <w:rFonts w:ascii="Arial" w:hAnsi="Arial" w:cs="Arial"/>
          <w:sz w:val="20"/>
          <w:szCs w:val="20"/>
        </w:rPr>
        <w:t xml:space="preserve">reference </w:t>
      </w:r>
      <w:r w:rsidRPr="00EA5D6D">
        <w:rPr>
          <w:rFonts w:ascii="Arial" w:hAnsi="Arial" w:cs="Arial"/>
          <w:sz w:val="20"/>
          <w:szCs w:val="20"/>
        </w:rPr>
        <w:fldChar w:fldCharType="begin"/>
      </w:r>
      <w:r w:rsidR="00725049">
        <w:rPr>
          <w:rFonts w:ascii="Arial" w:hAnsi="Arial" w:cs="Arial"/>
          <w:sz w:val="20"/>
          <w:szCs w:val="20"/>
        </w:rPr>
        <w:instrText xml:space="preserve"> ADDIN ZOTERO_ITEM CSL_CITATION {"citationID":"k5f89z0c","properties":{"formattedCitation":"[5]","plainCitation":"[5]","noteIndex":0},"citationItems":[{"id":6,"uris":["http://zotero.org/users/8931952/items/5YPVP2ES"],"itemData":{"id":6,"type":"article-journal","abstract":"Background: This study aims to evaluate data quality, scaling properties, and reliability of the Swedish RAND-36 in a general population sample and to present reference data for the Swedish population.\nMethods: Testing of data quality, scaling assumptions and reliability followed methods recommended for the International Quality of Life Assessment Project, previously used for psychometric testing of SF-36 and RAND-36. Data were collected via regular mail for a random stratified sample of the general population in a Swedish county. Weighted means for RAND-36 scores were used and differences by sex, age, education, and occupational groups were tested.\nResults: The response rate was 42%, and the sample comprised 3432 persons (45% men, 55% women) with a median age of 56.9 years. The internal consistency reliability was satisfactory, with Cronbach’s alphas &gt; 0.80 for all eight scales. The percentage of missing items was low, ranging between 1.3% and 3.2%. No floor effects (≥15%) were noted, while ceiling effects were observed for physical functioning, role-functioning/physical, pain, rolefunctioning/emotional, and social functioning. Item–scale correlations were satisfactory (r ≥ 0.40). Correlations among the physical health scales were strong (range 0.58–0.68) as were the correlations among the mental health scales (range 0.58–0.73). Men reported significantly better health-related quality of life (HRQoL) on all scales, although the gender differences were small. Comparisons among age groups showed approximately equal scores among those 20–29, 30–39, and 40–49 years, while significant decreases in physical health were observed in the older age groups. Substantially worse physical health scores were observed in the oldest age group (80+). Significant differences among age groups were noted also for the mental health scales; however, better energy/ fatigue and emotional well-being scores were seen in the older age groups, except for the oldest (80+). Those with university education reported significantly better scores on all scales compared to those with mandatory education.\nConclusions: The study suggests that the Swedish version of RAND-36 is an acceptable and reliable instrument for measuring HRQoL in the general population. The study provides reference data that can be used for norm-based comparisons.","container-title":"Journal of Patient-Reported Outcomes","DOI":"10.1186/s41687-021-00331-z","ISSN":"2509-8020","issue":"1","journalAbbreviation":"J Patient Rep Outcomes","language":"en","page":"66","source":"DOI.org (Crossref)","title":"The Swedish RAND-36: psychometric characteristics and reference data from the Mid-Swed Health Survey","title-short":"The Swedish RAND-36","volume":"5","author":[{"family":"Ohlsson-Nevo","given":"Emma"},{"family":"Hiyoshi","given":"Ayako"},{"family":"Norén","given":"Paulina"},{"family":"Möller","given":"Margareta"},{"family":"Karlsson","given":"Jan"}],"issued":{"date-parts":[["2021",12]]}}}],"schema":"https://github.com/citation-style-language/schema/raw/master/csl-citation.json"} </w:instrText>
      </w:r>
      <w:r w:rsidRPr="00EA5D6D">
        <w:rPr>
          <w:rFonts w:ascii="Arial" w:hAnsi="Arial" w:cs="Arial"/>
          <w:sz w:val="20"/>
          <w:szCs w:val="20"/>
        </w:rPr>
        <w:fldChar w:fldCharType="separate"/>
      </w:r>
      <w:r w:rsidR="00725049" w:rsidRPr="00725049">
        <w:rPr>
          <w:rFonts w:ascii="Arial" w:hAnsi="Arial" w:cs="Arial"/>
          <w:sz w:val="20"/>
        </w:rPr>
        <w:t>[5]</w:t>
      </w:r>
      <w:r w:rsidRPr="00EA5D6D">
        <w:rPr>
          <w:rFonts w:ascii="Arial" w:hAnsi="Arial" w:cs="Arial"/>
          <w:sz w:val="20"/>
          <w:szCs w:val="20"/>
        </w:rPr>
        <w:fldChar w:fldCharType="end"/>
      </w:r>
      <w:r w:rsidRPr="00EA5D6D">
        <w:rPr>
          <w:rFonts w:ascii="Arial" w:hAnsi="Arial" w:cs="Arial"/>
          <w:sz w:val="20"/>
          <w:szCs w:val="20"/>
        </w:rPr>
        <w:t xml:space="preserve">. </w:t>
      </w:r>
    </w:p>
    <w:p w14:paraId="44A6ADBC" w14:textId="044E4AD1" w:rsidR="00840076" w:rsidRPr="00566511" w:rsidRDefault="00840076" w:rsidP="00840076">
      <w:pPr>
        <w:rPr>
          <w:sz w:val="20"/>
          <w:szCs w:val="20"/>
        </w:rPr>
      </w:pPr>
    </w:p>
    <w:p w14:paraId="499D5795" w14:textId="497091DC" w:rsidR="001123F0" w:rsidRDefault="00B84237" w:rsidP="001123F0">
      <w:pPr>
        <w:rPr>
          <w:rFonts w:ascii="Arial" w:hAnsi="Arial" w:cs="Arial"/>
          <w:sz w:val="20"/>
          <w:szCs w:val="20"/>
        </w:rPr>
      </w:pPr>
      <w:r>
        <w:rPr>
          <w:rFonts w:ascii="Arial" w:hAnsi="Arial" w:cs="Arial"/>
          <w:b/>
          <w:bCs/>
          <w:noProof/>
          <w:sz w:val="20"/>
          <w:szCs w:val="20"/>
        </w:rPr>
        <w:drawing>
          <wp:inline distT="0" distB="0" distL="0" distR="0" wp14:anchorId="7705ABF3" wp14:editId="60B56178">
            <wp:extent cx="5759450" cy="4114165"/>
            <wp:effectExtent l="0" t="0" r="0" b="635"/>
            <wp:docPr id="1954750237" name="Bildobjekt 2" descr="En bild som visar text, skärmbild, diagram,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50237" name="Bildobjekt 2" descr="En bild som visar text, skärmbild, diagram, Teckensnitt&#10;&#10;AI-genererat innehåll kan vara felaktig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4114165"/>
                    </a:xfrm>
                    <a:prstGeom prst="rect">
                      <a:avLst/>
                    </a:prstGeom>
                  </pic:spPr>
                </pic:pic>
              </a:graphicData>
            </a:graphic>
          </wp:inline>
        </w:drawing>
      </w:r>
      <w:r w:rsidR="001123F0" w:rsidRPr="001123F0">
        <w:rPr>
          <w:rFonts w:ascii="Arial" w:hAnsi="Arial" w:cs="Arial"/>
          <w:b/>
          <w:bCs/>
          <w:sz w:val="20"/>
          <w:szCs w:val="20"/>
        </w:rPr>
        <w:t xml:space="preserve"> </w:t>
      </w:r>
      <w:r w:rsidR="001123F0" w:rsidRPr="00566511">
        <w:rPr>
          <w:rFonts w:ascii="Arial" w:hAnsi="Arial" w:cs="Arial"/>
          <w:b/>
          <w:bCs/>
          <w:sz w:val="20"/>
          <w:szCs w:val="20"/>
        </w:rPr>
        <w:t>Supplement</w:t>
      </w:r>
      <w:r w:rsidR="001571AF">
        <w:rPr>
          <w:rFonts w:ascii="Arial" w:hAnsi="Arial" w:cs="Arial"/>
          <w:b/>
          <w:bCs/>
          <w:sz w:val="20"/>
          <w:szCs w:val="20"/>
        </w:rPr>
        <w:t>al</w:t>
      </w:r>
      <w:r w:rsidR="001123F0" w:rsidRPr="00566511">
        <w:rPr>
          <w:rFonts w:ascii="Arial" w:hAnsi="Arial" w:cs="Arial"/>
          <w:b/>
          <w:bCs/>
          <w:sz w:val="20"/>
          <w:szCs w:val="20"/>
        </w:rPr>
        <w:t xml:space="preserve"> Figure </w:t>
      </w:r>
      <w:r w:rsidR="001123F0">
        <w:rPr>
          <w:rFonts w:ascii="Arial" w:hAnsi="Arial" w:cs="Arial"/>
          <w:b/>
          <w:bCs/>
          <w:sz w:val="20"/>
          <w:szCs w:val="20"/>
        </w:rPr>
        <w:t>4</w:t>
      </w:r>
      <w:r w:rsidR="001123F0" w:rsidRPr="00566511">
        <w:rPr>
          <w:rFonts w:ascii="Arial" w:hAnsi="Arial" w:cs="Arial"/>
          <w:b/>
          <w:bCs/>
          <w:sz w:val="20"/>
          <w:szCs w:val="20"/>
        </w:rPr>
        <w:t xml:space="preserve">. </w:t>
      </w:r>
      <w:r w:rsidR="00A23A69">
        <w:rPr>
          <w:rFonts w:ascii="Arial" w:hAnsi="Arial" w:cs="Arial"/>
          <w:sz w:val="20"/>
          <w:szCs w:val="20"/>
        </w:rPr>
        <w:t xml:space="preserve">Risk factors for low score in </w:t>
      </w:r>
      <w:r w:rsidR="00A23A69" w:rsidRPr="00EA5D6D">
        <w:rPr>
          <w:rFonts w:ascii="Arial" w:hAnsi="Arial" w:cs="Arial"/>
          <w:sz w:val="20"/>
          <w:szCs w:val="20"/>
        </w:rPr>
        <w:t xml:space="preserve">RAND-36 dimensions in the first 15 months after intensive care for sepsis </w:t>
      </w:r>
      <w:r w:rsidR="00A23A69">
        <w:rPr>
          <w:rFonts w:ascii="Arial" w:hAnsi="Arial" w:cs="Arial"/>
          <w:sz w:val="20"/>
          <w:szCs w:val="20"/>
        </w:rPr>
        <w:t>using a</w:t>
      </w:r>
      <w:r w:rsidR="00A23A69" w:rsidRPr="00EA5D6D">
        <w:rPr>
          <w:rFonts w:ascii="Arial" w:hAnsi="Arial" w:cs="Arial"/>
          <w:sz w:val="20"/>
          <w:szCs w:val="20"/>
        </w:rPr>
        <w:t xml:space="preserve"> multi-variable mixed effects </w:t>
      </w:r>
      <w:r w:rsidR="00A23A69">
        <w:rPr>
          <w:rFonts w:ascii="Arial" w:hAnsi="Arial" w:cs="Arial"/>
          <w:sz w:val="20"/>
          <w:szCs w:val="20"/>
        </w:rPr>
        <w:t>analysis</w:t>
      </w:r>
      <w:r w:rsidR="00A23A69" w:rsidRPr="00EA5D6D">
        <w:rPr>
          <w:rFonts w:ascii="Arial" w:hAnsi="Arial" w:cs="Arial"/>
          <w:sz w:val="20"/>
          <w:szCs w:val="20"/>
        </w:rPr>
        <w:t>.</w:t>
      </w:r>
      <w:r w:rsidR="00A23A69">
        <w:rPr>
          <w:rFonts w:ascii="Arial" w:hAnsi="Arial" w:cs="Arial"/>
          <w:sz w:val="20"/>
          <w:szCs w:val="20"/>
        </w:rPr>
        <w:t xml:space="preserve"> First</w:t>
      </w:r>
      <w:r w:rsidR="00AE06ED">
        <w:rPr>
          <w:rFonts w:ascii="Arial" w:hAnsi="Arial" w:cs="Arial"/>
          <w:sz w:val="20"/>
          <w:szCs w:val="20"/>
        </w:rPr>
        <w:t>,</w:t>
      </w:r>
      <w:r w:rsidR="00A23A69">
        <w:rPr>
          <w:rFonts w:ascii="Arial" w:hAnsi="Arial" w:cs="Arial"/>
          <w:sz w:val="20"/>
          <w:szCs w:val="20"/>
        </w:rPr>
        <w:t xml:space="preserve"> for the whole period, as in </w:t>
      </w:r>
      <w:r w:rsidR="00AE06ED">
        <w:rPr>
          <w:rFonts w:ascii="Arial" w:hAnsi="Arial" w:cs="Arial"/>
          <w:sz w:val="20"/>
          <w:szCs w:val="20"/>
        </w:rPr>
        <w:t xml:space="preserve">Figure </w:t>
      </w:r>
      <w:r w:rsidR="00A23A69">
        <w:rPr>
          <w:rFonts w:ascii="Arial" w:hAnsi="Arial" w:cs="Arial"/>
          <w:sz w:val="20"/>
          <w:szCs w:val="20"/>
        </w:rPr>
        <w:t xml:space="preserve">3 in the main manuscript, and then disaggregated into the three </w:t>
      </w:r>
      <w:proofErr w:type="gramStart"/>
      <w:r w:rsidR="00A23A69">
        <w:rPr>
          <w:rFonts w:ascii="Arial" w:hAnsi="Arial" w:cs="Arial"/>
          <w:sz w:val="20"/>
          <w:szCs w:val="20"/>
        </w:rPr>
        <w:t>time period</w:t>
      </w:r>
      <w:proofErr w:type="gramEnd"/>
      <w:r w:rsidR="00A23A69">
        <w:rPr>
          <w:rFonts w:ascii="Arial" w:hAnsi="Arial" w:cs="Arial"/>
          <w:sz w:val="20"/>
          <w:szCs w:val="20"/>
        </w:rPr>
        <w:t xml:space="preserve"> groups shown in Supplemental figure 1. Comorbidity diagnosis groups </w:t>
      </w:r>
      <w:r w:rsidR="00AE06ED">
        <w:rPr>
          <w:rFonts w:ascii="Arial" w:hAnsi="Arial" w:cs="Arial"/>
          <w:sz w:val="20"/>
          <w:szCs w:val="20"/>
        </w:rPr>
        <w:t xml:space="preserve">are shown </w:t>
      </w:r>
      <w:r w:rsidR="00A23A69">
        <w:rPr>
          <w:rFonts w:ascii="Arial" w:hAnsi="Arial" w:cs="Arial"/>
          <w:sz w:val="20"/>
          <w:szCs w:val="20"/>
        </w:rPr>
        <w:t>in Supplemental table 1, and education level score in Supplemental Table 2.</w:t>
      </w:r>
    </w:p>
    <w:p w14:paraId="22FC5F62" w14:textId="77777777" w:rsidR="001123F0" w:rsidRDefault="001123F0" w:rsidP="003320C4"/>
    <w:p w14:paraId="530ADBEC" w14:textId="31125015" w:rsidR="00FC2F00" w:rsidRDefault="00FC2F00" w:rsidP="003320C4"/>
    <w:p w14:paraId="0CFF8692" w14:textId="64E8218E" w:rsidR="007A33C9" w:rsidRDefault="00D4224C" w:rsidP="003320C4">
      <w:pPr>
        <w:rPr>
          <w:rFonts w:ascii="Arial" w:hAnsi="Arial" w:cs="Arial"/>
          <w:sz w:val="20"/>
          <w:szCs w:val="20"/>
        </w:rPr>
      </w:pPr>
      <w:bookmarkStart w:id="2" w:name="_Hlk197337723"/>
      <w:r>
        <w:rPr>
          <w:rFonts w:ascii="Arial" w:hAnsi="Arial" w:cs="Arial"/>
          <w:b/>
          <w:bCs/>
          <w:noProof/>
          <w:sz w:val="20"/>
          <w:szCs w:val="20"/>
        </w:rPr>
        <w:lastRenderedPageBreak/>
        <w:drawing>
          <wp:inline distT="0" distB="0" distL="0" distR="0" wp14:anchorId="58EFF0B0" wp14:editId="7B4F25A8">
            <wp:extent cx="5759450" cy="3388360"/>
            <wp:effectExtent l="0" t="0" r="0" b="2540"/>
            <wp:docPr id="1926673907" name="Bildobjekt 5" descr="En bild som visar text, skärmbild, nummer,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73907" name="Bildobjekt 5" descr="En bild som visar text, skärmbild, nummer, diagram&#10;&#10;AI-genererat innehåll kan vara felaktigt."/>
                    <pic:cNvPicPr/>
                  </pic:nvPicPr>
                  <pic:blipFill>
                    <a:blip r:embed="rId13">
                      <a:extLst>
                        <a:ext uri="{28A0092B-C50C-407E-A947-70E740481C1C}">
                          <a14:useLocalDpi xmlns:a14="http://schemas.microsoft.com/office/drawing/2010/main" val="0"/>
                        </a:ext>
                      </a:extLst>
                    </a:blip>
                    <a:stretch>
                      <a:fillRect/>
                    </a:stretch>
                  </pic:blipFill>
                  <pic:spPr>
                    <a:xfrm>
                      <a:off x="0" y="0"/>
                      <a:ext cx="5759450" cy="3388360"/>
                    </a:xfrm>
                    <a:prstGeom prst="rect">
                      <a:avLst/>
                    </a:prstGeom>
                  </pic:spPr>
                </pic:pic>
              </a:graphicData>
            </a:graphic>
          </wp:inline>
        </w:drawing>
      </w:r>
      <w:r w:rsidR="007A33C9" w:rsidRPr="00566511">
        <w:rPr>
          <w:rFonts w:ascii="Arial" w:hAnsi="Arial" w:cs="Arial"/>
          <w:b/>
          <w:bCs/>
          <w:sz w:val="20"/>
          <w:szCs w:val="20"/>
        </w:rPr>
        <w:t>Supplement</w:t>
      </w:r>
      <w:r w:rsidR="001571AF">
        <w:rPr>
          <w:rFonts w:ascii="Arial" w:hAnsi="Arial" w:cs="Arial"/>
          <w:b/>
          <w:bCs/>
          <w:sz w:val="20"/>
          <w:szCs w:val="20"/>
        </w:rPr>
        <w:t xml:space="preserve">al </w:t>
      </w:r>
      <w:r w:rsidR="000F7179" w:rsidRPr="00566511">
        <w:rPr>
          <w:rFonts w:ascii="Arial" w:hAnsi="Arial" w:cs="Arial"/>
          <w:b/>
          <w:bCs/>
          <w:sz w:val="20"/>
          <w:szCs w:val="20"/>
        </w:rPr>
        <w:t>F</w:t>
      </w:r>
      <w:r w:rsidR="007A33C9" w:rsidRPr="00566511">
        <w:rPr>
          <w:rFonts w:ascii="Arial" w:hAnsi="Arial" w:cs="Arial"/>
          <w:b/>
          <w:bCs/>
          <w:sz w:val="20"/>
          <w:szCs w:val="20"/>
        </w:rPr>
        <w:t xml:space="preserve">igure </w:t>
      </w:r>
      <w:r w:rsidR="001123F0">
        <w:rPr>
          <w:rFonts w:ascii="Arial" w:hAnsi="Arial" w:cs="Arial"/>
          <w:b/>
          <w:bCs/>
          <w:sz w:val="20"/>
          <w:szCs w:val="20"/>
        </w:rPr>
        <w:t>5</w:t>
      </w:r>
      <w:r w:rsidR="007A33C9" w:rsidRPr="00566511">
        <w:rPr>
          <w:rFonts w:ascii="Arial" w:hAnsi="Arial" w:cs="Arial"/>
          <w:b/>
          <w:bCs/>
          <w:sz w:val="20"/>
          <w:szCs w:val="20"/>
        </w:rPr>
        <w:t>.</w:t>
      </w:r>
      <w:r w:rsidR="00B030F8" w:rsidRPr="00566511">
        <w:rPr>
          <w:rFonts w:ascii="Arial" w:hAnsi="Arial" w:cs="Arial"/>
          <w:b/>
          <w:bCs/>
          <w:sz w:val="20"/>
          <w:szCs w:val="20"/>
        </w:rPr>
        <w:t xml:space="preserve"> </w:t>
      </w:r>
      <w:r w:rsidR="00076C74" w:rsidRPr="003D7A53">
        <w:rPr>
          <w:rFonts w:ascii="Arial" w:hAnsi="Arial" w:cs="Arial"/>
          <w:sz w:val="20"/>
          <w:szCs w:val="20"/>
        </w:rPr>
        <w:t>Sensitivity</w:t>
      </w:r>
      <w:r w:rsidR="00076C74">
        <w:rPr>
          <w:rFonts w:ascii="Arial" w:hAnsi="Arial" w:cs="Arial"/>
          <w:b/>
          <w:bCs/>
          <w:sz w:val="20"/>
          <w:szCs w:val="20"/>
        </w:rPr>
        <w:t xml:space="preserve"> </w:t>
      </w:r>
      <w:r w:rsidR="00076C74">
        <w:rPr>
          <w:rFonts w:ascii="Arial" w:hAnsi="Arial" w:cs="Arial"/>
          <w:sz w:val="20"/>
          <w:szCs w:val="20"/>
        </w:rPr>
        <w:t>analysis of risk</w:t>
      </w:r>
      <w:r w:rsidR="00076C74" w:rsidRPr="00566511">
        <w:rPr>
          <w:rFonts w:ascii="Arial" w:hAnsi="Arial" w:cs="Arial"/>
          <w:sz w:val="20"/>
          <w:szCs w:val="20"/>
        </w:rPr>
        <w:t xml:space="preserve"> factors affecting the different RAND-36 dimensions in the first 15 months after intensive care for sepsis </w:t>
      </w:r>
      <w:r w:rsidR="00076C74">
        <w:rPr>
          <w:rFonts w:ascii="Arial" w:hAnsi="Arial" w:cs="Arial"/>
          <w:sz w:val="20"/>
          <w:szCs w:val="20"/>
        </w:rPr>
        <w:t>using a</w:t>
      </w:r>
      <w:r w:rsidR="00076C74" w:rsidRPr="00566511">
        <w:rPr>
          <w:rFonts w:ascii="Arial" w:hAnsi="Arial" w:cs="Arial"/>
          <w:sz w:val="20"/>
          <w:szCs w:val="20"/>
        </w:rPr>
        <w:t xml:space="preserve"> multi-variable mixed effects </w:t>
      </w:r>
      <w:r w:rsidR="00076C74">
        <w:rPr>
          <w:rFonts w:ascii="Arial" w:hAnsi="Arial" w:cs="Arial"/>
          <w:sz w:val="20"/>
          <w:szCs w:val="20"/>
        </w:rPr>
        <w:t xml:space="preserve">analysis with imputed SAPS3 score without age, </w:t>
      </w:r>
      <w:r w:rsidR="00076C74" w:rsidRPr="00566511">
        <w:rPr>
          <w:rFonts w:ascii="Arial" w:hAnsi="Arial" w:cs="Arial"/>
          <w:sz w:val="20"/>
          <w:szCs w:val="20"/>
        </w:rPr>
        <w:t>CRRT</w:t>
      </w:r>
      <w:r w:rsidR="00076C74">
        <w:rPr>
          <w:rFonts w:ascii="Arial" w:hAnsi="Arial" w:cs="Arial"/>
          <w:sz w:val="20"/>
          <w:szCs w:val="20"/>
        </w:rPr>
        <w:t xml:space="preserve">, </w:t>
      </w:r>
      <w:r w:rsidR="00076C74" w:rsidRPr="00566511">
        <w:rPr>
          <w:rFonts w:ascii="Arial" w:hAnsi="Arial" w:cs="Arial"/>
          <w:sz w:val="20"/>
          <w:szCs w:val="20"/>
        </w:rPr>
        <w:t>invasive ventilation</w:t>
      </w:r>
      <w:r w:rsidR="00076C74">
        <w:rPr>
          <w:rFonts w:ascii="Arial" w:hAnsi="Arial" w:cs="Arial"/>
          <w:sz w:val="20"/>
          <w:szCs w:val="20"/>
        </w:rPr>
        <w:t xml:space="preserve"> and education level</w:t>
      </w:r>
      <w:r w:rsidR="00076C74" w:rsidRPr="00566511">
        <w:rPr>
          <w:rFonts w:ascii="Arial" w:hAnsi="Arial" w:cs="Arial"/>
          <w:sz w:val="20"/>
          <w:szCs w:val="20"/>
        </w:rPr>
        <w:t>.</w:t>
      </w:r>
      <w:bookmarkEnd w:id="2"/>
    </w:p>
    <w:p w14:paraId="7EF23803" w14:textId="33AA3CC8" w:rsidR="003E4271" w:rsidRDefault="003E4271" w:rsidP="003320C4">
      <w:pPr>
        <w:rPr>
          <w:rFonts w:ascii="Arial" w:hAnsi="Arial" w:cs="Arial"/>
          <w:sz w:val="20"/>
          <w:szCs w:val="20"/>
        </w:rPr>
      </w:pPr>
    </w:p>
    <w:p w14:paraId="51A2C1B2" w14:textId="77777777" w:rsidR="00F573DE" w:rsidRDefault="00F573DE" w:rsidP="003320C4">
      <w:pPr>
        <w:rPr>
          <w:rFonts w:ascii="Arial" w:hAnsi="Arial" w:cs="Arial"/>
          <w:sz w:val="20"/>
          <w:szCs w:val="20"/>
        </w:rPr>
      </w:pPr>
    </w:p>
    <w:p w14:paraId="61C8180D" w14:textId="77777777" w:rsidR="00F573DE" w:rsidRDefault="00F573DE" w:rsidP="003320C4">
      <w:pPr>
        <w:rPr>
          <w:rFonts w:ascii="Arial" w:hAnsi="Arial" w:cs="Arial"/>
          <w:sz w:val="20"/>
          <w:szCs w:val="20"/>
        </w:rPr>
      </w:pPr>
    </w:p>
    <w:p w14:paraId="1AF7CFFF" w14:textId="3327D267" w:rsidR="00F573DE" w:rsidRDefault="006D2221" w:rsidP="003320C4">
      <w:pPr>
        <w:rPr>
          <w:rFonts w:ascii="Arial" w:hAnsi="Arial" w:cs="Arial"/>
          <w:sz w:val="20"/>
          <w:szCs w:val="20"/>
        </w:rPr>
      </w:pPr>
      <w:r>
        <w:rPr>
          <w:rFonts w:ascii="Arial" w:hAnsi="Arial" w:cs="Arial"/>
          <w:noProof/>
          <w:sz w:val="20"/>
          <w:szCs w:val="20"/>
        </w:rPr>
        <w:lastRenderedPageBreak/>
        <w:drawing>
          <wp:inline distT="0" distB="0" distL="0" distR="0" wp14:anchorId="6EA276AE" wp14:editId="3CCCB633">
            <wp:extent cx="5759450" cy="3388360"/>
            <wp:effectExtent l="0" t="0" r="0" b="2540"/>
            <wp:docPr id="1546035961" name="Bildobjekt 6"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35961" name="Bildobjekt 6" descr="En bild som visar text, skärmbild, nummer, Teckensnitt&#10;&#10;AI-genererat innehåll kan vara felaktigt."/>
                    <pic:cNvPicPr/>
                  </pic:nvPicPr>
                  <pic:blipFill>
                    <a:blip r:embed="rId14">
                      <a:extLst>
                        <a:ext uri="{28A0092B-C50C-407E-A947-70E740481C1C}">
                          <a14:useLocalDpi xmlns:a14="http://schemas.microsoft.com/office/drawing/2010/main" val="0"/>
                        </a:ext>
                      </a:extLst>
                    </a:blip>
                    <a:stretch>
                      <a:fillRect/>
                    </a:stretch>
                  </pic:blipFill>
                  <pic:spPr>
                    <a:xfrm>
                      <a:off x="0" y="0"/>
                      <a:ext cx="5759450" cy="3388360"/>
                    </a:xfrm>
                    <a:prstGeom prst="rect">
                      <a:avLst/>
                    </a:prstGeom>
                  </pic:spPr>
                </pic:pic>
              </a:graphicData>
            </a:graphic>
          </wp:inline>
        </w:drawing>
      </w:r>
    </w:p>
    <w:p w14:paraId="1148EBF9" w14:textId="77777777" w:rsidR="00076C74" w:rsidRDefault="00F573DE" w:rsidP="00076C74">
      <w:pPr>
        <w:rPr>
          <w:rFonts w:ascii="Arial" w:hAnsi="Arial" w:cs="Arial"/>
          <w:sz w:val="20"/>
          <w:szCs w:val="20"/>
        </w:rPr>
      </w:pPr>
      <w:bookmarkStart w:id="3" w:name="_Hlk197554701"/>
      <w:r w:rsidRPr="00566511">
        <w:rPr>
          <w:rFonts w:ascii="Arial" w:hAnsi="Arial" w:cs="Arial"/>
          <w:b/>
          <w:bCs/>
          <w:sz w:val="20"/>
          <w:szCs w:val="20"/>
        </w:rPr>
        <w:t>Supplement</w:t>
      </w:r>
      <w:r w:rsidR="001571AF">
        <w:rPr>
          <w:rFonts w:ascii="Arial" w:hAnsi="Arial" w:cs="Arial"/>
          <w:b/>
          <w:bCs/>
          <w:sz w:val="20"/>
          <w:szCs w:val="20"/>
        </w:rPr>
        <w:t>al</w:t>
      </w:r>
      <w:r w:rsidRPr="00566511">
        <w:rPr>
          <w:rFonts w:ascii="Arial" w:hAnsi="Arial" w:cs="Arial"/>
          <w:b/>
          <w:bCs/>
          <w:sz w:val="20"/>
          <w:szCs w:val="20"/>
        </w:rPr>
        <w:t xml:space="preserve"> Figure </w:t>
      </w:r>
      <w:r>
        <w:rPr>
          <w:rFonts w:ascii="Arial" w:hAnsi="Arial" w:cs="Arial"/>
          <w:b/>
          <w:bCs/>
          <w:sz w:val="20"/>
          <w:szCs w:val="20"/>
        </w:rPr>
        <w:t>6</w:t>
      </w:r>
      <w:r w:rsidRPr="00566511">
        <w:rPr>
          <w:rFonts w:ascii="Arial" w:hAnsi="Arial" w:cs="Arial"/>
          <w:b/>
          <w:bCs/>
          <w:sz w:val="20"/>
          <w:szCs w:val="20"/>
        </w:rPr>
        <w:t xml:space="preserve">. </w:t>
      </w:r>
      <w:bookmarkEnd w:id="3"/>
    </w:p>
    <w:p w14:paraId="530BECFB" w14:textId="5EC9F26D" w:rsidR="00076C74" w:rsidRDefault="00076C74" w:rsidP="00076C74">
      <w:pPr>
        <w:rPr>
          <w:rFonts w:ascii="Arial" w:hAnsi="Arial" w:cs="Arial"/>
          <w:sz w:val="20"/>
          <w:szCs w:val="20"/>
        </w:rPr>
      </w:pPr>
      <w:r>
        <w:rPr>
          <w:rFonts w:ascii="Arial" w:hAnsi="Arial" w:cs="Arial"/>
          <w:sz w:val="20"/>
          <w:szCs w:val="20"/>
        </w:rPr>
        <w:t>Sensitivity analysis of the effect of outliers on risk</w:t>
      </w:r>
      <w:r w:rsidRPr="00566511">
        <w:rPr>
          <w:rFonts w:ascii="Arial" w:hAnsi="Arial" w:cs="Arial"/>
          <w:sz w:val="20"/>
          <w:szCs w:val="20"/>
        </w:rPr>
        <w:t xml:space="preserve"> factors affecting the different RAND-36 dimensions in the first 15 months after intensive care for sepsis in the multi-variable mixed effects model</w:t>
      </w:r>
      <w:r>
        <w:rPr>
          <w:rFonts w:ascii="Arial" w:hAnsi="Arial" w:cs="Arial"/>
          <w:sz w:val="20"/>
          <w:szCs w:val="20"/>
        </w:rPr>
        <w:t xml:space="preserve">, where the 5% with the lowest RAND-36 scores were removed. The results are </w:t>
      </w:r>
      <w:proofErr w:type="gramStart"/>
      <w:r>
        <w:rPr>
          <w:rFonts w:ascii="Arial" w:hAnsi="Arial" w:cs="Arial"/>
          <w:sz w:val="20"/>
          <w:szCs w:val="20"/>
        </w:rPr>
        <w:t>similar to</w:t>
      </w:r>
      <w:proofErr w:type="gramEnd"/>
      <w:r>
        <w:rPr>
          <w:rFonts w:ascii="Arial" w:hAnsi="Arial" w:cs="Arial"/>
          <w:sz w:val="20"/>
          <w:szCs w:val="20"/>
        </w:rPr>
        <w:t xml:space="preserve"> the main analysis</w:t>
      </w:r>
      <w:r w:rsidR="00AE06ED">
        <w:rPr>
          <w:rFonts w:ascii="Arial" w:hAnsi="Arial" w:cs="Arial"/>
          <w:sz w:val="20"/>
          <w:szCs w:val="20"/>
        </w:rPr>
        <w:t>,</w:t>
      </w:r>
      <w:r>
        <w:rPr>
          <w:rFonts w:ascii="Arial" w:hAnsi="Arial" w:cs="Arial"/>
          <w:sz w:val="20"/>
          <w:szCs w:val="20"/>
        </w:rPr>
        <w:t xml:space="preserve"> indicating that outlier-effects do not significantly alter the results.</w:t>
      </w:r>
    </w:p>
    <w:p w14:paraId="0E6A2C56" w14:textId="5B89FF75" w:rsidR="00F573DE" w:rsidRDefault="00F573DE" w:rsidP="003320C4">
      <w:pPr>
        <w:rPr>
          <w:rFonts w:ascii="Arial" w:hAnsi="Arial" w:cs="Arial"/>
          <w:sz w:val="20"/>
          <w:szCs w:val="20"/>
        </w:rPr>
      </w:pPr>
    </w:p>
    <w:p w14:paraId="7B977CD2" w14:textId="77777777" w:rsidR="004E67DB" w:rsidRDefault="004E67DB" w:rsidP="003320C4">
      <w:pPr>
        <w:rPr>
          <w:rFonts w:ascii="Arial" w:hAnsi="Arial" w:cs="Arial"/>
          <w:sz w:val="20"/>
          <w:szCs w:val="20"/>
        </w:rPr>
      </w:pPr>
    </w:p>
    <w:p w14:paraId="545DFDCB" w14:textId="77777777" w:rsidR="00D261BC" w:rsidRDefault="00D261BC" w:rsidP="003320C4">
      <w:pPr>
        <w:rPr>
          <w:rFonts w:ascii="Arial" w:hAnsi="Arial" w:cs="Arial"/>
          <w:sz w:val="20"/>
          <w:szCs w:val="20"/>
        </w:rPr>
      </w:pPr>
    </w:p>
    <w:p w14:paraId="09958CD0" w14:textId="77777777" w:rsidR="00D261BC" w:rsidRDefault="00D261BC" w:rsidP="003320C4">
      <w:pPr>
        <w:rPr>
          <w:rFonts w:ascii="Arial" w:hAnsi="Arial" w:cs="Arial"/>
          <w:sz w:val="20"/>
          <w:szCs w:val="20"/>
        </w:rPr>
      </w:pPr>
    </w:p>
    <w:p w14:paraId="5AA48EB3" w14:textId="6F58AFBE" w:rsidR="008C4D02" w:rsidRDefault="008C4D02" w:rsidP="003320C4">
      <w:pPr>
        <w:rPr>
          <w:rFonts w:ascii="Arial" w:hAnsi="Arial" w:cs="Arial"/>
          <w:sz w:val="20"/>
          <w:szCs w:val="20"/>
        </w:rPr>
      </w:pPr>
      <w:r>
        <w:rPr>
          <w:rFonts w:ascii="Arial" w:hAnsi="Arial" w:cs="Arial"/>
          <w:noProof/>
          <w:sz w:val="20"/>
          <w:szCs w:val="20"/>
        </w:rPr>
        <w:lastRenderedPageBreak/>
        <w:drawing>
          <wp:inline distT="0" distB="0" distL="0" distR="0" wp14:anchorId="385B0256" wp14:editId="10591AAE">
            <wp:extent cx="5759450" cy="3388360"/>
            <wp:effectExtent l="0" t="0" r="0" b="2540"/>
            <wp:docPr id="1366367578" name="Bildobjekt 7" descr="En bild som visar text, Graf, linje,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67578" name="Bildobjekt 7" descr="En bild som visar text, Graf, linje, skärmbild&#10;&#10;AI-genererat innehåll kan vara felaktigt."/>
                    <pic:cNvPicPr/>
                  </pic:nvPicPr>
                  <pic:blipFill>
                    <a:blip r:embed="rId15">
                      <a:extLst>
                        <a:ext uri="{28A0092B-C50C-407E-A947-70E740481C1C}">
                          <a14:useLocalDpi xmlns:a14="http://schemas.microsoft.com/office/drawing/2010/main" val="0"/>
                        </a:ext>
                      </a:extLst>
                    </a:blip>
                    <a:stretch>
                      <a:fillRect/>
                    </a:stretch>
                  </pic:blipFill>
                  <pic:spPr>
                    <a:xfrm>
                      <a:off x="0" y="0"/>
                      <a:ext cx="5759450" cy="3388360"/>
                    </a:xfrm>
                    <a:prstGeom prst="rect">
                      <a:avLst/>
                    </a:prstGeom>
                  </pic:spPr>
                </pic:pic>
              </a:graphicData>
            </a:graphic>
          </wp:inline>
        </w:drawing>
      </w:r>
    </w:p>
    <w:p w14:paraId="1809EAA1" w14:textId="493102D5" w:rsidR="008C4D02" w:rsidRDefault="008C4D02" w:rsidP="003320C4">
      <w:pPr>
        <w:rPr>
          <w:rFonts w:ascii="Arial" w:hAnsi="Arial" w:cs="Arial"/>
          <w:b/>
          <w:bCs/>
          <w:sz w:val="20"/>
          <w:szCs w:val="20"/>
        </w:rPr>
      </w:pPr>
      <w:bookmarkStart w:id="4" w:name="_Hlk197348180"/>
      <w:r w:rsidRPr="00566511">
        <w:rPr>
          <w:rFonts w:ascii="Arial" w:hAnsi="Arial" w:cs="Arial"/>
          <w:b/>
          <w:bCs/>
          <w:sz w:val="20"/>
          <w:szCs w:val="20"/>
        </w:rPr>
        <w:t>Supplement</w:t>
      </w:r>
      <w:r w:rsidR="001571AF">
        <w:rPr>
          <w:rFonts w:ascii="Arial" w:hAnsi="Arial" w:cs="Arial"/>
          <w:b/>
          <w:bCs/>
          <w:sz w:val="20"/>
          <w:szCs w:val="20"/>
        </w:rPr>
        <w:t>al</w:t>
      </w:r>
      <w:r w:rsidRPr="00566511">
        <w:rPr>
          <w:rFonts w:ascii="Arial" w:hAnsi="Arial" w:cs="Arial"/>
          <w:b/>
          <w:bCs/>
          <w:sz w:val="20"/>
          <w:szCs w:val="20"/>
        </w:rPr>
        <w:t xml:space="preserve"> Figure </w:t>
      </w:r>
      <w:r>
        <w:rPr>
          <w:rFonts w:ascii="Arial" w:hAnsi="Arial" w:cs="Arial"/>
          <w:b/>
          <w:bCs/>
          <w:sz w:val="20"/>
          <w:szCs w:val="20"/>
        </w:rPr>
        <w:t>7</w:t>
      </w:r>
      <w:r w:rsidR="00076C74">
        <w:rPr>
          <w:rFonts w:ascii="Arial" w:hAnsi="Arial" w:cs="Arial"/>
          <w:b/>
          <w:bCs/>
          <w:sz w:val="20"/>
          <w:szCs w:val="20"/>
        </w:rPr>
        <w:t>.</w:t>
      </w:r>
      <w:r w:rsidR="00076C74" w:rsidRPr="00076C74">
        <w:rPr>
          <w:rFonts w:ascii="Arial" w:hAnsi="Arial" w:cs="Arial"/>
          <w:sz w:val="20"/>
          <w:szCs w:val="20"/>
        </w:rPr>
        <w:t xml:space="preserve"> </w:t>
      </w:r>
      <w:r w:rsidR="00076C74" w:rsidRPr="003D7A53">
        <w:rPr>
          <w:rFonts w:ascii="Arial" w:hAnsi="Arial" w:cs="Arial"/>
          <w:sz w:val="20"/>
          <w:szCs w:val="20"/>
        </w:rPr>
        <w:t>Average days per month of sick-leave in the subgroup 25-60 years old patients treated for sepsis that also reported RAND-36. The shaded area indicates 95% confidence intervals. Patients who died were censored from that month forward.</w:t>
      </w:r>
      <w:r w:rsidR="00076C74">
        <w:rPr>
          <w:rFonts w:ascii="Arial" w:hAnsi="Arial" w:cs="Arial"/>
          <w:sz w:val="20"/>
          <w:szCs w:val="20"/>
        </w:rPr>
        <w:t xml:space="preserve"> The average shows that patients who developed sepsis had a markedly higher burden of work incapacity already a year before being admitted to </w:t>
      </w:r>
      <w:r w:rsidR="00AE06ED">
        <w:rPr>
          <w:rFonts w:ascii="Arial" w:hAnsi="Arial" w:cs="Arial"/>
          <w:sz w:val="20"/>
          <w:szCs w:val="20"/>
        </w:rPr>
        <w:t xml:space="preserve">the </w:t>
      </w:r>
      <w:r w:rsidR="00076C74">
        <w:rPr>
          <w:rFonts w:ascii="Arial" w:hAnsi="Arial" w:cs="Arial"/>
          <w:sz w:val="20"/>
          <w:szCs w:val="20"/>
        </w:rPr>
        <w:t>ICU, indicating a greater vulnerability. At 24 months</w:t>
      </w:r>
      <w:r w:rsidR="00AE06ED">
        <w:rPr>
          <w:rFonts w:ascii="Arial" w:hAnsi="Arial" w:cs="Arial"/>
          <w:sz w:val="20"/>
          <w:szCs w:val="20"/>
        </w:rPr>
        <w:t>,</w:t>
      </w:r>
      <w:r w:rsidR="00076C74">
        <w:rPr>
          <w:rFonts w:ascii="Arial" w:hAnsi="Arial" w:cs="Arial"/>
          <w:sz w:val="20"/>
          <w:szCs w:val="20"/>
        </w:rPr>
        <w:t xml:space="preserve"> they still had a higher number of sick-leave days per month than at baseline. The increase in sick-leave time between </w:t>
      </w:r>
      <w:r w:rsidR="00AE06ED">
        <w:rPr>
          <w:rFonts w:ascii="Arial" w:hAnsi="Arial" w:cs="Arial"/>
          <w:sz w:val="20"/>
          <w:szCs w:val="20"/>
        </w:rPr>
        <w:t xml:space="preserve">months </w:t>
      </w:r>
      <w:r w:rsidR="00076C74">
        <w:rPr>
          <w:rFonts w:ascii="Arial" w:hAnsi="Arial" w:cs="Arial"/>
          <w:sz w:val="20"/>
          <w:szCs w:val="20"/>
        </w:rPr>
        <w:t>1 and 2 after ICU can be explained by the first two weeks of any period of sick-leave in Sweden being paid by the employer, and thus not being registered as sick-leave.</w:t>
      </w:r>
      <w:bookmarkEnd w:id="4"/>
    </w:p>
    <w:p w14:paraId="0B345265" w14:textId="77777777" w:rsidR="004F2B73" w:rsidRDefault="004F2B73" w:rsidP="003320C4">
      <w:pPr>
        <w:rPr>
          <w:rFonts w:ascii="Arial" w:hAnsi="Arial" w:cs="Arial"/>
          <w:b/>
          <w:bCs/>
          <w:sz w:val="20"/>
          <w:szCs w:val="20"/>
        </w:rPr>
      </w:pPr>
    </w:p>
    <w:p w14:paraId="37850554" w14:textId="77777777" w:rsidR="004F2B73" w:rsidRDefault="004F2B73" w:rsidP="003320C4">
      <w:pPr>
        <w:rPr>
          <w:rFonts w:ascii="Arial" w:hAnsi="Arial" w:cs="Arial"/>
          <w:b/>
          <w:bCs/>
          <w:sz w:val="20"/>
          <w:szCs w:val="20"/>
        </w:rPr>
      </w:pPr>
    </w:p>
    <w:p w14:paraId="3199EA8F" w14:textId="77777777" w:rsidR="004F2B73" w:rsidRDefault="004F2B73" w:rsidP="003320C4">
      <w:pPr>
        <w:rPr>
          <w:rFonts w:ascii="Arial" w:hAnsi="Arial" w:cs="Arial"/>
          <w:sz w:val="20"/>
          <w:szCs w:val="20"/>
        </w:rPr>
      </w:pPr>
    </w:p>
    <w:p w14:paraId="7F61E39D" w14:textId="5AE698A4" w:rsidR="008C4D02" w:rsidRDefault="00D4224C" w:rsidP="003320C4">
      <w:pPr>
        <w:rPr>
          <w:rFonts w:ascii="Arial" w:hAnsi="Arial" w:cs="Arial"/>
          <w:sz w:val="20"/>
          <w:szCs w:val="20"/>
        </w:rPr>
      </w:pPr>
      <w:r>
        <w:rPr>
          <w:rFonts w:ascii="Arial" w:hAnsi="Arial" w:cs="Arial"/>
          <w:noProof/>
          <w:sz w:val="20"/>
          <w:szCs w:val="20"/>
        </w:rPr>
        <w:lastRenderedPageBreak/>
        <w:drawing>
          <wp:inline distT="0" distB="0" distL="0" distR="0" wp14:anchorId="73F6545C" wp14:editId="40010D9D">
            <wp:extent cx="5759450" cy="3388360"/>
            <wp:effectExtent l="0" t="0" r="0" b="2540"/>
            <wp:docPr id="2047618940" name="Bildobjekt 4" descr="En bild som visar text, skärmbild, diagram, Graf&#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18940" name="Bildobjekt 4" descr="En bild som visar text, skärmbild, diagram, Graf&#10;&#10;AI-genererat innehåll kan vara felaktigt."/>
                    <pic:cNvPicPr/>
                  </pic:nvPicPr>
                  <pic:blipFill>
                    <a:blip r:embed="rId16">
                      <a:extLst>
                        <a:ext uri="{28A0092B-C50C-407E-A947-70E740481C1C}">
                          <a14:useLocalDpi xmlns:a14="http://schemas.microsoft.com/office/drawing/2010/main" val="0"/>
                        </a:ext>
                      </a:extLst>
                    </a:blip>
                    <a:stretch>
                      <a:fillRect/>
                    </a:stretch>
                  </pic:blipFill>
                  <pic:spPr>
                    <a:xfrm>
                      <a:off x="0" y="0"/>
                      <a:ext cx="5759450" cy="3388360"/>
                    </a:xfrm>
                    <a:prstGeom prst="rect">
                      <a:avLst/>
                    </a:prstGeom>
                  </pic:spPr>
                </pic:pic>
              </a:graphicData>
            </a:graphic>
          </wp:inline>
        </w:drawing>
      </w:r>
    </w:p>
    <w:p w14:paraId="1799CEFD" w14:textId="30463802" w:rsidR="004E67DB" w:rsidRDefault="004E67DB" w:rsidP="003320C4">
      <w:pPr>
        <w:rPr>
          <w:rFonts w:ascii="Arial" w:hAnsi="Arial" w:cs="Arial"/>
          <w:sz w:val="20"/>
          <w:szCs w:val="20"/>
        </w:rPr>
      </w:pPr>
    </w:p>
    <w:p w14:paraId="4AEE8250" w14:textId="6F6BA7D0" w:rsidR="004E67DB" w:rsidRDefault="004E67DB" w:rsidP="003320C4">
      <w:pPr>
        <w:rPr>
          <w:rFonts w:ascii="Arial" w:hAnsi="Arial" w:cs="Arial"/>
          <w:sz w:val="20"/>
          <w:szCs w:val="20"/>
        </w:rPr>
      </w:pPr>
      <w:r w:rsidRPr="00566511">
        <w:rPr>
          <w:rFonts w:ascii="Arial" w:hAnsi="Arial" w:cs="Arial"/>
          <w:b/>
          <w:bCs/>
          <w:sz w:val="20"/>
          <w:szCs w:val="20"/>
        </w:rPr>
        <w:t>Supplement</w:t>
      </w:r>
      <w:r w:rsidR="001571AF">
        <w:rPr>
          <w:rFonts w:ascii="Arial" w:hAnsi="Arial" w:cs="Arial"/>
          <w:b/>
          <w:bCs/>
          <w:sz w:val="20"/>
          <w:szCs w:val="20"/>
        </w:rPr>
        <w:t>al</w:t>
      </w:r>
      <w:r w:rsidRPr="00566511">
        <w:rPr>
          <w:rFonts w:ascii="Arial" w:hAnsi="Arial" w:cs="Arial"/>
          <w:b/>
          <w:bCs/>
          <w:sz w:val="20"/>
          <w:szCs w:val="20"/>
        </w:rPr>
        <w:t xml:space="preserve"> Figure </w:t>
      </w:r>
      <w:r w:rsidR="008C4D02">
        <w:rPr>
          <w:rFonts w:ascii="Arial" w:hAnsi="Arial" w:cs="Arial"/>
          <w:b/>
          <w:bCs/>
          <w:sz w:val="20"/>
          <w:szCs w:val="20"/>
        </w:rPr>
        <w:t>8</w:t>
      </w:r>
      <w:r w:rsidRPr="00566511">
        <w:rPr>
          <w:rFonts w:ascii="Arial" w:hAnsi="Arial" w:cs="Arial"/>
          <w:b/>
          <w:bCs/>
          <w:sz w:val="20"/>
          <w:szCs w:val="20"/>
        </w:rPr>
        <w:t xml:space="preserve">. </w:t>
      </w:r>
      <w:r w:rsidRPr="00566511">
        <w:rPr>
          <w:rFonts w:ascii="Arial" w:hAnsi="Arial" w:cs="Arial"/>
          <w:sz w:val="20"/>
          <w:szCs w:val="20"/>
        </w:rPr>
        <w:t>A forest plot over the factors affecting the different RAND-36 dimensions in the first 15 months after intensive care for sepsis in the multi-variable mixed effects model</w:t>
      </w:r>
      <w:r>
        <w:rPr>
          <w:rFonts w:ascii="Arial" w:hAnsi="Arial" w:cs="Arial"/>
          <w:sz w:val="20"/>
          <w:szCs w:val="20"/>
        </w:rPr>
        <w:t xml:space="preserve"> on the subgroup aged 25-60</w:t>
      </w:r>
      <w:r w:rsidR="00AE06ED">
        <w:rPr>
          <w:rFonts w:ascii="Arial" w:hAnsi="Arial" w:cs="Arial"/>
          <w:sz w:val="20"/>
          <w:szCs w:val="20"/>
        </w:rPr>
        <w:t>,</w:t>
      </w:r>
      <w:r>
        <w:rPr>
          <w:rFonts w:ascii="Arial" w:hAnsi="Arial" w:cs="Arial"/>
          <w:sz w:val="20"/>
          <w:szCs w:val="20"/>
        </w:rPr>
        <w:t xml:space="preserve"> where we added </w:t>
      </w:r>
      <w:r w:rsidR="00D22952">
        <w:rPr>
          <w:rFonts w:ascii="Arial" w:hAnsi="Arial" w:cs="Arial"/>
          <w:sz w:val="20"/>
          <w:szCs w:val="20"/>
        </w:rPr>
        <w:t>sick-leave</w:t>
      </w:r>
      <w:r>
        <w:rPr>
          <w:rFonts w:ascii="Arial" w:hAnsi="Arial" w:cs="Arial"/>
          <w:sz w:val="20"/>
          <w:szCs w:val="20"/>
        </w:rPr>
        <w:t xml:space="preserve"> after ICU to the model.</w:t>
      </w:r>
    </w:p>
    <w:p w14:paraId="646A06F7" w14:textId="77777777" w:rsidR="00F573DE" w:rsidRDefault="00F573DE" w:rsidP="003320C4">
      <w:pPr>
        <w:rPr>
          <w:rFonts w:ascii="Arial" w:hAnsi="Arial" w:cs="Arial"/>
          <w:sz w:val="20"/>
          <w:szCs w:val="20"/>
        </w:rPr>
      </w:pPr>
    </w:p>
    <w:p w14:paraId="02C7E252" w14:textId="77777777" w:rsidR="00E03ED8" w:rsidRDefault="00E03ED8" w:rsidP="003320C4">
      <w:pPr>
        <w:rPr>
          <w:rFonts w:ascii="Arial" w:hAnsi="Arial" w:cs="Arial"/>
          <w:sz w:val="20"/>
          <w:szCs w:val="20"/>
        </w:rPr>
      </w:pPr>
    </w:p>
    <w:p w14:paraId="25BC4CA7" w14:textId="77777777" w:rsidR="00E03ED8" w:rsidRDefault="00E03ED8" w:rsidP="003320C4">
      <w:pPr>
        <w:rPr>
          <w:rFonts w:ascii="Arial" w:hAnsi="Arial" w:cs="Arial"/>
          <w:sz w:val="20"/>
          <w:szCs w:val="20"/>
        </w:rPr>
      </w:pPr>
    </w:p>
    <w:p w14:paraId="41AE261D" w14:textId="62044236" w:rsidR="003E4271" w:rsidRDefault="00E03ED8" w:rsidP="003320C4">
      <w:pPr>
        <w:rPr>
          <w:rFonts w:ascii="Arial" w:hAnsi="Arial" w:cs="Arial"/>
          <w:sz w:val="20"/>
          <w:szCs w:val="20"/>
        </w:rPr>
      </w:pPr>
      <w:r>
        <w:rPr>
          <w:rFonts w:ascii="Arial" w:hAnsi="Arial" w:cs="Arial"/>
          <w:noProof/>
          <w:sz w:val="20"/>
          <w:szCs w:val="20"/>
        </w:rPr>
        <w:lastRenderedPageBreak/>
        <w:drawing>
          <wp:inline distT="0" distB="0" distL="0" distR="0" wp14:anchorId="3BD37899" wp14:editId="4AFD0ED1">
            <wp:extent cx="5759450" cy="3388360"/>
            <wp:effectExtent l="0" t="0" r="0" b="2540"/>
            <wp:docPr id="580306438" name="Bildobjekt 3"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06438" name="Bildobjekt 3" descr="En bild som visar text, skärmbild, nummer, Teckensnitt&#10;&#10;AI-genererat innehåll kan vara felaktigt."/>
                    <pic:cNvPicPr/>
                  </pic:nvPicPr>
                  <pic:blipFill>
                    <a:blip r:embed="rId17">
                      <a:extLst>
                        <a:ext uri="{28A0092B-C50C-407E-A947-70E740481C1C}">
                          <a14:useLocalDpi xmlns:a14="http://schemas.microsoft.com/office/drawing/2010/main" val="0"/>
                        </a:ext>
                      </a:extLst>
                    </a:blip>
                    <a:stretch>
                      <a:fillRect/>
                    </a:stretch>
                  </pic:blipFill>
                  <pic:spPr>
                    <a:xfrm>
                      <a:off x="0" y="0"/>
                      <a:ext cx="5759450" cy="3388360"/>
                    </a:xfrm>
                    <a:prstGeom prst="rect">
                      <a:avLst/>
                    </a:prstGeom>
                  </pic:spPr>
                </pic:pic>
              </a:graphicData>
            </a:graphic>
          </wp:inline>
        </w:drawing>
      </w:r>
    </w:p>
    <w:p w14:paraId="6B7C5C6C" w14:textId="629B4F23" w:rsidR="003E4271" w:rsidRPr="00566511" w:rsidRDefault="003E4271" w:rsidP="003320C4">
      <w:pPr>
        <w:rPr>
          <w:rFonts w:ascii="Arial" w:hAnsi="Arial" w:cs="Arial"/>
          <w:sz w:val="20"/>
          <w:szCs w:val="20"/>
        </w:rPr>
      </w:pPr>
      <w:r w:rsidRPr="00566511">
        <w:rPr>
          <w:rFonts w:ascii="Arial" w:hAnsi="Arial" w:cs="Arial"/>
          <w:b/>
          <w:bCs/>
          <w:sz w:val="20"/>
          <w:szCs w:val="20"/>
        </w:rPr>
        <w:t>Supplement</w:t>
      </w:r>
      <w:r w:rsidR="001571AF">
        <w:rPr>
          <w:rFonts w:ascii="Arial" w:hAnsi="Arial" w:cs="Arial"/>
          <w:b/>
          <w:bCs/>
          <w:sz w:val="20"/>
          <w:szCs w:val="20"/>
        </w:rPr>
        <w:t>al</w:t>
      </w:r>
      <w:r w:rsidRPr="00566511">
        <w:rPr>
          <w:rFonts w:ascii="Arial" w:hAnsi="Arial" w:cs="Arial"/>
          <w:b/>
          <w:bCs/>
          <w:sz w:val="20"/>
          <w:szCs w:val="20"/>
        </w:rPr>
        <w:t xml:space="preserve"> Figure </w:t>
      </w:r>
      <w:r w:rsidR="008C4D02">
        <w:rPr>
          <w:rFonts w:ascii="Arial" w:hAnsi="Arial" w:cs="Arial"/>
          <w:b/>
          <w:bCs/>
          <w:sz w:val="20"/>
          <w:szCs w:val="20"/>
        </w:rPr>
        <w:t>9</w:t>
      </w:r>
      <w:r w:rsidRPr="00566511">
        <w:rPr>
          <w:rFonts w:ascii="Arial" w:hAnsi="Arial" w:cs="Arial"/>
          <w:b/>
          <w:bCs/>
          <w:sz w:val="20"/>
          <w:szCs w:val="20"/>
        </w:rPr>
        <w:t xml:space="preserve">. </w:t>
      </w:r>
      <w:r w:rsidR="00076C74">
        <w:rPr>
          <w:rFonts w:ascii="Arial" w:hAnsi="Arial" w:cs="Arial"/>
          <w:sz w:val="20"/>
          <w:szCs w:val="20"/>
        </w:rPr>
        <w:t xml:space="preserve">Risk factors for sick-leave after intensive care for sepsis in the subgroup aged 25-60 with RAND-36 data available. The results show a lower risk of sick-leave for men and patients with higher education, whereas age and comorbidities are associated with </w:t>
      </w:r>
      <w:r w:rsidR="00AE06ED">
        <w:rPr>
          <w:rFonts w:ascii="Arial" w:hAnsi="Arial" w:cs="Arial"/>
          <w:sz w:val="20"/>
          <w:szCs w:val="20"/>
        </w:rPr>
        <w:t xml:space="preserve">a </w:t>
      </w:r>
      <w:r w:rsidR="00076C74">
        <w:rPr>
          <w:rFonts w:ascii="Arial" w:hAnsi="Arial" w:cs="Arial"/>
          <w:sz w:val="20"/>
          <w:szCs w:val="20"/>
        </w:rPr>
        <w:t>higher risk of sick-leave. Better Health</w:t>
      </w:r>
      <w:r w:rsidR="00D85094">
        <w:rPr>
          <w:rFonts w:ascii="Arial" w:hAnsi="Arial" w:cs="Arial"/>
          <w:sz w:val="20"/>
          <w:szCs w:val="20"/>
        </w:rPr>
        <w:t>-</w:t>
      </w:r>
      <w:r w:rsidR="00076C74">
        <w:rPr>
          <w:rFonts w:ascii="Arial" w:hAnsi="Arial" w:cs="Arial"/>
          <w:sz w:val="20"/>
          <w:szCs w:val="20"/>
        </w:rPr>
        <w:t>Related Quality of Life</w:t>
      </w:r>
      <w:r w:rsidR="00AE06ED">
        <w:rPr>
          <w:rFonts w:ascii="Arial" w:hAnsi="Arial" w:cs="Arial"/>
          <w:sz w:val="20"/>
          <w:szCs w:val="20"/>
        </w:rPr>
        <w:t>,</w:t>
      </w:r>
      <w:r w:rsidR="00076C74">
        <w:rPr>
          <w:rFonts w:ascii="Arial" w:hAnsi="Arial" w:cs="Arial"/>
          <w:sz w:val="20"/>
          <w:szCs w:val="20"/>
        </w:rPr>
        <w:t xml:space="preserve"> represented by the RAND-36 dimension</w:t>
      </w:r>
      <w:r w:rsidR="00AE06ED">
        <w:rPr>
          <w:rFonts w:ascii="Arial" w:hAnsi="Arial" w:cs="Arial"/>
          <w:sz w:val="20"/>
          <w:szCs w:val="20"/>
        </w:rPr>
        <w:t>,</w:t>
      </w:r>
      <w:r w:rsidR="00076C74">
        <w:rPr>
          <w:rFonts w:ascii="Arial" w:hAnsi="Arial" w:cs="Arial"/>
          <w:sz w:val="20"/>
          <w:szCs w:val="20"/>
        </w:rPr>
        <w:t xml:space="preserve"> </w:t>
      </w:r>
      <w:r w:rsidR="00AE06ED">
        <w:rPr>
          <w:rFonts w:ascii="Arial" w:hAnsi="Arial" w:cs="Arial"/>
          <w:sz w:val="20"/>
          <w:szCs w:val="20"/>
        </w:rPr>
        <w:t xml:space="preserve">was </w:t>
      </w:r>
      <w:r w:rsidR="00076C74">
        <w:rPr>
          <w:rFonts w:ascii="Arial" w:hAnsi="Arial" w:cs="Arial"/>
          <w:sz w:val="20"/>
          <w:szCs w:val="20"/>
        </w:rPr>
        <w:t>mostly protective.</w:t>
      </w:r>
    </w:p>
    <w:p w14:paraId="581903F3" w14:textId="09E911B6" w:rsidR="00056BCC" w:rsidRDefault="00056BCC">
      <w:pPr>
        <w:spacing w:line="259" w:lineRule="auto"/>
      </w:pPr>
      <w:r>
        <w:br w:type="page"/>
      </w:r>
    </w:p>
    <w:p w14:paraId="4D5918A8" w14:textId="77777777" w:rsidR="00B030F8" w:rsidRDefault="00B030F8">
      <w:pPr>
        <w:spacing w:line="259" w:lineRule="auto"/>
      </w:pPr>
    </w:p>
    <w:p w14:paraId="4022D2C8" w14:textId="4A59AF41" w:rsidR="00110B43" w:rsidRPr="00566511" w:rsidRDefault="00110B43" w:rsidP="00FA27CA">
      <w:pPr>
        <w:rPr>
          <w:rFonts w:ascii="Arial" w:hAnsi="Arial" w:cs="Arial"/>
          <w:sz w:val="20"/>
          <w:szCs w:val="20"/>
        </w:rPr>
      </w:pPr>
      <w:r w:rsidRPr="00566511">
        <w:rPr>
          <w:rFonts w:ascii="Arial" w:hAnsi="Arial" w:cs="Arial"/>
          <w:b/>
          <w:bCs/>
          <w:sz w:val="20"/>
          <w:szCs w:val="20"/>
        </w:rPr>
        <w:t>Supplement</w:t>
      </w:r>
      <w:r w:rsidR="001571AF">
        <w:rPr>
          <w:rFonts w:ascii="Arial" w:hAnsi="Arial" w:cs="Arial"/>
          <w:b/>
          <w:bCs/>
          <w:sz w:val="20"/>
          <w:szCs w:val="20"/>
        </w:rPr>
        <w:t>al</w:t>
      </w:r>
      <w:r w:rsidRPr="00566511">
        <w:rPr>
          <w:rFonts w:ascii="Arial" w:hAnsi="Arial" w:cs="Arial"/>
          <w:b/>
          <w:bCs/>
          <w:sz w:val="20"/>
          <w:szCs w:val="20"/>
        </w:rPr>
        <w:t xml:space="preserve"> </w:t>
      </w:r>
      <w:r w:rsidR="000F7179" w:rsidRPr="00566511">
        <w:rPr>
          <w:rFonts w:ascii="Arial" w:hAnsi="Arial" w:cs="Arial"/>
          <w:b/>
          <w:bCs/>
          <w:sz w:val="20"/>
          <w:szCs w:val="20"/>
        </w:rPr>
        <w:t>T</w:t>
      </w:r>
      <w:r w:rsidRPr="00566511">
        <w:rPr>
          <w:rFonts w:ascii="Arial" w:hAnsi="Arial" w:cs="Arial"/>
          <w:b/>
          <w:bCs/>
          <w:sz w:val="20"/>
          <w:szCs w:val="20"/>
        </w:rPr>
        <w:t>able 1.</w:t>
      </w:r>
      <w:r w:rsidRPr="00566511">
        <w:rPr>
          <w:rFonts w:ascii="Arial" w:hAnsi="Arial" w:cs="Arial"/>
          <w:sz w:val="20"/>
          <w:szCs w:val="20"/>
        </w:rPr>
        <w:t xml:space="preserve"> </w:t>
      </w:r>
      <w:r w:rsidR="0081617F" w:rsidRPr="00566511">
        <w:rPr>
          <w:rFonts w:ascii="Arial" w:hAnsi="Arial" w:cs="Arial"/>
          <w:sz w:val="20"/>
          <w:szCs w:val="20"/>
        </w:rPr>
        <w:t>Showing how we coded the diagnoses in relation to ICD-10.</w:t>
      </w:r>
      <w:r w:rsidR="0081617F" w:rsidRPr="00566511">
        <w:rPr>
          <w:rFonts w:ascii="Arial" w:hAnsi="Arial" w:cs="Arial"/>
          <w:noProof/>
          <w:sz w:val="20"/>
          <w:szCs w:val="20"/>
        </w:rPr>
        <w:t xml:space="preserve"> </w:t>
      </w:r>
    </w:p>
    <w:tbl>
      <w:tblPr>
        <w:tblW w:w="3740" w:type="dxa"/>
        <w:tblLook w:val="04A0" w:firstRow="1" w:lastRow="0" w:firstColumn="1" w:lastColumn="0" w:noHBand="0" w:noVBand="1"/>
      </w:tblPr>
      <w:tblGrid>
        <w:gridCol w:w="2546"/>
        <w:gridCol w:w="1194"/>
      </w:tblGrid>
      <w:tr w:rsidR="00A95131" w:rsidRPr="00A95131" w14:paraId="11CD1D79" w14:textId="77777777" w:rsidTr="00A95131">
        <w:trPr>
          <w:trHeight w:val="50"/>
        </w:trPr>
        <w:tc>
          <w:tcPr>
            <w:tcW w:w="2546" w:type="dxa"/>
            <w:vMerge w:val="restart"/>
            <w:tcBorders>
              <w:top w:val="single" w:sz="12" w:space="0" w:color="000000"/>
              <w:left w:val="nil"/>
              <w:bottom w:val="single" w:sz="8" w:space="0" w:color="000000"/>
              <w:right w:val="nil"/>
            </w:tcBorders>
            <w:shd w:val="clear" w:color="000000" w:fill="FFFFFF"/>
            <w:vAlign w:val="center"/>
            <w:hideMark/>
          </w:tcPr>
          <w:p w14:paraId="2D2944CC" w14:textId="77777777" w:rsidR="00A95131" w:rsidRPr="00A95131" w:rsidRDefault="00A95131" w:rsidP="00A95131">
            <w:pPr>
              <w:spacing w:after="0" w:line="240" w:lineRule="auto"/>
              <w:rPr>
                <w:rFonts w:ascii="Arial" w:eastAsia="Times New Roman" w:hAnsi="Arial" w:cs="Arial"/>
                <w:b/>
                <w:bCs/>
                <w:color w:val="000000"/>
                <w:kern w:val="0"/>
                <w:sz w:val="18"/>
                <w:szCs w:val="18"/>
                <w14:ligatures w14:val="none"/>
              </w:rPr>
            </w:pPr>
            <w:r w:rsidRPr="00A95131">
              <w:rPr>
                <w:rFonts w:ascii="Arial" w:eastAsia="Times New Roman" w:hAnsi="Arial" w:cs="Arial"/>
                <w:b/>
                <w:bCs/>
                <w:color w:val="000000"/>
                <w:kern w:val="0"/>
                <w:sz w:val="18"/>
                <w:szCs w:val="18"/>
                <w14:ligatures w14:val="none"/>
              </w:rPr>
              <w:t>Diagnose group</w:t>
            </w:r>
          </w:p>
        </w:tc>
        <w:tc>
          <w:tcPr>
            <w:tcW w:w="1194" w:type="dxa"/>
            <w:tcBorders>
              <w:top w:val="single" w:sz="12" w:space="0" w:color="000000"/>
              <w:left w:val="nil"/>
              <w:bottom w:val="nil"/>
              <w:right w:val="nil"/>
            </w:tcBorders>
            <w:shd w:val="clear" w:color="000000" w:fill="FFFFFF"/>
            <w:vAlign w:val="center"/>
            <w:hideMark/>
          </w:tcPr>
          <w:p w14:paraId="23410E44" w14:textId="3CCE92B3" w:rsidR="00A95131" w:rsidRPr="00A95131" w:rsidRDefault="00A95131" w:rsidP="00A95131">
            <w:pPr>
              <w:spacing w:after="0" w:line="240" w:lineRule="auto"/>
              <w:jc w:val="center"/>
              <w:rPr>
                <w:rFonts w:ascii="Arial" w:eastAsia="Times New Roman" w:hAnsi="Arial" w:cs="Arial"/>
                <w:b/>
                <w:bCs/>
                <w:color w:val="000000"/>
                <w:kern w:val="0"/>
                <w:sz w:val="18"/>
                <w:szCs w:val="18"/>
                <w14:ligatures w14:val="none"/>
              </w:rPr>
            </w:pPr>
          </w:p>
        </w:tc>
      </w:tr>
      <w:tr w:rsidR="00A95131" w:rsidRPr="00A95131" w14:paraId="3FF39E00" w14:textId="77777777" w:rsidTr="00A95131">
        <w:trPr>
          <w:trHeight w:val="480"/>
        </w:trPr>
        <w:tc>
          <w:tcPr>
            <w:tcW w:w="2546" w:type="dxa"/>
            <w:vMerge/>
            <w:tcBorders>
              <w:top w:val="single" w:sz="12" w:space="0" w:color="000000"/>
              <w:left w:val="nil"/>
              <w:bottom w:val="single" w:sz="8" w:space="0" w:color="000000"/>
              <w:right w:val="nil"/>
            </w:tcBorders>
            <w:vAlign w:val="center"/>
            <w:hideMark/>
          </w:tcPr>
          <w:p w14:paraId="04F06B79" w14:textId="77777777" w:rsidR="00A95131" w:rsidRPr="00A95131" w:rsidRDefault="00A95131" w:rsidP="00A95131">
            <w:pPr>
              <w:spacing w:after="0" w:line="240" w:lineRule="auto"/>
              <w:rPr>
                <w:rFonts w:ascii="Arial" w:eastAsia="Times New Roman" w:hAnsi="Arial" w:cs="Arial"/>
                <w:b/>
                <w:bCs/>
                <w:color w:val="000000"/>
                <w:kern w:val="0"/>
                <w:sz w:val="18"/>
                <w:szCs w:val="18"/>
                <w14:ligatures w14:val="none"/>
              </w:rPr>
            </w:pPr>
          </w:p>
        </w:tc>
        <w:tc>
          <w:tcPr>
            <w:tcW w:w="1194" w:type="dxa"/>
            <w:tcBorders>
              <w:top w:val="nil"/>
              <w:left w:val="nil"/>
              <w:bottom w:val="single" w:sz="8" w:space="0" w:color="000000"/>
              <w:right w:val="nil"/>
            </w:tcBorders>
            <w:shd w:val="clear" w:color="000000" w:fill="FFFFFF"/>
            <w:vAlign w:val="center"/>
            <w:hideMark/>
          </w:tcPr>
          <w:p w14:paraId="1657C37F" w14:textId="77777777" w:rsidR="00A95131" w:rsidRPr="00A95131" w:rsidRDefault="00A95131" w:rsidP="00A95131">
            <w:pPr>
              <w:spacing w:after="0" w:line="240" w:lineRule="auto"/>
              <w:jc w:val="center"/>
              <w:rPr>
                <w:rFonts w:ascii="Arial" w:eastAsia="Times New Roman" w:hAnsi="Arial" w:cs="Arial"/>
                <w:b/>
                <w:bCs/>
                <w:color w:val="000000"/>
                <w:kern w:val="0"/>
                <w:sz w:val="18"/>
                <w:szCs w:val="18"/>
                <w14:ligatures w14:val="none"/>
              </w:rPr>
            </w:pPr>
            <w:r w:rsidRPr="00A95131">
              <w:rPr>
                <w:rFonts w:ascii="Arial" w:eastAsia="Times New Roman" w:hAnsi="Arial" w:cs="Arial"/>
                <w:b/>
                <w:bCs/>
                <w:color w:val="000000"/>
                <w:kern w:val="0"/>
                <w:sz w:val="18"/>
                <w:szCs w:val="18"/>
                <w14:ligatures w14:val="none"/>
              </w:rPr>
              <w:t>ICD-10 code</w:t>
            </w:r>
          </w:p>
        </w:tc>
      </w:tr>
      <w:tr w:rsidR="00A95131" w:rsidRPr="00A95131" w14:paraId="09305F7E" w14:textId="77777777" w:rsidTr="00A95131">
        <w:trPr>
          <w:trHeight w:val="300"/>
        </w:trPr>
        <w:tc>
          <w:tcPr>
            <w:tcW w:w="2546" w:type="dxa"/>
            <w:tcBorders>
              <w:top w:val="nil"/>
              <w:left w:val="nil"/>
              <w:bottom w:val="nil"/>
              <w:right w:val="nil"/>
            </w:tcBorders>
            <w:shd w:val="clear" w:color="000000" w:fill="FFFFFF"/>
            <w:noWrap/>
            <w:vAlign w:val="center"/>
            <w:hideMark/>
          </w:tcPr>
          <w:p w14:paraId="00014F0E" w14:textId="77777777"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Diabetes</w:t>
            </w:r>
          </w:p>
        </w:tc>
        <w:tc>
          <w:tcPr>
            <w:tcW w:w="1194" w:type="dxa"/>
            <w:tcBorders>
              <w:top w:val="nil"/>
              <w:left w:val="nil"/>
              <w:bottom w:val="nil"/>
              <w:right w:val="nil"/>
            </w:tcBorders>
            <w:shd w:val="clear" w:color="000000" w:fill="FFFFFF"/>
            <w:noWrap/>
            <w:vAlign w:val="center"/>
            <w:hideMark/>
          </w:tcPr>
          <w:p w14:paraId="4D427286"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E10 - E15</w:t>
            </w:r>
          </w:p>
        </w:tc>
      </w:tr>
      <w:tr w:rsidR="00A95131" w:rsidRPr="00A95131" w14:paraId="5E8186D4" w14:textId="77777777" w:rsidTr="00A95131">
        <w:trPr>
          <w:trHeight w:val="300"/>
        </w:trPr>
        <w:tc>
          <w:tcPr>
            <w:tcW w:w="2546" w:type="dxa"/>
            <w:tcBorders>
              <w:top w:val="nil"/>
              <w:left w:val="nil"/>
              <w:bottom w:val="nil"/>
              <w:right w:val="nil"/>
            </w:tcBorders>
            <w:shd w:val="clear" w:color="000000" w:fill="FFFFFF"/>
            <w:noWrap/>
            <w:vAlign w:val="center"/>
            <w:hideMark/>
          </w:tcPr>
          <w:p w14:paraId="1FCC19D3" w14:textId="77777777"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Hypertension</w:t>
            </w:r>
          </w:p>
        </w:tc>
        <w:tc>
          <w:tcPr>
            <w:tcW w:w="1194" w:type="dxa"/>
            <w:tcBorders>
              <w:top w:val="nil"/>
              <w:left w:val="nil"/>
              <w:bottom w:val="nil"/>
              <w:right w:val="nil"/>
            </w:tcBorders>
            <w:shd w:val="clear" w:color="000000" w:fill="FFFFFF"/>
            <w:noWrap/>
            <w:vAlign w:val="center"/>
            <w:hideMark/>
          </w:tcPr>
          <w:p w14:paraId="74077E34"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I11</w:t>
            </w:r>
          </w:p>
        </w:tc>
      </w:tr>
      <w:tr w:rsidR="00A95131" w:rsidRPr="00A95131" w14:paraId="378DB912" w14:textId="77777777" w:rsidTr="00A95131">
        <w:trPr>
          <w:trHeight w:val="300"/>
        </w:trPr>
        <w:tc>
          <w:tcPr>
            <w:tcW w:w="2546" w:type="dxa"/>
            <w:tcBorders>
              <w:top w:val="nil"/>
              <w:left w:val="nil"/>
              <w:bottom w:val="nil"/>
              <w:right w:val="nil"/>
            </w:tcBorders>
            <w:shd w:val="clear" w:color="000000" w:fill="FFFFFF"/>
            <w:noWrap/>
            <w:vAlign w:val="center"/>
            <w:hideMark/>
          </w:tcPr>
          <w:p w14:paraId="2A1E4942" w14:textId="06947B64"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 xml:space="preserve">Ischemic </w:t>
            </w:r>
            <w:r w:rsidR="008A7CC1">
              <w:rPr>
                <w:rFonts w:ascii="Arial" w:eastAsia="Times New Roman" w:hAnsi="Arial" w:cs="Arial"/>
                <w:color w:val="000000"/>
                <w:kern w:val="0"/>
                <w:sz w:val="18"/>
                <w:szCs w:val="18"/>
                <w14:ligatures w14:val="none"/>
              </w:rPr>
              <w:t>heart</w:t>
            </w:r>
            <w:r w:rsidR="008A7CC1" w:rsidRPr="00A95131">
              <w:rPr>
                <w:rFonts w:ascii="Arial" w:eastAsia="Times New Roman" w:hAnsi="Arial" w:cs="Arial"/>
                <w:color w:val="000000"/>
                <w:kern w:val="0"/>
                <w:sz w:val="18"/>
                <w:szCs w:val="18"/>
                <w14:ligatures w14:val="none"/>
              </w:rPr>
              <w:t xml:space="preserve"> </w:t>
            </w:r>
            <w:proofErr w:type="spellStart"/>
            <w:r w:rsidRPr="00A95131">
              <w:rPr>
                <w:rFonts w:ascii="Arial" w:eastAsia="Times New Roman" w:hAnsi="Arial" w:cs="Arial"/>
                <w:color w:val="000000"/>
                <w:kern w:val="0"/>
                <w:sz w:val="18"/>
                <w:szCs w:val="18"/>
                <w14:ligatures w14:val="none"/>
              </w:rPr>
              <w:t>diag</w:t>
            </w:r>
            <w:proofErr w:type="spellEnd"/>
          </w:p>
        </w:tc>
        <w:tc>
          <w:tcPr>
            <w:tcW w:w="1194" w:type="dxa"/>
            <w:tcBorders>
              <w:top w:val="nil"/>
              <w:left w:val="nil"/>
              <w:bottom w:val="nil"/>
              <w:right w:val="nil"/>
            </w:tcBorders>
            <w:shd w:val="clear" w:color="000000" w:fill="FFFFFF"/>
            <w:noWrap/>
            <w:vAlign w:val="center"/>
            <w:hideMark/>
          </w:tcPr>
          <w:p w14:paraId="66ED4570"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I20 - I25</w:t>
            </w:r>
          </w:p>
        </w:tc>
      </w:tr>
      <w:tr w:rsidR="00A95131" w:rsidRPr="00A95131" w14:paraId="6087643D" w14:textId="77777777" w:rsidTr="00A95131">
        <w:trPr>
          <w:trHeight w:val="300"/>
        </w:trPr>
        <w:tc>
          <w:tcPr>
            <w:tcW w:w="2546" w:type="dxa"/>
            <w:tcBorders>
              <w:top w:val="nil"/>
              <w:left w:val="nil"/>
              <w:bottom w:val="nil"/>
              <w:right w:val="nil"/>
            </w:tcBorders>
            <w:shd w:val="clear" w:color="000000" w:fill="FFFFFF"/>
            <w:noWrap/>
            <w:vAlign w:val="center"/>
            <w:hideMark/>
          </w:tcPr>
          <w:p w14:paraId="5301CA25" w14:textId="77777777"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Cardiac failure</w:t>
            </w:r>
          </w:p>
        </w:tc>
        <w:tc>
          <w:tcPr>
            <w:tcW w:w="1194" w:type="dxa"/>
            <w:tcBorders>
              <w:top w:val="nil"/>
              <w:left w:val="nil"/>
              <w:bottom w:val="nil"/>
              <w:right w:val="nil"/>
            </w:tcBorders>
            <w:shd w:val="clear" w:color="000000" w:fill="FFFFFF"/>
            <w:noWrap/>
            <w:vAlign w:val="center"/>
            <w:hideMark/>
          </w:tcPr>
          <w:p w14:paraId="06B4C8C8"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I50</w:t>
            </w:r>
          </w:p>
        </w:tc>
      </w:tr>
      <w:tr w:rsidR="00A95131" w:rsidRPr="00A95131" w14:paraId="27A9CBDC" w14:textId="77777777" w:rsidTr="00A95131">
        <w:trPr>
          <w:trHeight w:val="300"/>
        </w:trPr>
        <w:tc>
          <w:tcPr>
            <w:tcW w:w="2546" w:type="dxa"/>
            <w:tcBorders>
              <w:top w:val="nil"/>
              <w:left w:val="nil"/>
              <w:bottom w:val="nil"/>
              <w:right w:val="nil"/>
            </w:tcBorders>
            <w:shd w:val="clear" w:color="000000" w:fill="FFFFFF"/>
            <w:noWrap/>
            <w:vAlign w:val="center"/>
            <w:hideMark/>
          </w:tcPr>
          <w:p w14:paraId="451D7238" w14:textId="77777777"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 xml:space="preserve">Cerebrovascular </w:t>
            </w:r>
            <w:proofErr w:type="spellStart"/>
            <w:r w:rsidRPr="00A95131">
              <w:rPr>
                <w:rFonts w:ascii="Arial" w:eastAsia="Times New Roman" w:hAnsi="Arial" w:cs="Arial"/>
                <w:color w:val="000000"/>
                <w:kern w:val="0"/>
                <w:sz w:val="18"/>
                <w:szCs w:val="18"/>
                <w14:ligatures w14:val="none"/>
              </w:rPr>
              <w:t>diag</w:t>
            </w:r>
            <w:proofErr w:type="spellEnd"/>
          </w:p>
        </w:tc>
        <w:tc>
          <w:tcPr>
            <w:tcW w:w="1194" w:type="dxa"/>
            <w:tcBorders>
              <w:top w:val="nil"/>
              <w:left w:val="nil"/>
              <w:bottom w:val="nil"/>
              <w:right w:val="nil"/>
            </w:tcBorders>
            <w:shd w:val="clear" w:color="000000" w:fill="FFFFFF"/>
            <w:noWrap/>
            <w:vAlign w:val="center"/>
            <w:hideMark/>
          </w:tcPr>
          <w:p w14:paraId="15B3A411"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I6</w:t>
            </w:r>
          </w:p>
        </w:tc>
      </w:tr>
      <w:tr w:rsidR="00A95131" w:rsidRPr="00A95131" w14:paraId="397D40C6" w14:textId="77777777" w:rsidTr="00A95131">
        <w:trPr>
          <w:trHeight w:val="300"/>
        </w:trPr>
        <w:tc>
          <w:tcPr>
            <w:tcW w:w="2546" w:type="dxa"/>
            <w:tcBorders>
              <w:top w:val="nil"/>
              <w:left w:val="nil"/>
              <w:bottom w:val="nil"/>
              <w:right w:val="nil"/>
            </w:tcBorders>
            <w:shd w:val="clear" w:color="000000" w:fill="FFFFFF"/>
            <w:noWrap/>
            <w:vAlign w:val="center"/>
            <w:hideMark/>
          </w:tcPr>
          <w:p w14:paraId="37FE8CCA" w14:textId="77777777"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 xml:space="preserve">Chronic pulmonary </w:t>
            </w:r>
            <w:proofErr w:type="spellStart"/>
            <w:r w:rsidRPr="00A95131">
              <w:rPr>
                <w:rFonts w:ascii="Arial" w:eastAsia="Times New Roman" w:hAnsi="Arial" w:cs="Arial"/>
                <w:color w:val="000000"/>
                <w:kern w:val="0"/>
                <w:sz w:val="18"/>
                <w:szCs w:val="18"/>
                <w14:ligatures w14:val="none"/>
              </w:rPr>
              <w:t>diag</w:t>
            </w:r>
            <w:proofErr w:type="spellEnd"/>
          </w:p>
        </w:tc>
        <w:tc>
          <w:tcPr>
            <w:tcW w:w="1194" w:type="dxa"/>
            <w:tcBorders>
              <w:top w:val="nil"/>
              <w:left w:val="nil"/>
              <w:bottom w:val="nil"/>
              <w:right w:val="nil"/>
            </w:tcBorders>
            <w:shd w:val="clear" w:color="000000" w:fill="FFFFFF"/>
            <w:noWrap/>
            <w:vAlign w:val="center"/>
            <w:hideMark/>
          </w:tcPr>
          <w:p w14:paraId="3B6C015E"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J4</w:t>
            </w:r>
          </w:p>
        </w:tc>
      </w:tr>
      <w:tr w:rsidR="00A95131" w:rsidRPr="00A95131" w14:paraId="10B5537E" w14:textId="77777777" w:rsidTr="00A95131">
        <w:trPr>
          <w:trHeight w:val="300"/>
        </w:trPr>
        <w:tc>
          <w:tcPr>
            <w:tcW w:w="2546" w:type="dxa"/>
            <w:tcBorders>
              <w:top w:val="nil"/>
              <w:left w:val="nil"/>
              <w:bottom w:val="nil"/>
              <w:right w:val="nil"/>
            </w:tcBorders>
            <w:shd w:val="clear" w:color="000000" w:fill="FFFFFF"/>
            <w:noWrap/>
            <w:vAlign w:val="center"/>
            <w:hideMark/>
          </w:tcPr>
          <w:p w14:paraId="152ACCAA" w14:textId="6D2392EF"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Chronic kidney</w:t>
            </w:r>
            <w:r w:rsidR="00FA27CA">
              <w:rPr>
                <w:rFonts w:ascii="Arial" w:eastAsia="Times New Roman" w:hAnsi="Arial" w:cs="Arial"/>
                <w:color w:val="000000"/>
                <w:kern w:val="0"/>
                <w:sz w:val="18"/>
                <w:szCs w:val="18"/>
                <w14:ligatures w14:val="none"/>
              </w:rPr>
              <w:t xml:space="preserve"> </w:t>
            </w:r>
            <w:proofErr w:type="spellStart"/>
            <w:r w:rsidR="00FA27CA" w:rsidRPr="00A95131">
              <w:rPr>
                <w:rFonts w:ascii="Arial" w:eastAsia="Times New Roman" w:hAnsi="Arial" w:cs="Arial"/>
                <w:color w:val="000000"/>
                <w:kern w:val="0"/>
                <w:sz w:val="18"/>
                <w:szCs w:val="18"/>
                <w14:ligatures w14:val="none"/>
              </w:rPr>
              <w:t>diag</w:t>
            </w:r>
            <w:proofErr w:type="spellEnd"/>
          </w:p>
        </w:tc>
        <w:tc>
          <w:tcPr>
            <w:tcW w:w="1194" w:type="dxa"/>
            <w:tcBorders>
              <w:top w:val="nil"/>
              <w:left w:val="nil"/>
              <w:bottom w:val="nil"/>
              <w:right w:val="nil"/>
            </w:tcBorders>
            <w:shd w:val="clear" w:color="000000" w:fill="FFFFFF"/>
            <w:noWrap/>
            <w:vAlign w:val="center"/>
            <w:hideMark/>
          </w:tcPr>
          <w:p w14:paraId="25FA5C58"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N18</w:t>
            </w:r>
          </w:p>
        </w:tc>
      </w:tr>
      <w:tr w:rsidR="00A95131" w:rsidRPr="00A95131" w14:paraId="54D7C3C6" w14:textId="77777777" w:rsidTr="00A95131">
        <w:trPr>
          <w:trHeight w:val="300"/>
        </w:trPr>
        <w:tc>
          <w:tcPr>
            <w:tcW w:w="2546" w:type="dxa"/>
            <w:tcBorders>
              <w:top w:val="nil"/>
              <w:left w:val="nil"/>
              <w:bottom w:val="nil"/>
              <w:right w:val="nil"/>
            </w:tcBorders>
            <w:shd w:val="clear" w:color="000000" w:fill="FFFFFF"/>
            <w:noWrap/>
            <w:vAlign w:val="center"/>
            <w:hideMark/>
          </w:tcPr>
          <w:p w14:paraId="1750D31B" w14:textId="5437C428"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 xml:space="preserve">Psychiatric </w:t>
            </w:r>
            <w:proofErr w:type="spellStart"/>
            <w:r w:rsidRPr="00A95131">
              <w:rPr>
                <w:rFonts w:ascii="Arial" w:eastAsia="Times New Roman" w:hAnsi="Arial" w:cs="Arial"/>
                <w:color w:val="000000"/>
                <w:kern w:val="0"/>
                <w:sz w:val="18"/>
                <w:szCs w:val="18"/>
                <w14:ligatures w14:val="none"/>
              </w:rPr>
              <w:t>diag</w:t>
            </w:r>
            <w:proofErr w:type="spellEnd"/>
          </w:p>
        </w:tc>
        <w:tc>
          <w:tcPr>
            <w:tcW w:w="1194" w:type="dxa"/>
            <w:tcBorders>
              <w:top w:val="nil"/>
              <w:left w:val="nil"/>
              <w:bottom w:val="nil"/>
              <w:right w:val="nil"/>
            </w:tcBorders>
            <w:shd w:val="clear" w:color="000000" w:fill="FFFFFF"/>
            <w:noWrap/>
            <w:vAlign w:val="center"/>
            <w:hideMark/>
          </w:tcPr>
          <w:p w14:paraId="12BF6D7B"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F</w:t>
            </w:r>
          </w:p>
        </w:tc>
      </w:tr>
      <w:tr w:rsidR="00A95131" w:rsidRPr="00A95131" w14:paraId="32AEF2B8" w14:textId="77777777" w:rsidTr="00A95131">
        <w:trPr>
          <w:trHeight w:val="300"/>
        </w:trPr>
        <w:tc>
          <w:tcPr>
            <w:tcW w:w="2546" w:type="dxa"/>
            <w:tcBorders>
              <w:top w:val="nil"/>
              <w:left w:val="nil"/>
              <w:bottom w:val="nil"/>
              <w:right w:val="nil"/>
            </w:tcBorders>
            <w:shd w:val="clear" w:color="000000" w:fill="FFFFFF"/>
            <w:noWrap/>
            <w:vAlign w:val="center"/>
            <w:hideMark/>
          </w:tcPr>
          <w:p w14:paraId="747E76B1" w14:textId="77777777"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 xml:space="preserve">Neurologic </w:t>
            </w:r>
            <w:proofErr w:type="spellStart"/>
            <w:r w:rsidRPr="00A95131">
              <w:rPr>
                <w:rFonts w:ascii="Arial" w:eastAsia="Times New Roman" w:hAnsi="Arial" w:cs="Arial"/>
                <w:color w:val="000000"/>
                <w:kern w:val="0"/>
                <w:sz w:val="18"/>
                <w:szCs w:val="18"/>
                <w14:ligatures w14:val="none"/>
              </w:rPr>
              <w:t>diag</w:t>
            </w:r>
            <w:proofErr w:type="spellEnd"/>
          </w:p>
        </w:tc>
        <w:tc>
          <w:tcPr>
            <w:tcW w:w="1194" w:type="dxa"/>
            <w:tcBorders>
              <w:top w:val="nil"/>
              <w:left w:val="nil"/>
              <w:bottom w:val="nil"/>
              <w:right w:val="nil"/>
            </w:tcBorders>
            <w:shd w:val="clear" w:color="000000" w:fill="FFFFFF"/>
            <w:noWrap/>
            <w:vAlign w:val="center"/>
            <w:hideMark/>
          </w:tcPr>
          <w:p w14:paraId="329C567E"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G</w:t>
            </w:r>
          </w:p>
        </w:tc>
      </w:tr>
      <w:tr w:rsidR="00A95131" w:rsidRPr="00A95131" w14:paraId="6F94F116" w14:textId="77777777" w:rsidTr="00A95131">
        <w:trPr>
          <w:trHeight w:val="300"/>
        </w:trPr>
        <w:tc>
          <w:tcPr>
            <w:tcW w:w="2546" w:type="dxa"/>
            <w:tcBorders>
              <w:top w:val="nil"/>
              <w:left w:val="nil"/>
              <w:bottom w:val="nil"/>
              <w:right w:val="nil"/>
            </w:tcBorders>
            <w:shd w:val="clear" w:color="000000" w:fill="FFFFFF"/>
            <w:noWrap/>
            <w:vAlign w:val="center"/>
            <w:hideMark/>
          </w:tcPr>
          <w:p w14:paraId="7CA2599A" w14:textId="77777777"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Malignant tumor</w:t>
            </w:r>
          </w:p>
        </w:tc>
        <w:tc>
          <w:tcPr>
            <w:tcW w:w="1194" w:type="dxa"/>
            <w:tcBorders>
              <w:top w:val="nil"/>
              <w:left w:val="nil"/>
              <w:bottom w:val="nil"/>
              <w:right w:val="nil"/>
            </w:tcBorders>
            <w:shd w:val="clear" w:color="000000" w:fill="FFFFFF"/>
            <w:noWrap/>
            <w:vAlign w:val="center"/>
            <w:hideMark/>
          </w:tcPr>
          <w:p w14:paraId="7B546433"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C00 - C99</w:t>
            </w:r>
          </w:p>
        </w:tc>
      </w:tr>
      <w:tr w:rsidR="00A95131" w:rsidRPr="00A95131" w14:paraId="4A6A8455" w14:textId="77777777" w:rsidTr="00A95131">
        <w:trPr>
          <w:trHeight w:val="300"/>
        </w:trPr>
        <w:tc>
          <w:tcPr>
            <w:tcW w:w="2546" w:type="dxa"/>
            <w:tcBorders>
              <w:top w:val="nil"/>
              <w:left w:val="nil"/>
              <w:bottom w:val="nil"/>
              <w:right w:val="nil"/>
            </w:tcBorders>
            <w:shd w:val="clear" w:color="000000" w:fill="FFFFFF"/>
            <w:noWrap/>
            <w:vAlign w:val="center"/>
            <w:hideMark/>
          </w:tcPr>
          <w:p w14:paraId="3FF1BCDF" w14:textId="77777777"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Obesity</w:t>
            </w:r>
          </w:p>
        </w:tc>
        <w:tc>
          <w:tcPr>
            <w:tcW w:w="1194" w:type="dxa"/>
            <w:tcBorders>
              <w:top w:val="nil"/>
              <w:left w:val="nil"/>
              <w:bottom w:val="nil"/>
              <w:right w:val="nil"/>
            </w:tcBorders>
            <w:shd w:val="clear" w:color="000000" w:fill="FFFFFF"/>
            <w:noWrap/>
            <w:vAlign w:val="center"/>
            <w:hideMark/>
          </w:tcPr>
          <w:p w14:paraId="37E795CC"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E66</w:t>
            </w:r>
          </w:p>
        </w:tc>
      </w:tr>
      <w:tr w:rsidR="00A95131" w:rsidRPr="00A95131" w14:paraId="1D60CD2E" w14:textId="77777777" w:rsidTr="00A95131">
        <w:trPr>
          <w:trHeight w:val="315"/>
        </w:trPr>
        <w:tc>
          <w:tcPr>
            <w:tcW w:w="2546" w:type="dxa"/>
            <w:tcBorders>
              <w:top w:val="nil"/>
              <w:left w:val="nil"/>
              <w:bottom w:val="single" w:sz="12" w:space="0" w:color="000000"/>
              <w:right w:val="nil"/>
            </w:tcBorders>
            <w:shd w:val="clear" w:color="000000" w:fill="FFFFFF"/>
            <w:noWrap/>
            <w:vAlign w:val="center"/>
            <w:hideMark/>
          </w:tcPr>
          <w:p w14:paraId="736386D2" w14:textId="77777777" w:rsidR="00A95131" w:rsidRPr="00A95131" w:rsidRDefault="00A95131" w:rsidP="00A95131">
            <w:pPr>
              <w:spacing w:after="0" w:line="240" w:lineRule="auto"/>
              <w:ind w:firstLineChars="200" w:firstLine="360"/>
              <w:rPr>
                <w:rFonts w:ascii="Arial" w:eastAsia="Times New Roman" w:hAnsi="Arial" w:cs="Arial"/>
                <w:color w:val="000000"/>
                <w:kern w:val="0"/>
                <w:sz w:val="18"/>
                <w:szCs w:val="18"/>
                <w14:ligatures w14:val="none"/>
              </w:rPr>
            </w:pPr>
            <w:r w:rsidRPr="00A95131">
              <w:rPr>
                <w:rFonts w:ascii="Arial" w:eastAsia="Times New Roman" w:hAnsi="Arial" w:cs="Arial"/>
                <w:color w:val="000000"/>
                <w:kern w:val="0"/>
                <w:sz w:val="18"/>
                <w:szCs w:val="18"/>
                <w14:ligatures w14:val="none"/>
              </w:rPr>
              <w:t>Obesity</w:t>
            </w:r>
          </w:p>
        </w:tc>
        <w:tc>
          <w:tcPr>
            <w:tcW w:w="1194" w:type="dxa"/>
            <w:tcBorders>
              <w:top w:val="nil"/>
              <w:left w:val="nil"/>
              <w:bottom w:val="single" w:sz="12" w:space="0" w:color="000000"/>
              <w:right w:val="nil"/>
            </w:tcBorders>
            <w:shd w:val="clear" w:color="000000" w:fill="FFFFFF"/>
            <w:noWrap/>
            <w:vAlign w:val="center"/>
            <w:hideMark/>
          </w:tcPr>
          <w:p w14:paraId="4C380D3D" w14:textId="77777777" w:rsidR="00A95131" w:rsidRPr="00A95131" w:rsidRDefault="00A95131" w:rsidP="00A95131">
            <w:pPr>
              <w:spacing w:after="0" w:line="240" w:lineRule="auto"/>
              <w:jc w:val="center"/>
              <w:rPr>
                <w:rFonts w:ascii="Arial" w:eastAsia="Times New Roman" w:hAnsi="Arial" w:cs="Arial"/>
                <w:color w:val="000000"/>
                <w:kern w:val="0"/>
                <w:sz w:val="16"/>
                <w:szCs w:val="16"/>
                <w14:ligatures w14:val="none"/>
              </w:rPr>
            </w:pPr>
            <w:r w:rsidRPr="00A95131">
              <w:rPr>
                <w:rFonts w:ascii="Arial" w:eastAsia="Times New Roman" w:hAnsi="Arial" w:cs="Arial"/>
                <w:color w:val="000000"/>
                <w:kern w:val="0"/>
                <w:sz w:val="16"/>
                <w:szCs w:val="16"/>
                <w14:ligatures w14:val="none"/>
              </w:rPr>
              <w:t>E66</w:t>
            </w:r>
          </w:p>
        </w:tc>
      </w:tr>
    </w:tbl>
    <w:p w14:paraId="076B166C" w14:textId="77777777" w:rsidR="00A95131" w:rsidRDefault="00A95131" w:rsidP="000F7179"/>
    <w:p w14:paraId="4E00C85D" w14:textId="7CA952CF" w:rsidR="00011823" w:rsidRDefault="00D82C95" w:rsidP="000F7179">
      <w:r w:rsidRPr="00566511">
        <w:rPr>
          <w:rFonts w:ascii="Arial" w:hAnsi="Arial" w:cs="Arial"/>
          <w:b/>
          <w:bCs/>
          <w:sz w:val="20"/>
          <w:szCs w:val="20"/>
        </w:rPr>
        <w:t>Supplement</w:t>
      </w:r>
      <w:r w:rsidR="001571AF">
        <w:rPr>
          <w:rFonts w:ascii="Arial" w:hAnsi="Arial" w:cs="Arial"/>
          <w:b/>
          <w:bCs/>
          <w:sz w:val="20"/>
          <w:szCs w:val="20"/>
        </w:rPr>
        <w:t>al</w:t>
      </w:r>
      <w:r w:rsidRPr="00566511">
        <w:rPr>
          <w:rFonts w:ascii="Arial" w:hAnsi="Arial" w:cs="Arial"/>
          <w:b/>
          <w:bCs/>
          <w:sz w:val="20"/>
          <w:szCs w:val="20"/>
        </w:rPr>
        <w:t xml:space="preserve"> Table </w:t>
      </w:r>
      <w:r>
        <w:rPr>
          <w:rFonts w:ascii="Arial" w:hAnsi="Arial" w:cs="Arial"/>
          <w:b/>
          <w:bCs/>
          <w:sz w:val="20"/>
          <w:szCs w:val="20"/>
        </w:rPr>
        <w:t>2</w:t>
      </w:r>
      <w:r w:rsidRPr="00566511">
        <w:rPr>
          <w:rFonts w:ascii="Arial" w:hAnsi="Arial" w:cs="Arial"/>
          <w:b/>
          <w:bCs/>
          <w:sz w:val="20"/>
          <w:szCs w:val="20"/>
        </w:rPr>
        <w:t>.</w:t>
      </w:r>
      <w:r w:rsidRPr="00566511">
        <w:rPr>
          <w:rFonts w:ascii="Arial" w:hAnsi="Arial" w:cs="Arial"/>
          <w:sz w:val="20"/>
          <w:szCs w:val="20"/>
        </w:rPr>
        <w:t xml:space="preserve"> </w:t>
      </w:r>
      <w:r w:rsidR="00AE06ED" w:rsidRPr="00AE06ED">
        <w:rPr>
          <w:rFonts w:ascii="Arial" w:hAnsi="Arial" w:cs="Arial"/>
          <w:sz w:val="20"/>
          <w:szCs w:val="20"/>
        </w:rPr>
        <w:t xml:space="preserve">Coding for </w:t>
      </w:r>
      <w:r w:rsidR="00AE06ED">
        <w:rPr>
          <w:rFonts w:ascii="Arial" w:hAnsi="Arial" w:cs="Arial"/>
          <w:sz w:val="20"/>
          <w:szCs w:val="20"/>
        </w:rPr>
        <w:t xml:space="preserve">the highest level of </w:t>
      </w:r>
      <w:r w:rsidR="00AE06ED" w:rsidRPr="00AE06ED">
        <w:rPr>
          <w:rFonts w:ascii="Arial" w:hAnsi="Arial" w:cs="Arial"/>
          <w:sz w:val="20"/>
          <w:szCs w:val="20"/>
        </w:rPr>
        <w:t>education</w:t>
      </w:r>
      <w:r w:rsidR="00AE06ED">
        <w:rPr>
          <w:rFonts w:ascii="Arial" w:hAnsi="Arial" w:cs="Arial"/>
          <w:sz w:val="20"/>
          <w:szCs w:val="20"/>
        </w:rPr>
        <w:t xml:space="preserve">. </w:t>
      </w:r>
    </w:p>
    <w:tbl>
      <w:tblPr>
        <w:tblW w:w="3740" w:type="dxa"/>
        <w:tblLook w:val="04A0" w:firstRow="1" w:lastRow="0" w:firstColumn="1" w:lastColumn="0" w:noHBand="0" w:noVBand="1"/>
      </w:tblPr>
      <w:tblGrid>
        <w:gridCol w:w="2546"/>
        <w:gridCol w:w="1194"/>
      </w:tblGrid>
      <w:tr w:rsidR="00011823" w:rsidRPr="00A95131" w14:paraId="4BF89AD5" w14:textId="77777777" w:rsidTr="00FB6409">
        <w:trPr>
          <w:trHeight w:val="50"/>
        </w:trPr>
        <w:tc>
          <w:tcPr>
            <w:tcW w:w="2546" w:type="dxa"/>
            <w:vMerge w:val="restart"/>
            <w:tcBorders>
              <w:top w:val="single" w:sz="12" w:space="0" w:color="000000"/>
              <w:left w:val="nil"/>
              <w:bottom w:val="single" w:sz="8" w:space="0" w:color="000000"/>
              <w:right w:val="nil"/>
            </w:tcBorders>
            <w:shd w:val="clear" w:color="000000" w:fill="FFFFFF"/>
            <w:vAlign w:val="center"/>
            <w:hideMark/>
          </w:tcPr>
          <w:p w14:paraId="35BBE5FE" w14:textId="02A0828B" w:rsidR="00011823" w:rsidRPr="00A95131" w:rsidRDefault="00011823" w:rsidP="00FB6409">
            <w:pPr>
              <w:spacing w:after="0" w:line="240" w:lineRule="auto"/>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Education level achieved</w:t>
            </w:r>
          </w:p>
        </w:tc>
        <w:tc>
          <w:tcPr>
            <w:tcW w:w="1194" w:type="dxa"/>
            <w:tcBorders>
              <w:top w:val="single" w:sz="12" w:space="0" w:color="000000"/>
              <w:left w:val="nil"/>
              <w:bottom w:val="nil"/>
              <w:right w:val="nil"/>
            </w:tcBorders>
            <w:shd w:val="clear" w:color="000000" w:fill="FFFFFF"/>
            <w:vAlign w:val="center"/>
            <w:hideMark/>
          </w:tcPr>
          <w:p w14:paraId="047307A3" w14:textId="77777777" w:rsidR="00011823" w:rsidRPr="00A95131" w:rsidRDefault="00011823" w:rsidP="00FB6409">
            <w:pPr>
              <w:spacing w:after="0" w:line="240" w:lineRule="auto"/>
              <w:jc w:val="center"/>
              <w:rPr>
                <w:rFonts w:ascii="Arial" w:eastAsia="Times New Roman" w:hAnsi="Arial" w:cs="Arial"/>
                <w:b/>
                <w:bCs/>
                <w:color w:val="000000"/>
                <w:kern w:val="0"/>
                <w:sz w:val="18"/>
                <w:szCs w:val="18"/>
                <w14:ligatures w14:val="none"/>
              </w:rPr>
            </w:pPr>
          </w:p>
        </w:tc>
      </w:tr>
      <w:tr w:rsidR="00011823" w:rsidRPr="00A95131" w14:paraId="00FB6070" w14:textId="77777777" w:rsidTr="00FB6409">
        <w:trPr>
          <w:trHeight w:val="480"/>
        </w:trPr>
        <w:tc>
          <w:tcPr>
            <w:tcW w:w="2546" w:type="dxa"/>
            <w:vMerge/>
            <w:tcBorders>
              <w:top w:val="single" w:sz="12" w:space="0" w:color="000000"/>
              <w:left w:val="nil"/>
              <w:bottom w:val="single" w:sz="8" w:space="0" w:color="000000"/>
              <w:right w:val="nil"/>
            </w:tcBorders>
            <w:vAlign w:val="center"/>
            <w:hideMark/>
          </w:tcPr>
          <w:p w14:paraId="1B58B413" w14:textId="77777777" w:rsidR="00011823" w:rsidRPr="00A95131" w:rsidRDefault="00011823" w:rsidP="00FB6409">
            <w:pPr>
              <w:spacing w:after="0" w:line="240" w:lineRule="auto"/>
              <w:rPr>
                <w:rFonts w:ascii="Arial" w:eastAsia="Times New Roman" w:hAnsi="Arial" w:cs="Arial"/>
                <w:b/>
                <w:bCs/>
                <w:color w:val="000000"/>
                <w:kern w:val="0"/>
                <w:sz w:val="18"/>
                <w:szCs w:val="18"/>
                <w14:ligatures w14:val="none"/>
              </w:rPr>
            </w:pPr>
          </w:p>
        </w:tc>
        <w:tc>
          <w:tcPr>
            <w:tcW w:w="1194" w:type="dxa"/>
            <w:tcBorders>
              <w:top w:val="nil"/>
              <w:left w:val="nil"/>
              <w:bottom w:val="single" w:sz="8" w:space="0" w:color="000000"/>
              <w:right w:val="nil"/>
            </w:tcBorders>
            <w:shd w:val="clear" w:color="000000" w:fill="FFFFFF"/>
            <w:vAlign w:val="center"/>
            <w:hideMark/>
          </w:tcPr>
          <w:p w14:paraId="3500F673" w14:textId="14375E1E" w:rsidR="00011823" w:rsidRPr="00A95131" w:rsidRDefault="00726C64" w:rsidP="00FB6409">
            <w:pPr>
              <w:spacing w:after="0" w:line="240" w:lineRule="auto"/>
              <w:jc w:val="center"/>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t>Coded as</w:t>
            </w:r>
          </w:p>
        </w:tc>
      </w:tr>
      <w:tr w:rsidR="00011823" w:rsidRPr="00A95131" w14:paraId="3453C53E" w14:textId="77777777" w:rsidTr="00FB6409">
        <w:trPr>
          <w:trHeight w:val="300"/>
        </w:trPr>
        <w:tc>
          <w:tcPr>
            <w:tcW w:w="2546" w:type="dxa"/>
            <w:tcBorders>
              <w:top w:val="nil"/>
              <w:left w:val="nil"/>
              <w:bottom w:val="nil"/>
              <w:right w:val="nil"/>
            </w:tcBorders>
            <w:shd w:val="clear" w:color="000000" w:fill="FFFFFF"/>
            <w:noWrap/>
            <w:vAlign w:val="center"/>
            <w:hideMark/>
          </w:tcPr>
          <w:p w14:paraId="46AF672D" w14:textId="3B6E4090" w:rsidR="00011823" w:rsidRPr="00A95131" w:rsidRDefault="00011823" w:rsidP="00393591">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Pre-school</w:t>
            </w:r>
          </w:p>
        </w:tc>
        <w:tc>
          <w:tcPr>
            <w:tcW w:w="1194" w:type="dxa"/>
            <w:tcBorders>
              <w:top w:val="nil"/>
              <w:left w:val="nil"/>
              <w:bottom w:val="nil"/>
              <w:right w:val="nil"/>
            </w:tcBorders>
            <w:shd w:val="clear" w:color="000000" w:fill="FFFFFF"/>
            <w:noWrap/>
            <w:vAlign w:val="center"/>
            <w:hideMark/>
          </w:tcPr>
          <w:p w14:paraId="521615EB" w14:textId="48D6CCA1" w:rsidR="00011823" w:rsidRPr="00A95131" w:rsidRDefault="00011823" w:rsidP="00FB6409">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w:t>
            </w:r>
          </w:p>
        </w:tc>
      </w:tr>
      <w:tr w:rsidR="00011823" w:rsidRPr="00A95131" w14:paraId="6F437A28" w14:textId="77777777" w:rsidTr="00FB6409">
        <w:trPr>
          <w:trHeight w:val="300"/>
        </w:trPr>
        <w:tc>
          <w:tcPr>
            <w:tcW w:w="2546" w:type="dxa"/>
            <w:tcBorders>
              <w:top w:val="nil"/>
              <w:left w:val="nil"/>
              <w:bottom w:val="nil"/>
              <w:right w:val="nil"/>
            </w:tcBorders>
            <w:shd w:val="clear" w:color="000000" w:fill="FFFFFF"/>
            <w:noWrap/>
            <w:vAlign w:val="center"/>
            <w:hideMark/>
          </w:tcPr>
          <w:p w14:paraId="0CC2B272" w14:textId="573DB8C6" w:rsidR="00011823" w:rsidRPr="00A95131" w:rsidRDefault="00011823" w:rsidP="00393591">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 xml:space="preserve">Elementary school 9 years or less </w:t>
            </w:r>
          </w:p>
        </w:tc>
        <w:tc>
          <w:tcPr>
            <w:tcW w:w="1194" w:type="dxa"/>
            <w:tcBorders>
              <w:top w:val="nil"/>
              <w:left w:val="nil"/>
              <w:bottom w:val="nil"/>
              <w:right w:val="nil"/>
            </w:tcBorders>
            <w:shd w:val="clear" w:color="000000" w:fill="FFFFFF"/>
            <w:noWrap/>
            <w:vAlign w:val="center"/>
            <w:hideMark/>
          </w:tcPr>
          <w:p w14:paraId="24446781" w14:textId="25E048B4" w:rsidR="00011823" w:rsidRPr="00A95131" w:rsidRDefault="00011823" w:rsidP="00FB6409">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1</w:t>
            </w:r>
          </w:p>
        </w:tc>
      </w:tr>
      <w:tr w:rsidR="00011823" w:rsidRPr="00A95131" w14:paraId="0572D6A0" w14:textId="77777777" w:rsidTr="00FB6409">
        <w:trPr>
          <w:trHeight w:val="300"/>
        </w:trPr>
        <w:tc>
          <w:tcPr>
            <w:tcW w:w="2546" w:type="dxa"/>
            <w:tcBorders>
              <w:top w:val="nil"/>
              <w:left w:val="nil"/>
              <w:bottom w:val="nil"/>
              <w:right w:val="nil"/>
            </w:tcBorders>
            <w:shd w:val="clear" w:color="000000" w:fill="FFFFFF"/>
            <w:noWrap/>
            <w:vAlign w:val="center"/>
            <w:hideMark/>
          </w:tcPr>
          <w:p w14:paraId="0AB23683" w14:textId="32288DA4" w:rsidR="00011823" w:rsidRPr="00A95131" w:rsidRDefault="00011823" w:rsidP="00393591">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Elementary school 10 years or more</w:t>
            </w:r>
          </w:p>
        </w:tc>
        <w:tc>
          <w:tcPr>
            <w:tcW w:w="1194" w:type="dxa"/>
            <w:tcBorders>
              <w:top w:val="nil"/>
              <w:left w:val="nil"/>
              <w:bottom w:val="nil"/>
              <w:right w:val="nil"/>
            </w:tcBorders>
            <w:shd w:val="clear" w:color="000000" w:fill="FFFFFF"/>
            <w:noWrap/>
            <w:vAlign w:val="center"/>
            <w:hideMark/>
          </w:tcPr>
          <w:p w14:paraId="71E1FB4E" w14:textId="3C9FA12E" w:rsidR="00011823" w:rsidRPr="00A95131" w:rsidRDefault="00011823" w:rsidP="00FB6409">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2</w:t>
            </w:r>
          </w:p>
        </w:tc>
      </w:tr>
      <w:tr w:rsidR="00011823" w:rsidRPr="00A95131" w14:paraId="5E54212A" w14:textId="77777777" w:rsidTr="00FB6409">
        <w:trPr>
          <w:trHeight w:val="300"/>
        </w:trPr>
        <w:tc>
          <w:tcPr>
            <w:tcW w:w="2546" w:type="dxa"/>
            <w:tcBorders>
              <w:top w:val="nil"/>
              <w:left w:val="nil"/>
              <w:bottom w:val="nil"/>
              <w:right w:val="nil"/>
            </w:tcBorders>
            <w:shd w:val="clear" w:color="000000" w:fill="FFFFFF"/>
            <w:noWrap/>
            <w:vAlign w:val="center"/>
            <w:hideMark/>
          </w:tcPr>
          <w:p w14:paraId="21A07232" w14:textId="179DD18B" w:rsidR="00011823" w:rsidRPr="00A95131" w:rsidRDefault="00011823" w:rsidP="00393591">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High school</w:t>
            </w:r>
          </w:p>
        </w:tc>
        <w:tc>
          <w:tcPr>
            <w:tcW w:w="1194" w:type="dxa"/>
            <w:tcBorders>
              <w:top w:val="nil"/>
              <w:left w:val="nil"/>
              <w:bottom w:val="nil"/>
              <w:right w:val="nil"/>
            </w:tcBorders>
            <w:shd w:val="clear" w:color="000000" w:fill="FFFFFF"/>
            <w:noWrap/>
            <w:vAlign w:val="center"/>
            <w:hideMark/>
          </w:tcPr>
          <w:p w14:paraId="2349B93D" w14:textId="137E68C2" w:rsidR="00011823" w:rsidRPr="00A95131" w:rsidRDefault="00011823" w:rsidP="00FB6409">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3</w:t>
            </w:r>
          </w:p>
        </w:tc>
      </w:tr>
      <w:tr w:rsidR="00011823" w:rsidRPr="00A95131" w14:paraId="6DB7AA57" w14:textId="77777777" w:rsidTr="00FB6409">
        <w:trPr>
          <w:trHeight w:val="300"/>
        </w:trPr>
        <w:tc>
          <w:tcPr>
            <w:tcW w:w="2546" w:type="dxa"/>
            <w:tcBorders>
              <w:top w:val="nil"/>
              <w:left w:val="nil"/>
              <w:bottom w:val="nil"/>
              <w:right w:val="nil"/>
            </w:tcBorders>
            <w:shd w:val="clear" w:color="000000" w:fill="FFFFFF"/>
            <w:noWrap/>
            <w:vAlign w:val="center"/>
            <w:hideMark/>
          </w:tcPr>
          <w:p w14:paraId="5C893773" w14:textId="114A5D59" w:rsidR="00011823" w:rsidRPr="00A95131" w:rsidRDefault="00011823" w:rsidP="00393591">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Education post High school 2 years or less</w:t>
            </w:r>
          </w:p>
        </w:tc>
        <w:tc>
          <w:tcPr>
            <w:tcW w:w="1194" w:type="dxa"/>
            <w:tcBorders>
              <w:top w:val="nil"/>
              <w:left w:val="nil"/>
              <w:bottom w:val="nil"/>
              <w:right w:val="nil"/>
            </w:tcBorders>
            <w:shd w:val="clear" w:color="000000" w:fill="FFFFFF"/>
            <w:noWrap/>
            <w:vAlign w:val="center"/>
            <w:hideMark/>
          </w:tcPr>
          <w:p w14:paraId="172125E6" w14:textId="6D7D3758" w:rsidR="00011823" w:rsidRPr="00A95131" w:rsidRDefault="00011823" w:rsidP="00FB6409">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4</w:t>
            </w:r>
          </w:p>
        </w:tc>
      </w:tr>
      <w:tr w:rsidR="00011823" w:rsidRPr="00A95131" w14:paraId="5D343E5B" w14:textId="77777777" w:rsidTr="00FB6409">
        <w:trPr>
          <w:trHeight w:val="300"/>
        </w:trPr>
        <w:tc>
          <w:tcPr>
            <w:tcW w:w="2546" w:type="dxa"/>
            <w:tcBorders>
              <w:top w:val="nil"/>
              <w:left w:val="nil"/>
              <w:bottom w:val="nil"/>
              <w:right w:val="nil"/>
            </w:tcBorders>
            <w:shd w:val="clear" w:color="000000" w:fill="FFFFFF"/>
            <w:noWrap/>
            <w:vAlign w:val="center"/>
            <w:hideMark/>
          </w:tcPr>
          <w:p w14:paraId="3A0EB7E1" w14:textId="7EC64E7C" w:rsidR="00011823" w:rsidRPr="00A95131" w:rsidRDefault="00011823" w:rsidP="00393591">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 xml:space="preserve">Education post High school </w:t>
            </w:r>
            <w:r w:rsidR="00726C64">
              <w:rPr>
                <w:rFonts w:ascii="Arial" w:eastAsia="Times New Roman" w:hAnsi="Arial" w:cs="Arial"/>
                <w:color w:val="000000"/>
                <w:kern w:val="0"/>
                <w:sz w:val="18"/>
                <w:szCs w:val="18"/>
                <w14:ligatures w14:val="none"/>
              </w:rPr>
              <w:t xml:space="preserve">more than </w:t>
            </w:r>
            <w:r>
              <w:rPr>
                <w:rFonts w:ascii="Arial" w:eastAsia="Times New Roman" w:hAnsi="Arial" w:cs="Arial"/>
                <w:color w:val="000000"/>
                <w:kern w:val="0"/>
                <w:sz w:val="18"/>
                <w:szCs w:val="18"/>
                <w14:ligatures w14:val="none"/>
              </w:rPr>
              <w:t>2 years</w:t>
            </w:r>
          </w:p>
        </w:tc>
        <w:tc>
          <w:tcPr>
            <w:tcW w:w="1194" w:type="dxa"/>
            <w:tcBorders>
              <w:top w:val="nil"/>
              <w:left w:val="nil"/>
              <w:bottom w:val="nil"/>
              <w:right w:val="nil"/>
            </w:tcBorders>
            <w:shd w:val="clear" w:color="000000" w:fill="FFFFFF"/>
            <w:noWrap/>
            <w:vAlign w:val="center"/>
            <w:hideMark/>
          </w:tcPr>
          <w:p w14:paraId="61B0F858" w14:textId="3AD634C2" w:rsidR="00011823" w:rsidRPr="00A95131" w:rsidRDefault="00726C64" w:rsidP="00011823">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5</w:t>
            </w:r>
          </w:p>
        </w:tc>
      </w:tr>
      <w:tr w:rsidR="00726C64" w:rsidRPr="00A95131" w14:paraId="5CCBF9E5" w14:textId="77777777" w:rsidTr="00D72264">
        <w:trPr>
          <w:trHeight w:val="300"/>
        </w:trPr>
        <w:tc>
          <w:tcPr>
            <w:tcW w:w="2546" w:type="dxa"/>
            <w:tcBorders>
              <w:top w:val="nil"/>
              <w:left w:val="nil"/>
              <w:bottom w:val="single" w:sz="12" w:space="0" w:color="000000"/>
              <w:right w:val="nil"/>
            </w:tcBorders>
            <w:shd w:val="clear" w:color="000000" w:fill="FFFFFF"/>
            <w:noWrap/>
            <w:vAlign w:val="center"/>
            <w:hideMark/>
          </w:tcPr>
          <w:p w14:paraId="38490299" w14:textId="3020F2FC" w:rsidR="00726C64" w:rsidRPr="00A95131" w:rsidRDefault="00726C64" w:rsidP="00D72264">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Degree in research</w:t>
            </w:r>
          </w:p>
        </w:tc>
        <w:tc>
          <w:tcPr>
            <w:tcW w:w="1194" w:type="dxa"/>
            <w:tcBorders>
              <w:top w:val="nil"/>
              <w:left w:val="nil"/>
              <w:bottom w:val="single" w:sz="12" w:space="0" w:color="000000"/>
              <w:right w:val="nil"/>
            </w:tcBorders>
            <w:shd w:val="clear" w:color="000000" w:fill="FFFFFF"/>
            <w:noWrap/>
            <w:vAlign w:val="center"/>
            <w:hideMark/>
          </w:tcPr>
          <w:p w14:paraId="63F583BE" w14:textId="26807EBD" w:rsidR="00726C64" w:rsidRPr="00A95131" w:rsidRDefault="00726C64" w:rsidP="00011823">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6</w:t>
            </w:r>
          </w:p>
        </w:tc>
      </w:tr>
    </w:tbl>
    <w:p w14:paraId="45854577" w14:textId="77777777" w:rsidR="00011823" w:rsidRDefault="00011823" w:rsidP="000F7179"/>
    <w:p w14:paraId="38E682FA" w14:textId="77777777" w:rsidR="005D35B2" w:rsidRDefault="005D35B2">
      <w:pPr>
        <w:spacing w:line="259" w:lineRule="auto"/>
      </w:pPr>
      <w:r>
        <w:br w:type="page"/>
      </w:r>
    </w:p>
    <w:p w14:paraId="27B75C0B" w14:textId="4052DEB9" w:rsidR="005D35B2" w:rsidRPr="005D35B2" w:rsidRDefault="005D35B2" w:rsidP="005D35B2">
      <w:pPr>
        <w:pStyle w:val="Litteraturfrteckning"/>
        <w:ind w:firstLine="0"/>
        <w:rPr>
          <w:rFonts w:ascii="Arial" w:hAnsi="Arial" w:cs="Arial"/>
          <w:color w:val="4472C4" w:themeColor="accent1"/>
          <w:sz w:val="26"/>
          <w:szCs w:val="26"/>
        </w:rPr>
      </w:pPr>
      <w:r w:rsidRPr="005D35B2">
        <w:rPr>
          <w:rFonts w:ascii="Arial" w:hAnsi="Arial" w:cs="Arial"/>
          <w:color w:val="4472C4" w:themeColor="accent1"/>
          <w:sz w:val="26"/>
          <w:szCs w:val="26"/>
        </w:rPr>
        <w:lastRenderedPageBreak/>
        <w:t>References</w:t>
      </w:r>
    </w:p>
    <w:p w14:paraId="6EFD54B6" w14:textId="0C796228" w:rsidR="00725049" w:rsidRPr="00725049" w:rsidRDefault="00725049" w:rsidP="00725049">
      <w:pPr>
        <w:pStyle w:val="Litteraturfrteckning"/>
        <w:rPr>
          <w:rFonts w:cs="Times New Roman"/>
        </w:rPr>
      </w:pPr>
      <w:r>
        <w:fldChar w:fldCharType="begin"/>
      </w:r>
      <w:r>
        <w:instrText xml:space="preserve"> ADDIN ZOTERO_BIBL {"uncited":[],"omitted":[],"custom":[]} CSL_BIBLIOGRAPHY </w:instrText>
      </w:r>
      <w:r>
        <w:fldChar w:fldCharType="separate"/>
      </w:r>
      <w:r w:rsidRPr="00725049">
        <w:rPr>
          <w:rFonts w:cs="Times New Roman"/>
        </w:rPr>
        <w:t xml:space="preserve">1. </w:t>
      </w:r>
      <w:r w:rsidRPr="00725049">
        <w:rPr>
          <w:rFonts w:cs="Times New Roman"/>
        </w:rPr>
        <w:tab/>
        <w:t>Hays RD, Sherbourne CD, Mazel RM (1993) The rand 36-item health survey 1.0. Health Econ 2:217–227. https://doi.org/10.1002/hec.4730020305</w:t>
      </w:r>
    </w:p>
    <w:p w14:paraId="07A7C5FA" w14:textId="77777777" w:rsidR="00725049" w:rsidRPr="00725049" w:rsidRDefault="00725049" w:rsidP="00725049">
      <w:pPr>
        <w:pStyle w:val="Litteraturfrteckning"/>
        <w:rPr>
          <w:rFonts w:cs="Times New Roman"/>
        </w:rPr>
      </w:pPr>
      <w:r w:rsidRPr="00725049">
        <w:rPr>
          <w:rFonts w:cs="Times New Roman"/>
        </w:rPr>
        <w:t xml:space="preserve">2. </w:t>
      </w:r>
      <w:r w:rsidRPr="00725049">
        <w:rPr>
          <w:rFonts w:cs="Times New Roman"/>
        </w:rPr>
        <w:tab/>
        <w:t>Hays RD, Morales LS (2001) The RAND-36 measure of health-related quality of life. Ann Med 33:350–357. https://doi.org/10.3109/07853890109002089</w:t>
      </w:r>
    </w:p>
    <w:p w14:paraId="4A62C509" w14:textId="77777777" w:rsidR="00725049" w:rsidRPr="00725049" w:rsidRDefault="00725049" w:rsidP="00725049">
      <w:pPr>
        <w:pStyle w:val="Litteraturfrteckning"/>
        <w:rPr>
          <w:rFonts w:cs="Times New Roman"/>
        </w:rPr>
      </w:pPr>
      <w:r w:rsidRPr="00725049">
        <w:rPr>
          <w:rFonts w:cs="Times New Roman"/>
        </w:rPr>
        <w:t xml:space="preserve">3. </w:t>
      </w:r>
      <w:r w:rsidRPr="00725049">
        <w:rPr>
          <w:rFonts w:cs="Times New Roman"/>
        </w:rPr>
        <w:tab/>
        <w:t>Orwelius L, Nilsson M, Nilsson E, et al (2018) The Swedish RAND-36 Health Survey - reliability and responsiveness assessed in patient populations using Svensson’s method for paired ordinal data. J Patient-Rep Outcomes 2:4. https://doi.org/10.1186/s41687-018-0030-0</w:t>
      </w:r>
    </w:p>
    <w:p w14:paraId="4A2DD378" w14:textId="77777777" w:rsidR="00725049" w:rsidRPr="00725049" w:rsidRDefault="00725049" w:rsidP="00725049">
      <w:pPr>
        <w:pStyle w:val="Litteraturfrteckning"/>
        <w:rPr>
          <w:rFonts w:cs="Times New Roman"/>
        </w:rPr>
      </w:pPr>
      <w:r w:rsidRPr="00725049">
        <w:rPr>
          <w:rFonts w:cs="Times New Roman"/>
        </w:rPr>
        <w:t xml:space="preserve">4. </w:t>
      </w:r>
      <w:r w:rsidRPr="00725049">
        <w:rPr>
          <w:rFonts w:cs="Times New Roman"/>
        </w:rPr>
        <w:tab/>
        <w:t>36-Item Short Form Survey (SF-36) Scoring Instructions | RAND. https://www.rand.org/health-care/surveys_tools/mos/36-item-short-form/scoring.html. Accessed 30 Apr 2025</w:t>
      </w:r>
    </w:p>
    <w:p w14:paraId="5B167D55" w14:textId="77777777" w:rsidR="00725049" w:rsidRPr="00725049" w:rsidRDefault="00725049" w:rsidP="00725049">
      <w:pPr>
        <w:pStyle w:val="Litteraturfrteckning"/>
        <w:rPr>
          <w:rFonts w:cs="Times New Roman"/>
        </w:rPr>
      </w:pPr>
      <w:r w:rsidRPr="00725049">
        <w:rPr>
          <w:rFonts w:cs="Times New Roman"/>
        </w:rPr>
        <w:t xml:space="preserve">5. </w:t>
      </w:r>
      <w:r w:rsidRPr="00725049">
        <w:rPr>
          <w:rFonts w:cs="Times New Roman"/>
        </w:rPr>
        <w:tab/>
        <w:t>Ohlsson-Nevo E, Hiyoshi A, Norén P, et al (2021) The Swedish RAND-36: psychometric characteristics and reference data from the Mid-Swed Health Survey. J Patient-Rep Outcomes 5:66. https://doi.org/10.1186/s41687-021-00331-z</w:t>
      </w:r>
    </w:p>
    <w:p w14:paraId="1EF848DE" w14:textId="19E52434" w:rsidR="00725049" w:rsidRDefault="00725049" w:rsidP="000F7179">
      <w:r>
        <w:fldChar w:fldCharType="end"/>
      </w:r>
    </w:p>
    <w:sectPr w:rsidR="00725049" w:rsidSect="00DC35D9">
      <w:headerReference w:type="even" r:id="rId18"/>
      <w:headerReference w:type="default" r:id="rId19"/>
      <w:footerReference w:type="even" r:id="rId20"/>
      <w:footerReference w:type="default" r:id="rId21"/>
      <w:headerReference w:type="first" r:id="rId22"/>
      <w:footerReference w:type="first" r:id="rId2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55386" w14:textId="77777777" w:rsidR="001776EC" w:rsidRDefault="001776EC" w:rsidP="00A83E4A">
      <w:pPr>
        <w:spacing w:after="0" w:line="240" w:lineRule="auto"/>
      </w:pPr>
      <w:r>
        <w:separator/>
      </w:r>
    </w:p>
  </w:endnote>
  <w:endnote w:type="continuationSeparator" w:id="0">
    <w:p w14:paraId="14BEBA32" w14:textId="77777777" w:rsidR="001776EC" w:rsidRDefault="001776EC" w:rsidP="00A83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8876" w14:textId="77777777" w:rsidR="005C43B6" w:rsidRDefault="005C43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261564"/>
      <w:docPartObj>
        <w:docPartGallery w:val="Page Numbers (Bottom of Page)"/>
        <w:docPartUnique/>
      </w:docPartObj>
    </w:sdtPr>
    <w:sdtContent>
      <w:p w14:paraId="4C7998F7" w14:textId="1C736B91" w:rsidR="005C43B6" w:rsidRDefault="005C43B6">
        <w:pPr>
          <w:pStyle w:val="Sidfot"/>
          <w:jc w:val="center"/>
        </w:pPr>
        <w:r>
          <w:fldChar w:fldCharType="begin"/>
        </w:r>
        <w:r>
          <w:instrText>PAGE   \* MERGEFORMAT</w:instrText>
        </w:r>
        <w:r>
          <w:fldChar w:fldCharType="separate"/>
        </w:r>
        <w:r>
          <w:rPr>
            <w:lang w:val="sv-SE"/>
          </w:rPr>
          <w:t>2</w:t>
        </w:r>
        <w:r>
          <w:fldChar w:fldCharType="end"/>
        </w:r>
      </w:p>
    </w:sdtContent>
  </w:sdt>
  <w:p w14:paraId="2D19C213" w14:textId="77777777" w:rsidR="005C43B6" w:rsidRDefault="005C43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6A31" w14:textId="77777777" w:rsidR="005C43B6" w:rsidRDefault="005C43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60FF3" w14:textId="77777777" w:rsidR="001776EC" w:rsidRDefault="001776EC" w:rsidP="00A83E4A">
      <w:pPr>
        <w:spacing w:after="0" w:line="240" w:lineRule="auto"/>
      </w:pPr>
      <w:r>
        <w:separator/>
      </w:r>
    </w:p>
  </w:footnote>
  <w:footnote w:type="continuationSeparator" w:id="0">
    <w:p w14:paraId="4508015F" w14:textId="77777777" w:rsidR="001776EC" w:rsidRDefault="001776EC" w:rsidP="00A83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EBDF" w14:textId="77777777" w:rsidR="005C43B6" w:rsidRDefault="005C43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152E" w14:textId="77777777" w:rsidR="005C43B6" w:rsidRDefault="005C43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C61E" w14:textId="77777777" w:rsidR="005C43B6" w:rsidRDefault="005C43B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9C"/>
    <w:rsid w:val="0000326F"/>
    <w:rsid w:val="00003DE5"/>
    <w:rsid w:val="00003F4F"/>
    <w:rsid w:val="00011823"/>
    <w:rsid w:val="00011F61"/>
    <w:rsid w:val="00014C92"/>
    <w:rsid w:val="00015432"/>
    <w:rsid w:val="00022879"/>
    <w:rsid w:val="00022FD2"/>
    <w:rsid w:val="000255F6"/>
    <w:rsid w:val="0002730D"/>
    <w:rsid w:val="000276AE"/>
    <w:rsid w:val="0003209A"/>
    <w:rsid w:val="00032F54"/>
    <w:rsid w:val="000334A1"/>
    <w:rsid w:val="0003367E"/>
    <w:rsid w:val="00035132"/>
    <w:rsid w:val="00035B27"/>
    <w:rsid w:val="0003620B"/>
    <w:rsid w:val="00041266"/>
    <w:rsid w:val="0004353D"/>
    <w:rsid w:val="00043A9A"/>
    <w:rsid w:val="00044236"/>
    <w:rsid w:val="00045E68"/>
    <w:rsid w:val="000461FB"/>
    <w:rsid w:val="000530BA"/>
    <w:rsid w:val="00053476"/>
    <w:rsid w:val="00056BCC"/>
    <w:rsid w:val="00063303"/>
    <w:rsid w:val="0006491D"/>
    <w:rsid w:val="00074B7C"/>
    <w:rsid w:val="00076505"/>
    <w:rsid w:val="00076C74"/>
    <w:rsid w:val="00076F9D"/>
    <w:rsid w:val="00081FCF"/>
    <w:rsid w:val="000825F5"/>
    <w:rsid w:val="0008303E"/>
    <w:rsid w:val="0008378B"/>
    <w:rsid w:val="00084F13"/>
    <w:rsid w:val="000879F9"/>
    <w:rsid w:val="00090B60"/>
    <w:rsid w:val="00097AE4"/>
    <w:rsid w:val="000A43B0"/>
    <w:rsid w:val="000A4BA1"/>
    <w:rsid w:val="000A4CBA"/>
    <w:rsid w:val="000A7CC8"/>
    <w:rsid w:val="000B0A6C"/>
    <w:rsid w:val="000B0CCC"/>
    <w:rsid w:val="000B3526"/>
    <w:rsid w:val="000B4ED6"/>
    <w:rsid w:val="000C2A3F"/>
    <w:rsid w:val="000C4638"/>
    <w:rsid w:val="000D288B"/>
    <w:rsid w:val="000D60E4"/>
    <w:rsid w:val="000E0248"/>
    <w:rsid w:val="000F2BCE"/>
    <w:rsid w:val="000F379C"/>
    <w:rsid w:val="000F51A6"/>
    <w:rsid w:val="000F7179"/>
    <w:rsid w:val="00103EFC"/>
    <w:rsid w:val="001044A0"/>
    <w:rsid w:val="0010792F"/>
    <w:rsid w:val="00110B43"/>
    <w:rsid w:val="00111076"/>
    <w:rsid w:val="001123F0"/>
    <w:rsid w:val="00113C6C"/>
    <w:rsid w:val="00113C86"/>
    <w:rsid w:val="0011442B"/>
    <w:rsid w:val="00114E64"/>
    <w:rsid w:val="0011740D"/>
    <w:rsid w:val="00120764"/>
    <w:rsid w:val="00125E86"/>
    <w:rsid w:val="00127E22"/>
    <w:rsid w:val="00134B47"/>
    <w:rsid w:val="00137BC5"/>
    <w:rsid w:val="00140505"/>
    <w:rsid w:val="00140FCE"/>
    <w:rsid w:val="00141DD6"/>
    <w:rsid w:val="00142E53"/>
    <w:rsid w:val="00146879"/>
    <w:rsid w:val="00146941"/>
    <w:rsid w:val="00147220"/>
    <w:rsid w:val="0015041D"/>
    <w:rsid w:val="00150563"/>
    <w:rsid w:val="001515FB"/>
    <w:rsid w:val="00153189"/>
    <w:rsid w:val="001539A9"/>
    <w:rsid w:val="001571AF"/>
    <w:rsid w:val="00157CE2"/>
    <w:rsid w:val="001611A7"/>
    <w:rsid w:val="00161B93"/>
    <w:rsid w:val="0016484A"/>
    <w:rsid w:val="00166915"/>
    <w:rsid w:val="00167927"/>
    <w:rsid w:val="00170091"/>
    <w:rsid w:val="001711C1"/>
    <w:rsid w:val="00172CE6"/>
    <w:rsid w:val="0017359B"/>
    <w:rsid w:val="00174638"/>
    <w:rsid w:val="00175EE0"/>
    <w:rsid w:val="001776EC"/>
    <w:rsid w:val="001831E2"/>
    <w:rsid w:val="0018586B"/>
    <w:rsid w:val="001A1BE1"/>
    <w:rsid w:val="001A412F"/>
    <w:rsid w:val="001A5055"/>
    <w:rsid w:val="001A7F31"/>
    <w:rsid w:val="001B1813"/>
    <w:rsid w:val="001B1D5C"/>
    <w:rsid w:val="001B6FF5"/>
    <w:rsid w:val="001C0C3F"/>
    <w:rsid w:val="001C2277"/>
    <w:rsid w:val="001C3A72"/>
    <w:rsid w:val="001C3C47"/>
    <w:rsid w:val="001C5268"/>
    <w:rsid w:val="001D0030"/>
    <w:rsid w:val="001D1872"/>
    <w:rsid w:val="001D2E80"/>
    <w:rsid w:val="001D34C6"/>
    <w:rsid w:val="001D4E8F"/>
    <w:rsid w:val="001D71EF"/>
    <w:rsid w:val="001E1292"/>
    <w:rsid w:val="001E1724"/>
    <w:rsid w:val="001E356F"/>
    <w:rsid w:val="001E3EA9"/>
    <w:rsid w:val="001E64FB"/>
    <w:rsid w:val="001E6A6C"/>
    <w:rsid w:val="001F02B6"/>
    <w:rsid w:val="001F3023"/>
    <w:rsid w:val="00201051"/>
    <w:rsid w:val="00203189"/>
    <w:rsid w:val="0020347A"/>
    <w:rsid w:val="002040DA"/>
    <w:rsid w:val="002041CE"/>
    <w:rsid w:val="00205632"/>
    <w:rsid w:val="00205FC3"/>
    <w:rsid w:val="00207BDB"/>
    <w:rsid w:val="0021168C"/>
    <w:rsid w:val="00215646"/>
    <w:rsid w:val="00215BF2"/>
    <w:rsid w:val="00216596"/>
    <w:rsid w:val="002167AF"/>
    <w:rsid w:val="00217DC3"/>
    <w:rsid w:val="00225E57"/>
    <w:rsid w:val="00226977"/>
    <w:rsid w:val="00226A09"/>
    <w:rsid w:val="002312EB"/>
    <w:rsid w:val="00231E16"/>
    <w:rsid w:val="0023232C"/>
    <w:rsid w:val="002325F0"/>
    <w:rsid w:val="00235DCE"/>
    <w:rsid w:val="00237935"/>
    <w:rsid w:val="00241C2D"/>
    <w:rsid w:val="002433A8"/>
    <w:rsid w:val="00243484"/>
    <w:rsid w:val="00256FCE"/>
    <w:rsid w:val="00260D8D"/>
    <w:rsid w:val="002647A6"/>
    <w:rsid w:val="00281B33"/>
    <w:rsid w:val="00281B5C"/>
    <w:rsid w:val="00281F36"/>
    <w:rsid w:val="00282E75"/>
    <w:rsid w:val="002838C8"/>
    <w:rsid w:val="00284F1D"/>
    <w:rsid w:val="002853E5"/>
    <w:rsid w:val="0028785C"/>
    <w:rsid w:val="00290662"/>
    <w:rsid w:val="00291CAF"/>
    <w:rsid w:val="00293718"/>
    <w:rsid w:val="00295153"/>
    <w:rsid w:val="002A3A7C"/>
    <w:rsid w:val="002A4815"/>
    <w:rsid w:val="002A6496"/>
    <w:rsid w:val="002B05E2"/>
    <w:rsid w:val="002B4227"/>
    <w:rsid w:val="002B45BA"/>
    <w:rsid w:val="002B51D8"/>
    <w:rsid w:val="002C183E"/>
    <w:rsid w:val="002C3941"/>
    <w:rsid w:val="002C6402"/>
    <w:rsid w:val="002C7117"/>
    <w:rsid w:val="002D2CB5"/>
    <w:rsid w:val="002D3F58"/>
    <w:rsid w:val="002D59C6"/>
    <w:rsid w:val="002D7CBC"/>
    <w:rsid w:val="002E2740"/>
    <w:rsid w:val="002E2CC8"/>
    <w:rsid w:val="002E35D6"/>
    <w:rsid w:val="002E3B27"/>
    <w:rsid w:val="002E5035"/>
    <w:rsid w:val="002F57D7"/>
    <w:rsid w:val="00300022"/>
    <w:rsid w:val="00300E03"/>
    <w:rsid w:val="00301343"/>
    <w:rsid w:val="00305E1F"/>
    <w:rsid w:val="003072A2"/>
    <w:rsid w:val="003147BA"/>
    <w:rsid w:val="00315DC6"/>
    <w:rsid w:val="00316ABB"/>
    <w:rsid w:val="00317BDD"/>
    <w:rsid w:val="00317F36"/>
    <w:rsid w:val="003201A1"/>
    <w:rsid w:val="0032172B"/>
    <w:rsid w:val="00322DA9"/>
    <w:rsid w:val="0032669F"/>
    <w:rsid w:val="0032699F"/>
    <w:rsid w:val="003320C4"/>
    <w:rsid w:val="003364A9"/>
    <w:rsid w:val="0034194C"/>
    <w:rsid w:val="003430FE"/>
    <w:rsid w:val="003438C9"/>
    <w:rsid w:val="003468AB"/>
    <w:rsid w:val="003473F8"/>
    <w:rsid w:val="0035078D"/>
    <w:rsid w:val="00350BD1"/>
    <w:rsid w:val="003538B8"/>
    <w:rsid w:val="00354094"/>
    <w:rsid w:val="003556FE"/>
    <w:rsid w:val="003559B1"/>
    <w:rsid w:val="00355D8B"/>
    <w:rsid w:val="00356BFC"/>
    <w:rsid w:val="00356D71"/>
    <w:rsid w:val="003766EB"/>
    <w:rsid w:val="00381EB5"/>
    <w:rsid w:val="00384FE0"/>
    <w:rsid w:val="0038686A"/>
    <w:rsid w:val="00393591"/>
    <w:rsid w:val="00397060"/>
    <w:rsid w:val="003A1FB6"/>
    <w:rsid w:val="003A3602"/>
    <w:rsid w:val="003A5B71"/>
    <w:rsid w:val="003A7EA2"/>
    <w:rsid w:val="003B0DDF"/>
    <w:rsid w:val="003B47C2"/>
    <w:rsid w:val="003B7105"/>
    <w:rsid w:val="003C09C8"/>
    <w:rsid w:val="003C22EB"/>
    <w:rsid w:val="003C6A6B"/>
    <w:rsid w:val="003D6BF4"/>
    <w:rsid w:val="003E4271"/>
    <w:rsid w:val="003E6D2E"/>
    <w:rsid w:val="003F0B3F"/>
    <w:rsid w:val="003F265C"/>
    <w:rsid w:val="003F2974"/>
    <w:rsid w:val="003F2C79"/>
    <w:rsid w:val="003F54C7"/>
    <w:rsid w:val="0040123D"/>
    <w:rsid w:val="00406E53"/>
    <w:rsid w:val="004074AE"/>
    <w:rsid w:val="004109D7"/>
    <w:rsid w:val="0041493C"/>
    <w:rsid w:val="004201A6"/>
    <w:rsid w:val="004230F4"/>
    <w:rsid w:val="00426AE4"/>
    <w:rsid w:val="00426C1F"/>
    <w:rsid w:val="00431F5E"/>
    <w:rsid w:val="0043387A"/>
    <w:rsid w:val="00433EE7"/>
    <w:rsid w:val="00433F87"/>
    <w:rsid w:val="00436A94"/>
    <w:rsid w:val="00446FC1"/>
    <w:rsid w:val="0044765F"/>
    <w:rsid w:val="00447BFD"/>
    <w:rsid w:val="004549BE"/>
    <w:rsid w:val="00462751"/>
    <w:rsid w:val="004658CB"/>
    <w:rsid w:val="0046678F"/>
    <w:rsid w:val="00470932"/>
    <w:rsid w:val="00473E4D"/>
    <w:rsid w:val="00474B17"/>
    <w:rsid w:val="00474B21"/>
    <w:rsid w:val="00476596"/>
    <w:rsid w:val="004765C1"/>
    <w:rsid w:val="00477E9A"/>
    <w:rsid w:val="00481725"/>
    <w:rsid w:val="00484E07"/>
    <w:rsid w:val="004855C2"/>
    <w:rsid w:val="00486162"/>
    <w:rsid w:val="00486F6F"/>
    <w:rsid w:val="004878A2"/>
    <w:rsid w:val="0049037C"/>
    <w:rsid w:val="00490748"/>
    <w:rsid w:val="00493288"/>
    <w:rsid w:val="0049503C"/>
    <w:rsid w:val="0049721F"/>
    <w:rsid w:val="00497248"/>
    <w:rsid w:val="004A0084"/>
    <w:rsid w:val="004A1416"/>
    <w:rsid w:val="004A2903"/>
    <w:rsid w:val="004A2DF5"/>
    <w:rsid w:val="004A397A"/>
    <w:rsid w:val="004B3A91"/>
    <w:rsid w:val="004B4056"/>
    <w:rsid w:val="004B67BD"/>
    <w:rsid w:val="004B6C81"/>
    <w:rsid w:val="004C1315"/>
    <w:rsid w:val="004C2125"/>
    <w:rsid w:val="004C37D9"/>
    <w:rsid w:val="004D0874"/>
    <w:rsid w:val="004D267B"/>
    <w:rsid w:val="004D3217"/>
    <w:rsid w:val="004D6183"/>
    <w:rsid w:val="004D7DAB"/>
    <w:rsid w:val="004E4F53"/>
    <w:rsid w:val="004E53D5"/>
    <w:rsid w:val="004E67DB"/>
    <w:rsid w:val="004F057A"/>
    <w:rsid w:val="004F1CA3"/>
    <w:rsid w:val="004F2B73"/>
    <w:rsid w:val="004F3AC1"/>
    <w:rsid w:val="004F3F3F"/>
    <w:rsid w:val="005006FA"/>
    <w:rsid w:val="005012B6"/>
    <w:rsid w:val="005020F8"/>
    <w:rsid w:val="00505109"/>
    <w:rsid w:val="00507B2F"/>
    <w:rsid w:val="00510EE6"/>
    <w:rsid w:val="005115AE"/>
    <w:rsid w:val="00517C47"/>
    <w:rsid w:val="0052079C"/>
    <w:rsid w:val="0052147A"/>
    <w:rsid w:val="005227AA"/>
    <w:rsid w:val="005242CA"/>
    <w:rsid w:val="00524C03"/>
    <w:rsid w:val="00525AA9"/>
    <w:rsid w:val="005306F5"/>
    <w:rsid w:val="00532DFF"/>
    <w:rsid w:val="00532E8A"/>
    <w:rsid w:val="005366D6"/>
    <w:rsid w:val="005429C4"/>
    <w:rsid w:val="00546BD7"/>
    <w:rsid w:val="005518B7"/>
    <w:rsid w:val="00551CD0"/>
    <w:rsid w:val="00553834"/>
    <w:rsid w:val="005538C8"/>
    <w:rsid w:val="005573F2"/>
    <w:rsid w:val="00561067"/>
    <w:rsid w:val="00565182"/>
    <w:rsid w:val="0056530B"/>
    <w:rsid w:val="00566511"/>
    <w:rsid w:val="00572B45"/>
    <w:rsid w:val="00573F1C"/>
    <w:rsid w:val="0057419C"/>
    <w:rsid w:val="005768E0"/>
    <w:rsid w:val="00576D15"/>
    <w:rsid w:val="0057792C"/>
    <w:rsid w:val="00580B09"/>
    <w:rsid w:val="0058364E"/>
    <w:rsid w:val="0059067E"/>
    <w:rsid w:val="00593DF6"/>
    <w:rsid w:val="005A0F06"/>
    <w:rsid w:val="005A2EC9"/>
    <w:rsid w:val="005A3CC7"/>
    <w:rsid w:val="005A3DD3"/>
    <w:rsid w:val="005B1D8F"/>
    <w:rsid w:val="005B3186"/>
    <w:rsid w:val="005B3BBF"/>
    <w:rsid w:val="005B6897"/>
    <w:rsid w:val="005C3094"/>
    <w:rsid w:val="005C3CE3"/>
    <w:rsid w:val="005C43B6"/>
    <w:rsid w:val="005C5754"/>
    <w:rsid w:val="005D35B2"/>
    <w:rsid w:val="005D5A51"/>
    <w:rsid w:val="005D5D9D"/>
    <w:rsid w:val="005D5EE0"/>
    <w:rsid w:val="005D636C"/>
    <w:rsid w:val="005D6F6F"/>
    <w:rsid w:val="005E390D"/>
    <w:rsid w:val="005E3968"/>
    <w:rsid w:val="005E59FF"/>
    <w:rsid w:val="005E75A2"/>
    <w:rsid w:val="005F1A83"/>
    <w:rsid w:val="005F1F9B"/>
    <w:rsid w:val="005F211F"/>
    <w:rsid w:val="005F33F5"/>
    <w:rsid w:val="005F3419"/>
    <w:rsid w:val="005F3882"/>
    <w:rsid w:val="00600CDF"/>
    <w:rsid w:val="0060107F"/>
    <w:rsid w:val="0060239B"/>
    <w:rsid w:val="006026BA"/>
    <w:rsid w:val="00602AA8"/>
    <w:rsid w:val="00604840"/>
    <w:rsid w:val="00605FEC"/>
    <w:rsid w:val="0060602D"/>
    <w:rsid w:val="00606606"/>
    <w:rsid w:val="006108C8"/>
    <w:rsid w:val="00614293"/>
    <w:rsid w:val="0061583C"/>
    <w:rsid w:val="00623226"/>
    <w:rsid w:val="00623638"/>
    <w:rsid w:val="00625B2E"/>
    <w:rsid w:val="00632B7A"/>
    <w:rsid w:val="00633D00"/>
    <w:rsid w:val="00634903"/>
    <w:rsid w:val="006419BA"/>
    <w:rsid w:val="0064271D"/>
    <w:rsid w:val="00643E26"/>
    <w:rsid w:val="00644035"/>
    <w:rsid w:val="006465A2"/>
    <w:rsid w:val="006472B9"/>
    <w:rsid w:val="00654AA7"/>
    <w:rsid w:val="00654B45"/>
    <w:rsid w:val="00660210"/>
    <w:rsid w:val="00661E3A"/>
    <w:rsid w:val="006625EE"/>
    <w:rsid w:val="00663174"/>
    <w:rsid w:val="0066631F"/>
    <w:rsid w:val="00666669"/>
    <w:rsid w:val="00670CC1"/>
    <w:rsid w:val="006723D0"/>
    <w:rsid w:val="00677D7B"/>
    <w:rsid w:val="00680532"/>
    <w:rsid w:val="006814B4"/>
    <w:rsid w:val="0068162C"/>
    <w:rsid w:val="00685945"/>
    <w:rsid w:val="006866E7"/>
    <w:rsid w:val="00686E44"/>
    <w:rsid w:val="00687624"/>
    <w:rsid w:val="00690597"/>
    <w:rsid w:val="006916C8"/>
    <w:rsid w:val="00691EAF"/>
    <w:rsid w:val="00692060"/>
    <w:rsid w:val="006944A4"/>
    <w:rsid w:val="0069729C"/>
    <w:rsid w:val="006A14C6"/>
    <w:rsid w:val="006A5F48"/>
    <w:rsid w:val="006B1D86"/>
    <w:rsid w:val="006B70BD"/>
    <w:rsid w:val="006C0D46"/>
    <w:rsid w:val="006C1A4E"/>
    <w:rsid w:val="006C66C0"/>
    <w:rsid w:val="006D060D"/>
    <w:rsid w:val="006D2221"/>
    <w:rsid w:val="006E0424"/>
    <w:rsid w:val="006E1A31"/>
    <w:rsid w:val="006E1CB8"/>
    <w:rsid w:val="006E4A53"/>
    <w:rsid w:val="006E4B85"/>
    <w:rsid w:val="006F092C"/>
    <w:rsid w:val="006F0D5A"/>
    <w:rsid w:val="006F295F"/>
    <w:rsid w:val="006F307F"/>
    <w:rsid w:val="006F332F"/>
    <w:rsid w:val="006F60C5"/>
    <w:rsid w:val="00703036"/>
    <w:rsid w:val="007031AA"/>
    <w:rsid w:val="0070353D"/>
    <w:rsid w:val="00707976"/>
    <w:rsid w:val="00717414"/>
    <w:rsid w:val="00725049"/>
    <w:rsid w:val="00726C64"/>
    <w:rsid w:val="00734C66"/>
    <w:rsid w:val="00737E41"/>
    <w:rsid w:val="007419B6"/>
    <w:rsid w:val="0074338D"/>
    <w:rsid w:val="007464DE"/>
    <w:rsid w:val="00760994"/>
    <w:rsid w:val="00764B3E"/>
    <w:rsid w:val="00764BDD"/>
    <w:rsid w:val="00765C23"/>
    <w:rsid w:val="00766297"/>
    <w:rsid w:val="00766E53"/>
    <w:rsid w:val="00770D3F"/>
    <w:rsid w:val="00772481"/>
    <w:rsid w:val="0077274B"/>
    <w:rsid w:val="0078003E"/>
    <w:rsid w:val="00781CE6"/>
    <w:rsid w:val="007838B1"/>
    <w:rsid w:val="00787187"/>
    <w:rsid w:val="00790D12"/>
    <w:rsid w:val="00791DBF"/>
    <w:rsid w:val="007946F9"/>
    <w:rsid w:val="007A1471"/>
    <w:rsid w:val="007A33C9"/>
    <w:rsid w:val="007A5241"/>
    <w:rsid w:val="007A5E64"/>
    <w:rsid w:val="007B1AC2"/>
    <w:rsid w:val="007B1CAC"/>
    <w:rsid w:val="007B1ED3"/>
    <w:rsid w:val="007B2195"/>
    <w:rsid w:val="007B524E"/>
    <w:rsid w:val="007B6388"/>
    <w:rsid w:val="007C1139"/>
    <w:rsid w:val="007C3198"/>
    <w:rsid w:val="007C62DE"/>
    <w:rsid w:val="007C64B7"/>
    <w:rsid w:val="007C67ED"/>
    <w:rsid w:val="007C6E8F"/>
    <w:rsid w:val="007D011D"/>
    <w:rsid w:val="007D16C2"/>
    <w:rsid w:val="007D1A89"/>
    <w:rsid w:val="007D2FD0"/>
    <w:rsid w:val="007D38A1"/>
    <w:rsid w:val="007D4483"/>
    <w:rsid w:val="007D462A"/>
    <w:rsid w:val="007E10A2"/>
    <w:rsid w:val="007E1F28"/>
    <w:rsid w:val="007E2D3E"/>
    <w:rsid w:val="007E6D7F"/>
    <w:rsid w:val="007F0378"/>
    <w:rsid w:val="007F1530"/>
    <w:rsid w:val="007F36B0"/>
    <w:rsid w:val="008004F7"/>
    <w:rsid w:val="008049B5"/>
    <w:rsid w:val="00805A63"/>
    <w:rsid w:val="008123C9"/>
    <w:rsid w:val="0081617F"/>
    <w:rsid w:val="00816C23"/>
    <w:rsid w:val="0081728A"/>
    <w:rsid w:val="00820D77"/>
    <w:rsid w:val="008236F7"/>
    <w:rsid w:val="00823754"/>
    <w:rsid w:val="008240D6"/>
    <w:rsid w:val="00827B13"/>
    <w:rsid w:val="00827B89"/>
    <w:rsid w:val="00832085"/>
    <w:rsid w:val="00832167"/>
    <w:rsid w:val="008329BF"/>
    <w:rsid w:val="008329F6"/>
    <w:rsid w:val="00834391"/>
    <w:rsid w:val="00835EBF"/>
    <w:rsid w:val="00836CEA"/>
    <w:rsid w:val="00840076"/>
    <w:rsid w:val="00841C2D"/>
    <w:rsid w:val="00846F42"/>
    <w:rsid w:val="00852225"/>
    <w:rsid w:val="00852D56"/>
    <w:rsid w:val="00853532"/>
    <w:rsid w:val="00856FF2"/>
    <w:rsid w:val="00857F20"/>
    <w:rsid w:val="00861939"/>
    <w:rsid w:val="00863C17"/>
    <w:rsid w:val="00870A29"/>
    <w:rsid w:val="00875A1D"/>
    <w:rsid w:val="00877A97"/>
    <w:rsid w:val="00883B42"/>
    <w:rsid w:val="0088506D"/>
    <w:rsid w:val="00886741"/>
    <w:rsid w:val="00892966"/>
    <w:rsid w:val="00893BC6"/>
    <w:rsid w:val="00893FCE"/>
    <w:rsid w:val="008A3325"/>
    <w:rsid w:val="008A4E6B"/>
    <w:rsid w:val="008A53FC"/>
    <w:rsid w:val="008A64B1"/>
    <w:rsid w:val="008A7B6E"/>
    <w:rsid w:val="008A7CC1"/>
    <w:rsid w:val="008B7520"/>
    <w:rsid w:val="008B7F4E"/>
    <w:rsid w:val="008C1A0D"/>
    <w:rsid w:val="008C1F84"/>
    <w:rsid w:val="008C4D02"/>
    <w:rsid w:val="008C5FAC"/>
    <w:rsid w:val="008C7C9D"/>
    <w:rsid w:val="008D06F2"/>
    <w:rsid w:val="008D1D61"/>
    <w:rsid w:val="008E31C0"/>
    <w:rsid w:val="008E3B0B"/>
    <w:rsid w:val="008E53E3"/>
    <w:rsid w:val="008E7184"/>
    <w:rsid w:val="008F01BC"/>
    <w:rsid w:val="008F0855"/>
    <w:rsid w:val="008F0856"/>
    <w:rsid w:val="008F095C"/>
    <w:rsid w:val="008F10DE"/>
    <w:rsid w:val="008F58B1"/>
    <w:rsid w:val="008F6AAE"/>
    <w:rsid w:val="008F6F55"/>
    <w:rsid w:val="008F7183"/>
    <w:rsid w:val="0090302F"/>
    <w:rsid w:val="0090507B"/>
    <w:rsid w:val="009072D7"/>
    <w:rsid w:val="009077C6"/>
    <w:rsid w:val="00907D2A"/>
    <w:rsid w:val="009161DB"/>
    <w:rsid w:val="009163BE"/>
    <w:rsid w:val="0092440F"/>
    <w:rsid w:val="00924D2A"/>
    <w:rsid w:val="00924E6B"/>
    <w:rsid w:val="009257FF"/>
    <w:rsid w:val="0092680E"/>
    <w:rsid w:val="009304B8"/>
    <w:rsid w:val="00930A17"/>
    <w:rsid w:val="00936521"/>
    <w:rsid w:val="00937D60"/>
    <w:rsid w:val="0094010A"/>
    <w:rsid w:val="00944623"/>
    <w:rsid w:val="00944AD2"/>
    <w:rsid w:val="00951993"/>
    <w:rsid w:val="009537C3"/>
    <w:rsid w:val="00962C91"/>
    <w:rsid w:val="00963002"/>
    <w:rsid w:val="00963C62"/>
    <w:rsid w:val="00964072"/>
    <w:rsid w:val="00964440"/>
    <w:rsid w:val="0096559A"/>
    <w:rsid w:val="00970C84"/>
    <w:rsid w:val="009713C9"/>
    <w:rsid w:val="00974F5D"/>
    <w:rsid w:val="009766A6"/>
    <w:rsid w:val="009768D5"/>
    <w:rsid w:val="009810B5"/>
    <w:rsid w:val="009812B8"/>
    <w:rsid w:val="00982E60"/>
    <w:rsid w:val="00984D7A"/>
    <w:rsid w:val="00985060"/>
    <w:rsid w:val="00987CBA"/>
    <w:rsid w:val="009A025C"/>
    <w:rsid w:val="009A0E33"/>
    <w:rsid w:val="009A31C9"/>
    <w:rsid w:val="009A4DE3"/>
    <w:rsid w:val="009A6354"/>
    <w:rsid w:val="009A70F8"/>
    <w:rsid w:val="009A7EC0"/>
    <w:rsid w:val="009B7641"/>
    <w:rsid w:val="009C1836"/>
    <w:rsid w:val="009C2110"/>
    <w:rsid w:val="009C4467"/>
    <w:rsid w:val="009C48DD"/>
    <w:rsid w:val="009C4CB5"/>
    <w:rsid w:val="009C5451"/>
    <w:rsid w:val="009C631B"/>
    <w:rsid w:val="009C6C42"/>
    <w:rsid w:val="009C6CE9"/>
    <w:rsid w:val="009C7302"/>
    <w:rsid w:val="009D02D7"/>
    <w:rsid w:val="009D4C20"/>
    <w:rsid w:val="009D706D"/>
    <w:rsid w:val="009E12DC"/>
    <w:rsid w:val="009E2730"/>
    <w:rsid w:val="009E27E1"/>
    <w:rsid w:val="009E2C04"/>
    <w:rsid w:val="009F08B9"/>
    <w:rsid w:val="009F11E0"/>
    <w:rsid w:val="009F30F8"/>
    <w:rsid w:val="009F4540"/>
    <w:rsid w:val="009F6132"/>
    <w:rsid w:val="009F6B11"/>
    <w:rsid w:val="009F7554"/>
    <w:rsid w:val="009F7D2C"/>
    <w:rsid w:val="00A01321"/>
    <w:rsid w:val="00A01636"/>
    <w:rsid w:val="00A01EEE"/>
    <w:rsid w:val="00A04A56"/>
    <w:rsid w:val="00A119FD"/>
    <w:rsid w:val="00A1330D"/>
    <w:rsid w:val="00A14C12"/>
    <w:rsid w:val="00A15E7B"/>
    <w:rsid w:val="00A16077"/>
    <w:rsid w:val="00A21CA7"/>
    <w:rsid w:val="00A22C8F"/>
    <w:rsid w:val="00A23A69"/>
    <w:rsid w:val="00A3135A"/>
    <w:rsid w:val="00A34549"/>
    <w:rsid w:val="00A35560"/>
    <w:rsid w:val="00A35BD1"/>
    <w:rsid w:val="00A42376"/>
    <w:rsid w:val="00A43435"/>
    <w:rsid w:val="00A45499"/>
    <w:rsid w:val="00A45ED5"/>
    <w:rsid w:val="00A47FE1"/>
    <w:rsid w:val="00A50078"/>
    <w:rsid w:val="00A61C3E"/>
    <w:rsid w:val="00A6281A"/>
    <w:rsid w:val="00A638FB"/>
    <w:rsid w:val="00A644D9"/>
    <w:rsid w:val="00A6454A"/>
    <w:rsid w:val="00A65062"/>
    <w:rsid w:val="00A65444"/>
    <w:rsid w:val="00A66343"/>
    <w:rsid w:val="00A66587"/>
    <w:rsid w:val="00A82E4B"/>
    <w:rsid w:val="00A83957"/>
    <w:rsid w:val="00A83E4A"/>
    <w:rsid w:val="00A85D0F"/>
    <w:rsid w:val="00A865BF"/>
    <w:rsid w:val="00A95131"/>
    <w:rsid w:val="00AA080B"/>
    <w:rsid w:val="00AA0D7D"/>
    <w:rsid w:val="00AA6B8D"/>
    <w:rsid w:val="00AA6F6A"/>
    <w:rsid w:val="00AB06D1"/>
    <w:rsid w:val="00AB3243"/>
    <w:rsid w:val="00AB4D0A"/>
    <w:rsid w:val="00AB51BD"/>
    <w:rsid w:val="00AB647A"/>
    <w:rsid w:val="00AC0B54"/>
    <w:rsid w:val="00AC7D32"/>
    <w:rsid w:val="00AD040F"/>
    <w:rsid w:val="00AD1D11"/>
    <w:rsid w:val="00AD3CA4"/>
    <w:rsid w:val="00AD6E95"/>
    <w:rsid w:val="00AE0137"/>
    <w:rsid w:val="00AE06ED"/>
    <w:rsid w:val="00AE1DB9"/>
    <w:rsid w:val="00AE48C4"/>
    <w:rsid w:val="00AE6E41"/>
    <w:rsid w:val="00AF0412"/>
    <w:rsid w:val="00AF11DA"/>
    <w:rsid w:val="00AF6DA0"/>
    <w:rsid w:val="00B01FDA"/>
    <w:rsid w:val="00B030F8"/>
    <w:rsid w:val="00B04B19"/>
    <w:rsid w:val="00B0690E"/>
    <w:rsid w:val="00B073B4"/>
    <w:rsid w:val="00B1162E"/>
    <w:rsid w:val="00B124B9"/>
    <w:rsid w:val="00B12E43"/>
    <w:rsid w:val="00B1470F"/>
    <w:rsid w:val="00B1631E"/>
    <w:rsid w:val="00B17029"/>
    <w:rsid w:val="00B204AD"/>
    <w:rsid w:val="00B23322"/>
    <w:rsid w:val="00B27825"/>
    <w:rsid w:val="00B27979"/>
    <w:rsid w:val="00B31641"/>
    <w:rsid w:val="00B31C0C"/>
    <w:rsid w:val="00B3624C"/>
    <w:rsid w:val="00B37CBB"/>
    <w:rsid w:val="00B37DA5"/>
    <w:rsid w:val="00B40DAC"/>
    <w:rsid w:val="00B4126C"/>
    <w:rsid w:val="00B41C46"/>
    <w:rsid w:val="00B429FA"/>
    <w:rsid w:val="00B467A7"/>
    <w:rsid w:val="00B47146"/>
    <w:rsid w:val="00B5252F"/>
    <w:rsid w:val="00B54EF5"/>
    <w:rsid w:val="00B636F7"/>
    <w:rsid w:val="00B67AB4"/>
    <w:rsid w:val="00B73B0B"/>
    <w:rsid w:val="00B75C0B"/>
    <w:rsid w:val="00B76724"/>
    <w:rsid w:val="00B779DB"/>
    <w:rsid w:val="00B84237"/>
    <w:rsid w:val="00B854CC"/>
    <w:rsid w:val="00B86145"/>
    <w:rsid w:val="00B86376"/>
    <w:rsid w:val="00B86689"/>
    <w:rsid w:val="00B91F10"/>
    <w:rsid w:val="00B937AB"/>
    <w:rsid w:val="00B93804"/>
    <w:rsid w:val="00B94570"/>
    <w:rsid w:val="00B94F4B"/>
    <w:rsid w:val="00B96745"/>
    <w:rsid w:val="00BA062A"/>
    <w:rsid w:val="00BA390C"/>
    <w:rsid w:val="00BB094B"/>
    <w:rsid w:val="00BB2EC5"/>
    <w:rsid w:val="00BC3EF4"/>
    <w:rsid w:val="00BD32FA"/>
    <w:rsid w:val="00BE0714"/>
    <w:rsid w:val="00BE1DF4"/>
    <w:rsid w:val="00BE3040"/>
    <w:rsid w:val="00BE77F1"/>
    <w:rsid w:val="00BF3093"/>
    <w:rsid w:val="00BF341F"/>
    <w:rsid w:val="00BF3FF7"/>
    <w:rsid w:val="00BF5229"/>
    <w:rsid w:val="00C0059A"/>
    <w:rsid w:val="00C02CAE"/>
    <w:rsid w:val="00C0354E"/>
    <w:rsid w:val="00C04618"/>
    <w:rsid w:val="00C07B7E"/>
    <w:rsid w:val="00C10116"/>
    <w:rsid w:val="00C11019"/>
    <w:rsid w:val="00C11D40"/>
    <w:rsid w:val="00C16B05"/>
    <w:rsid w:val="00C229CC"/>
    <w:rsid w:val="00C23652"/>
    <w:rsid w:val="00C23C0D"/>
    <w:rsid w:val="00C275B6"/>
    <w:rsid w:val="00C30588"/>
    <w:rsid w:val="00C32357"/>
    <w:rsid w:val="00C33575"/>
    <w:rsid w:val="00C35173"/>
    <w:rsid w:val="00C3666E"/>
    <w:rsid w:val="00C42672"/>
    <w:rsid w:val="00C441B0"/>
    <w:rsid w:val="00C444E7"/>
    <w:rsid w:val="00C45196"/>
    <w:rsid w:val="00C50577"/>
    <w:rsid w:val="00C52CF2"/>
    <w:rsid w:val="00C53102"/>
    <w:rsid w:val="00C57E6E"/>
    <w:rsid w:val="00C62945"/>
    <w:rsid w:val="00C658A7"/>
    <w:rsid w:val="00C6727A"/>
    <w:rsid w:val="00C70BCE"/>
    <w:rsid w:val="00C7277C"/>
    <w:rsid w:val="00C764C5"/>
    <w:rsid w:val="00C765D0"/>
    <w:rsid w:val="00C77730"/>
    <w:rsid w:val="00C8089E"/>
    <w:rsid w:val="00C8628C"/>
    <w:rsid w:val="00C86818"/>
    <w:rsid w:val="00C96771"/>
    <w:rsid w:val="00CA0DF7"/>
    <w:rsid w:val="00CA1AF5"/>
    <w:rsid w:val="00CA24B7"/>
    <w:rsid w:val="00CA3633"/>
    <w:rsid w:val="00CA50D1"/>
    <w:rsid w:val="00CB0ABD"/>
    <w:rsid w:val="00CB0DD9"/>
    <w:rsid w:val="00CB150B"/>
    <w:rsid w:val="00CB61AF"/>
    <w:rsid w:val="00CC1398"/>
    <w:rsid w:val="00CC7BC0"/>
    <w:rsid w:val="00CD36B8"/>
    <w:rsid w:val="00CD4931"/>
    <w:rsid w:val="00CD60A0"/>
    <w:rsid w:val="00CD71C6"/>
    <w:rsid w:val="00CD7807"/>
    <w:rsid w:val="00CE14F3"/>
    <w:rsid w:val="00CE1DB0"/>
    <w:rsid w:val="00CF104C"/>
    <w:rsid w:val="00CF1E54"/>
    <w:rsid w:val="00CF4143"/>
    <w:rsid w:val="00CF447E"/>
    <w:rsid w:val="00CF4DB2"/>
    <w:rsid w:val="00CF502B"/>
    <w:rsid w:val="00CF7AFC"/>
    <w:rsid w:val="00D00507"/>
    <w:rsid w:val="00D0106E"/>
    <w:rsid w:val="00D119AD"/>
    <w:rsid w:val="00D137A2"/>
    <w:rsid w:val="00D15478"/>
    <w:rsid w:val="00D22952"/>
    <w:rsid w:val="00D24C1A"/>
    <w:rsid w:val="00D25697"/>
    <w:rsid w:val="00D25FCA"/>
    <w:rsid w:val="00D261BC"/>
    <w:rsid w:val="00D32587"/>
    <w:rsid w:val="00D32A3E"/>
    <w:rsid w:val="00D34B2F"/>
    <w:rsid w:val="00D36C83"/>
    <w:rsid w:val="00D4224C"/>
    <w:rsid w:val="00D44A74"/>
    <w:rsid w:val="00D455BF"/>
    <w:rsid w:val="00D46C43"/>
    <w:rsid w:val="00D47917"/>
    <w:rsid w:val="00D50371"/>
    <w:rsid w:val="00D50736"/>
    <w:rsid w:val="00D509A3"/>
    <w:rsid w:val="00D52A3D"/>
    <w:rsid w:val="00D5691B"/>
    <w:rsid w:val="00D60D05"/>
    <w:rsid w:val="00D61A94"/>
    <w:rsid w:val="00D62B2E"/>
    <w:rsid w:val="00D66BA5"/>
    <w:rsid w:val="00D67FEF"/>
    <w:rsid w:val="00D72264"/>
    <w:rsid w:val="00D739E5"/>
    <w:rsid w:val="00D806F1"/>
    <w:rsid w:val="00D82C95"/>
    <w:rsid w:val="00D85094"/>
    <w:rsid w:val="00D865FF"/>
    <w:rsid w:val="00D867C5"/>
    <w:rsid w:val="00D87238"/>
    <w:rsid w:val="00D900FD"/>
    <w:rsid w:val="00D90C78"/>
    <w:rsid w:val="00D921A1"/>
    <w:rsid w:val="00D92257"/>
    <w:rsid w:val="00D936B8"/>
    <w:rsid w:val="00D95315"/>
    <w:rsid w:val="00D95F26"/>
    <w:rsid w:val="00DA02EF"/>
    <w:rsid w:val="00DA1B52"/>
    <w:rsid w:val="00DA2A4A"/>
    <w:rsid w:val="00DA755B"/>
    <w:rsid w:val="00DB01A6"/>
    <w:rsid w:val="00DB0265"/>
    <w:rsid w:val="00DB2D02"/>
    <w:rsid w:val="00DB2FB2"/>
    <w:rsid w:val="00DB4C1B"/>
    <w:rsid w:val="00DB4DA9"/>
    <w:rsid w:val="00DB5874"/>
    <w:rsid w:val="00DB706D"/>
    <w:rsid w:val="00DB7799"/>
    <w:rsid w:val="00DC1C22"/>
    <w:rsid w:val="00DC1F8D"/>
    <w:rsid w:val="00DC30D3"/>
    <w:rsid w:val="00DC35D9"/>
    <w:rsid w:val="00DC3F6F"/>
    <w:rsid w:val="00DD1253"/>
    <w:rsid w:val="00DD3A36"/>
    <w:rsid w:val="00DD3BEC"/>
    <w:rsid w:val="00DE0AEC"/>
    <w:rsid w:val="00DE1CEC"/>
    <w:rsid w:val="00DE1F22"/>
    <w:rsid w:val="00DE2D88"/>
    <w:rsid w:val="00DE3D3A"/>
    <w:rsid w:val="00DF098F"/>
    <w:rsid w:val="00DF0CD3"/>
    <w:rsid w:val="00DF1F3C"/>
    <w:rsid w:val="00DF49D3"/>
    <w:rsid w:val="00DF5247"/>
    <w:rsid w:val="00DF701D"/>
    <w:rsid w:val="00DF7F6A"/>
    <w:rsid w:val="00E00F13"/>
    <w:rsid w:val="00E038E5"/>
    <w:rsid w:val="00E03ED8"/>
    <w:rsid w:val="00E042F6"/>
    <w:rsid w:val="00E06C00"/>
    <w:rsid w:val="00E21278"/>
    <w:rsid w:val="00E21DC4"/>
    <w:rsid w:val="00E23D9E"/>
    <w:rsid w:val="00E24E99"/>
    <w:rsid w:val="00E25F48"/>
    <w:rsid w:val="00E26532"/>
    <w:rsid w:val="00E34CD2"/>
    <w:rsid w:val="00E5220A"/>
    <w:rsid w:val="00E52434"/>
    <w:rsid w:val="00E5333B"/>
    <w:rsid w:val="00E537D9"/>
    <w:rsid w:val="00E66139"/>
    <w:rsid w:val="00E66EAC"/>
    <w:rsid w:val="00E714D0"/>
    <w:rsid w:val="00E742CD"/>
    <w:rsid w:val="00E75A42"/>
    <w:rsid w:val="00E77134"/>
    <w:rsid w:val="00E85117"/>
    <w:rsid w:val="00E907AE"/>
    <w:rsid w:val="00E910C8"/>
    <w:rsid w:val="00E930C1"/>
    <w:rsid w:val="00E94006"/>
    <w:rsid w:val="00E96CC0"/>
    <w:rsid w:val="00E971D3"/>
    <w:rsid w:val="00E97B1C"/>
    <w:rsid w:val="00E97E8C"/>
    <w:rsid w:val="00EA57F3"/>
    <w:rsid w:val="00EA5D6D"/>
    <w:rsid w:val="00EA73E6"/>
    <w:rsid w:val="00EB0C0C"/>
    <w:rsid w:val="00EB350F"/>
    <w:rsid w:val="00EB6EF8"/>
    <w:rsid w:val="00EC51F7"/>
    <w:rsid w:val="00ED0B5C"/>
    <w:rsid w:val="00ED0FDA"/>
    <w:rsid w:val="00ED2159"/>
    <w:rsid w:val="00ED360F"/>
    <w:rsid w:val="00ED7AFB"/>
    <w:rsid w:val="00EE204F"/>
    <w:rsid w:val="00EE2BEC"/>
    <w:rsid w:val="00EE563C"/>
    <w:rsid w:val="00EE609C"/>
    <w:rsid w:val="00EF34E5"/>
    <w:rsid w:val="00EF3937"/>
    <w:rsid w:val="00EF459B"/>
    <w:rsid w:val="00EF5D14"/>
    <w:rsid w:val="00EF71F2"/>
    <w:rsid w:val="00F00F1E"/>
    <w:rsid w:val="00F01291"/>
    <w:rsid w:val="00F062B9"/>
    <w:rsid w:val="00F06845"/>
    <w:rsid w:val="00F06D0D"/>
    <w:rsid w:val="00F073AF"/>
    <w:rsid w:val="00F07B75"/>
    <w:rsid w:val="00F10648"/>
    <w:rsid w:val="00F12098"/>
    <w:rsid w:val="00F16102"/>
    <w:rsid w:val="00F22C32"/>
    <w:rsid w:val="00F22D7B"/>
    <w:rsid w:val="00F25F1C"/>
    <w:rsid w:val="00F263A0"/>
    <w:rsid w:val="00F26C37"/>
    <w:rsid w:val="00F27252"/>
    <w:rsid w:val="00F30B5B"/>
    <w:rsid w:val="00F31AA9"/>
    <w:rsid w:val="00F35601"/>
    <w:rsid w:val="00F37AE3"/>
    <w:rsid w:val="00F4001B"/>
    <w:rsid w:val="00F408D2"/>
    <w:rsid w:val="00F42F80"/>
    <w:rsid w:val="00F43318"/>
    <w:rsid w:val="00F439B7"/>
    <w:rsid w:val="00F43AF4"/>
    <w:rsid w:val="00F43B1F"/>
    <w:rsid w:val="00F4508C"/>
    <w:rsid w:val="00F451AB"/>
    <w:rsid w:val="00F46C9E"/>
    <w:rsid w:val="00F46ECC"/>
    <w:rsid w:val="00F50BEB"/>
    <w:rsid w:val="00F51AA2"/>
    <w:rsid w:val="00F51E9B"/>
    <w:rsid w:val="00F56F2E"/>
    <w:rsid w:val="00F573DE"/>
    <w:rsid w:val="00F61968"/>
    <w:rsid w:val="00F658C2"/>
    <w:rsid w:val="00F71846"/>
    <w:rsid w:val="00F746C2"/>
    <w:rsid w:val="00F74D3C"/>
    <w:rsid w:val="00F77E81"/>
    <w:rsid w:val="00F804E6"/>
    <w:rsid w:val="00F8156A"/>
    <w:rsid w:val="00F846E8"/>
    <w:rsid w:val="00F900B0"/>
    <w:rsid w:val="00F91647"/>
    <w:rsid w:val="00F9336E"/>
    <w:rsid w:val="00F9365B"/>
    <w:rsid w:val="00F950DB"/>
    <w:rsid w:val="00F95F0B"/>
    <w:rsid w:val="00F9600E"/>
    <w:rsid w:val="00F965FD"/>
    <w:rsid w:val="00FA1C67"/>
    <w:rsid w:val="00FA27CA"/>
    <w:rsid w:val="00FA4F2D"/>
    <w:rsid w:val="00FA5F4E"/>
    <w:rsid w:val="00FB010C"/>
    <w:rsid w:val="00FB50E6"/>
    <w:rsid w:val="00FB6409"/>
    <w:rsid w:val="00FB6AF9"/>
    <w:rsid w:val="00FC2C1E"/>
    <w:rsid w:val="00FC2F00"/>
    <w:rsid w:val="00FC4ACA"/>
    <w:rsid w:val="00FC54F9"/>
    <w:rsid w:val="00FD1D61"/>
    <w:rsid w:val="00FD3D2B"/>
    <w:rsid w:val="00FD6701"/>
    <w:rsid w:val="00FE14FB"/>
    <w:rsid w:val="00FE76D7"/>
    <w:rsid w:val="00FF05A0"/>
    <w:rsid w:val="00FF3E75"/>
    <w:rsid w:val="00FF6239"/>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41C72"/>
  <w15:chartTrackingRefBased/>
  <w15:docId w15:val="{4065D23B-CDA0-4793-8545-FE88AED1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226"/>
    <w:pPr>
      <w:spacing w:line="480" w:lineRule="auto"/>
    </w:pPr>
    <w:rPr>
      <w:rFonts w:ascii="Times New Roman" w:hAnsi="Times New Roman"/>
    </w:rPr>
  </w:style>
  <w:style w:type="paragraph" w:styleId="Rubrik1">
    <w:name w:val="heading 1"/>
    <w:basedOn w:val="Normal"/>
    <w:next w:val="Normal"/>
    <w:link w:val="Rubrik1Char"/>
    <w:uiPriority w:val="9"/>
    <w:qFormat/>
    <w:rsid w:val="002B51D8"/>
    <w:pPr>
      <w:keepNext/>
      <w:keepLines/>
      <w:spacing w:before="240" w:after="0"/>
      <w:outlineLvl w:val="0"/>
    </w:pPr>
    <w:rPr>
      <w:rFonts w:ascii="Arial" w:eastAsiaTheme="majorEastAsia" w:hAnsi="Arial" w:cstheme="majorBidi"/>
      <w:color w:val="2F5496" w:themeColor="accent1" w:themeShade="BF"/>
      <w:sz w:val="32"/>
      <w:szCs w:val="32"/>
    </w:rPr>
  </w:style>
  <w:style w:type="paragraph" w:styleId="Rubrik2">
    <w:name w:val="heading 2"/>
    <w:basedOn w:val="Normal"/>
    <w:next w:val="Normal"/>
    <w:link w:val="Rubrik2Char"/>
    <w:uiPriority w:val="9"/>
    <w:unhideWhenUsed/>
    <w:qFormat/>
    <w:rsid w:val="002B51D8"/>
    <w:pPr>
      <w:keepNext/>
      <w:keepLines/>
      <w:spacing w:before="40" w:after="0"/>
      <w:outlineLvl w:val="1"/>
    </w:pPr>
    <w:rPr>
      <w:rFonts w:ascii="Arial" w:eastAsiaTheme="majorEastAsia" w:hAnsi="Arial" w:cstheme="majorBidi"/>
      <w:color w:val="2F5496" w:themeColor="accent1" w:themeShade="BF"/>
      <w:sz w:val="26"/>
      <w:szCs w:val="26"/>
    </w:rPr>
  </w:style>
  <w:style w:type="paragraph" w:styleId="Rubrik3">
    <w:name w:val="heading 3"/>
    <w:basedOn w:val="Normal"/>
    <w:next w:val="Normal"/>
    <w:link w:val="Rubrik3Char"/>
    <w:uiPriority w:val="9"/>
    <w:unhideWhenUsed/>
    <w:qFormat/>
    <w:rsid w:val="002B51D8"/>
    <w:pPr>
      <w:keepNext/>
      <w:keepLines/>
      <w:spacing w:before="40" w:after="0"/>
      <w:outlineLvl w:val="2"/>
    </w:pPr>
    <w:rPr>
      <w:rFonts w:ascii="Arial" w:eastAsiaTheme="majorEastAsia" w:hAnsi="Arial" w:cstheme="majorBidi"/>
      <w:color w:val="1F3763" w:themeColor="accent1" w:themeShade="7F"/>
      <w:sz w:val="24"/>
      <w:szCs w:val="24"/>
    </w:rPr>
  </w:style>
  <w:style w:type="paragraph" w:styleId="Rubrik4">
    <w:name w:val="heading 4"/>
    <w:basedOn w:val="Normal"/>
    <w:next w:val="Normal"/>
    <w:link w:val="Rubrik4Char"/>
    <w:uiPriority w:val="9"/>
    <w:unhideWhenUsed/>
    <w:qFormat/>
    <w:rsid w:val="00D509A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2B51D8"/>
    <w:rPr>
      <w:rFonts w:ascii="Arial" w:eastAsiaTheme="majorEastAsia" w:hAnsi="Arial" w:cstheme="majorBidi"/>
      <w:color w:val="2F5496" w:themeColor="accent1" w:themeShade="BF"/>
      <w:sz w:val="26"/>
      <w:szCs w:val="26"/>
    </w:rPr>
  </w:style>
  <w:style w:type="character" w:customStyle="1" w:styleId="Rubrik1Char">
    <w:name w:val="Rubrik 1 Char"/>
    <w:basedOn w:val="Standardstycketeckensnitt"/>
    <w:link w:val="Rubrik1"/>
    <w:uiPriority w:val="9"/>
    <w:rsid w:val="002B51D8"/>
    <w:rPr>
      <w:rFonts w:ascii="Arial" w:eastAsiaTheme="majorEastAsia" w:hAnsi="Arial" w:cstheme="majorBidi"/>
      <w:color w:val="2F5496" w:themeColor="accent1" w:themeShade="BF"/>
      <w:sz w:val="32"/>
      <w:szCs w:val="32"/>
    </w:rPr>
  </w:style>
  <w:style w:type="paragraph" w:styleId="Ingetavstnd">
    <w:name w:val="No Spacing"/>
    <w:uiPriority w:val="1"/>
    <w:qFormat/>
    <w:rsid w:val="0049721F"/>
    <w:pPr>
      <w:spacing w:after="0" w:line="240" w:lineRule="auto"/>
    </w:pPr>
    <w:rPr>
      <w:kern w:val="0"/>
      <w:lang w:val="sv-SE"/>
      <w14:ligatures w14:val="none"/>
    </w:rPr>
  </w:style>
  <w:style w:type="character" w:styleId="Hyperlnk">
    <w:name w:val="Hyperlink"/>
    <w:basedOn w:val="Standardstycketeckensnitt"/>
    <w:uiPriority w:val="99"/>
    <w:unhideWhenUsed/>
    <w:rsid w:val="0049721F"/>
    <w:rPr>
      <w:color w:val="0563C1" w:themeColor="hyperlink"/>
      <w:u w:val="single"/>
    </w:rPr>
  </w:style>
  <w:style w:type="character" w:styleId="Olstomnmnande">
    <w:name w:val="Unresolved Mention"/>
    <w:basedOn w:val="Standardstycketeckensnitt"/>
    <w:uiPriority w:val="99"/>
    <w:semiHidden/>
    <w:unhideWhenUsed/>
    <w:rsid w:val="0049721F"/>
    <w:rPr>
      <w:color w:val="605E5C"/>
      <w:shd w:val="clear" w:color="auto" w:fill="E1DFDD"/>
    </w:rPr>
  </w:style>
  <w:style w:type="character" w:customStyle="1" w:styleId="Rubrik3Char">
    <w:name w:val="Rubrik 3 Char"/>
    <w:basedOn w:val="Standardstycketeckensnitt"/>
    <w:link w:val="Rubrik3"/>
    <w:uiPriority w:val="9"/>
    <w:rsid w:val="002B51D8"/>
    <w:rPr>
      <w:rFonts w:ascii="Arial" w:eastAsiaTheme="majorEastAsia" w:hAnsi="Arial" w:cstheme="majorBidi"/>
      <w:color w:val="1F3763" w:themeColor="accent1" w:themeShade="7F"/>
      <w:sz w:val="24"/>
      <w:szCs w:val="24"/>
    </w:rPr>
  </w:style>
  <w:style w:type="character" w:styleId="Kommentarsreferens">
    <w:name w:val="annotation reference"/>
    <w:basedOn w:val="Standardstycketeckensnitt"/>
    <w:uiPriority w:val="99"/>
    <w:semiHidden/>
    <w:unhideWhenUsed/>
    <w:rsid w:val="008A7B6E"/>
    <w:rPr>
      <w:sz w:val="16"/>
      <w:szCs w:val="16"/>
    </w:rPr>
  </w:style>
  <w:style w:type="paragraph" w:styleId="Kommentarer">
    <w:name w:val="annotation text"/>
    <w:basedOn w:val="Normal"/>
    <w:link w:val="KommentarerChar"/>
    <w:uiPriority w:val="99"/>
    <w:unhideWhenUsed/>
    <w:rsid w:val="008A7B6E"/>
    <w:pPr>
      <w:spacing w:line="240" w:lineRule="auto"/>
    </w:pPr>
    <w:rPr>
      <w:sz w:val="20"/>
      <w:szCs w:val="20"/>
    </w:rPr>
  </w:style>
  <w:style w:type="character" w:customStyle="1" w:styleId="KommentarerChar">
    <w:name w:val="Kommentarer Char"/>
    <w:basedOn w:val="Standardstycketeckensnitt"/>
    <w:link w:val="Kommentarer"/>
    <w:uiPriority w:val="99"/>
    <w:rsid w:val="008A7B6E"/>
    <w:rPr>
      <w:sz w:val="20"/>
      <w:szCs w:val="20"/>
    </w:rPr>
  </w:style>
  <w:style w:type="paragraph" w:styleId="Kommentarsmne">
    <w:name w:val="annotation subject"/>
    <w:basedOn w:val="Kommentarer"/>
    <w:next w:val="Kommentarer"/>
    <w:link w:val="KommentarsmneChar"/>
    <w:uiPriority w:val="99"/>
    <w:semiHidden/>
    <w:unhideWhenUsed/>
    <w:rsid w:val="008A7B6E"/>
    <w:rPr>
      <w:b/>
      <w:bCs/>
    </w:rPr>
  </w:style>
  <w:style w:type="character" w:customStyle="1" w:styleId="KommentarsmneChar">
    <w:name w:val="Kommentarsämne Char"/>
    <w:basedOn w:val="KommentarerChar"/>
    <w:link w:val="Kommentarsmne"/>
    <w:uiPriority w:val="99"/>
    <w:semiHidden/>
    <w:rsid w:val="008A7B6E"/>
    <w:rPr>
      <w:b/>
      <w:bCs/>
      <w:sz w:val="20"/>
      <w:szCs w:val="20"/>
    </w:rPr>
  </w:style>
  <w:style w:type="paragraph" w:styleId="Litteraturfrteckning">
    <w:name w:val="Bibliography"/>
    <w:basedOn w:val="Normal"/>
    <w:next w:val="Normal"/>
    <w:uiPriority w:val="37"/>
    <w:unhideWhenUsed/>
    <w:rsid w:val="00317BDD"/>
    <w:pPr>
      <w:tabs>
        <w:tab w:val="left" w:pos="504"/>
      </w:tabs>
      <w:spacing w:after="240" w:line="240" w:lineRule="auto"/>
      <w:ind w:left="504" w:hanging="504"/>
    </w:pPr>
  </w:style>
  <w:style w:type="table" w:styleId="Rutntstabell3dekorfrg5">
    <w:name w:val="Grid Table 3 Accent 5"/>
    <w:basedOn w:val="Normaltabell"/>
    <w:uiPriority w:val="48"/>
    <w:rsid w:val="00BE071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Normalwebb">
    <w:name w:val="Normal (Web)"/>
    <w:basedOn w:val="Normal"/>
    <w:uiPriority w:val="99"/>
    <w:semiHidden/>
    <w:unhideWhenUsed/>
    <w:rsid w:val="00BB2EC5"/>
    <w:pPr>
      <w:spacing w:before="100" w:beforeAutospacing="1" w:after="100" w:afterAutospacing="1" w:line="240" w:lineRule="auto"/>
    </w:pPr>
    <w:rPr>
      <w:rFonts w:eastAsia="Times New Roman" w:cs="Times New Roman"/>
      <w:kern w:val="0"/>
      <w:sz w:val="24"/>
      <w:szCs w:val="24"/>
      <w14:ligatures w14:val="none"/>
    </w:rPr>
  </w:style>
  <w:style w:type="character" w:styleId="Stark">
    <w:name w:val="Strong"/>
    <w:basedOn w:val="Standardstycketeckensnitt"/>
    <w:uiPriority w:val="22"/>
    <w:qFormat/>
    <w:rsid w:val="008A64B1"/>
    <w:rPr>
      <w:b/>
      <w:bCs/>
    </w:rPr>
  </w:style>
  <w:style w:type="paragraph" w:styleId="Revision">
    <w:name w:val="Revision"/>
    <w:hidden/>
    <w:uiPriority w:val="99"/>
    <w:semiHidden/>
    <w:rsid w:val="00B67AB4"/>
    <w:pPr>
      <w:spacing w:after="0" w:line="240" w:lineRule="auto"/>
    </w:pPr>
  </w:style>
  <w:style w:type="paragraph" w:styleId="Underrubrik">
    <w:name w:val="Subtitle"/>
    <w:basedOn w:val="Normal"/>
    <w:next w:val="Normal"/>
    <w:link w:val="UnderrubrikChar"/>
    <w:uiPriority w:val="11"/>
    <w:qFormat/>
    <w:rsid w:val="007464DE"/>
    <w:pPr>
      <w:numPr>
        <w:ilvl w:val="1"/>
      </w:numPr>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7464DE"/>
    <w:rPr>
      <w:rFonts w:eastAsiaTheme="minorEastAsia"/>
      <w:color w:val="5A5A5A" w:themeColor="text1" w:themeTint="A5"/>
      <w:spacing w:val="15"/>
    </w:rPr>
  </w:style>
  <w:style w:type="paragraph" w:styleId="Sidhuvud">
    <w:name w:val="header"/>
    <w:basedOn w:val="Normal"/>
    <w:link w:val="SidhuvudChar"/>
    <w:uiPriority w:val="99"/>
    <w:unhideWhenUsed/>
    <w:rsid w:val="00A83E4A"/>
    <w:pPr>
      <w:tabs>
        <w:tab w:val="center" w:pos="4703"/>
        <w:tab w:val="right" w:pos="9406"/>
      </w:tabs>
      <w:spacing w:after="0" w:line="240" w:lineRule="auto"/>
    </w:pPr>
  </w:style>
  <w:style w:type="character" w:customStyle="1" w:styleId="SidhuvudChar">
    <w:name w:val="Sidhuvud Char"/>
    <w:basedOn w:val="Standardstycketeckensnitt"/>
    <w:link w:val="Sidhuvud"/>
    <w:uiPriority w:val="99"/>
    <w:rsid w:val="00A83E4A"/>
  </w:style>
  <w:style w:type="paragraph" w:styleId="Sidfot">
    <w:name w:val="footer"/>
    <w:basedOn w:val="Normal"/>
    <w:link w:val="SidfotChar"/>
    <w:uiPriority w:val="99"/>
    <w:unhideWhenUsed/>
    <w:rsid w:val="00A83E4A"/>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A83E4A"/>
  </w:style>
  <w:style w:type="paragraph" w:styleId="Ballongtext">
    <w:name w:val="Balloon Text"/>
    <w:basedOn w:val="Normal"/>
    <w:link w:val="BallongtextChar"/>
    <w:uiPriority w:val="99"/>
    <w:semiHidden/>
    <w:unhideWhenUsed/>
    <w:rsid w:val="00654AA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54AA7"/>
    <w:rPr>
      <w:rFonts w:ascii="Segoe UI" w:hAnsi="Segoe UI" w:cs="Segoe UI"/>
      <w:sz w:val="18"/>
      <w:szCs w:val="18"/>
    </w:rPr>
  </w:style>
  <w:style w:type="character" w:customStyle="1" w:styleId="cf01">
    <w:name w:val="cf01"/>
    <w:basedOn w:val="Standardstycketeckensnitt"/>
    <w:rsid w:val="006625EE"/>
    <w:rPr>
      <w:rFonts w:ascii="Segoe UI" w:hAnsi="Segoe UI" w:cs="Segoe UI" w:hint="default"/>
      <w:sz w:val="18"/>
      <w:szCs w:val="18"/>
    </w:rPr>
  </w:style>
  <w:style w:type="paragraph" w:customStyle="1" w:styleId="EndNoteBibliography">
    <w:name w:val="EndNote Bibliography"/>
    <w:basedOn w:val="Normal"/>
    <w:link w:val="EndNoteBibliographyChar"/>
    <w:rsid w:val="00293718"/>
    <w:pPr>
      <w:spacing w:line="240" w:lineRule="auto"/>
    </w:pPr>
    <w:rPr>
      <w:rFonts w:ascii="Calibri" w:hAnsi="Calibri" w:cs="Calibri"/>
      <w:noProof/>
      <w:kern w:val="0"/>
      <w14:ligatures w14:val="none"/>
    </w:rPr>
  </w:style>
  <w:style w:type="character" w:customStyle="1" w:styleId="EndNoteBibliographyChar">
    <w:name w:val="EndNote Bibliography Char"/>
    <w:basedOn w:val="Standardstycketeckensnitt"/>
    <w:link w:val="EndNoteBibliography"/>
    <w:rsid w:val="00293718"/>
    <w:rPr>
      <w:rFonts w:ascii="Calibri" w:hAnsi="Calibri" w:cs="Calibri"/>
      <w:noProof/>
      <w:kern w:val="0"/>
      <w14:ligatures w14:val="none"/>
    </w:rPr>
  </w:style>
  <w:style w:type="character" w:styleId="Radnummer">
    <w:name w:val="line number"/>
    <w:basedOn w:val="Standardstycketeckensnitt"/>
    <w:uiPriority w:val="99"/>
    <w:semiHidden/>
    <w:unhideWhenUsed/>
    <w:rsid w:val="009D4C20"/>
  </w:style>
  <w:style w:type="character" w:customStyle="1" w:styleId="Rubrik4Char">
    <w:name w:val="Rubrik 4 Char"/>
    <w:basedOn w:val="Standardstycketeckensnitt"/>
    <w:link w:val="Rubrik4"/>
    <w:uiPriority w:val="9"/>
    <w:rsid w:val="00D509A3"/>
    <w:rPr>
      <w:rFonts w:asciiTheme="majorHAnsi" w:eastAsiaTheme="majorEastAsia" w:hAnsiTheme="majorHAnsi" w:cstheme="majorBidi"/>
      <w:i/>
      <w:iCs/>
      <w:color w:val="2F5496" w:themeColor="accent1" w:themeShade="BF"/>
    </w:rPr>
  </w:style>
  <w:style w:type="character" w:styleId="AnvndHyperlnk">
    <w:name w:val="FollowedHyperlink"/>
    <w:basedOn w:val="Standardstycketeckensnitt"/>
    <w:uiPriority w:val="99"/>
    <w:semiHidden/>
    <w:unhideWhenUsed/>
    <w:rsid w:val="00F37A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9940">
      <w:bodyDiv w:val="1"/>
      <w:marLeft w:val="0"/>
      <w:marRight w:val="0"/>
      <w:marTop w:val="0"/>
      <w:marBottom w:val="0"/>
      <w:divBdr>
        <w:top w:val="none" w:sz="0" w:space="0" w:color="auto"/>
        <w:left w:val="none" w:sz="0" w:space="0" w:color="auto"/>
        <w:bottom w:val="none" w:sz="0" w:space="0" w:color="auto"/>
        <w:right w:val="none" w:sz="0" w:space="0" w:color="auto"/>
      </w:divBdr>
    </w:div>
    <w:div w:id="200288661">
      <w:bodyDiv w:val="1"/>
      <w:marLeft w:val="0"/>
      <w:marRight w:val="0"/>
      <w:marTop w:val="0"/>
      <w:marBottom w:val="0"/>
      <w:divBdr>
        <w:top w:val="none" w:sz="0" w:space="0" w:color="auto"/>
        <w:left w:val="none" w:sz="0" w:space="0" w:color="auto"/>
        <w:bottom w:val="none" w:sz="0" w:space="0" w:color="auto"/>
        <w:right w:val="none" w:sz="0" w:space="0" w:color="auto"/>
      </w:divBdr>
    </w:div>
    <w:div w:id="313874296">
      <w:bodyDiv w:val="1"/>
      <w:marLeft w:val="0"/>
      <w:marRight w:val="0"/>
      <w:marTop w:val="0"/>
      <w:marBottom w:val="0"/>
      <w:divBdr>
        <w:top w:val="none" w:sz="0" w:space="0" w:color="auto"/>
        <w:left w:val="none" w:sz="0" w:space="0" w:color="auto"/>
        <w:bottom w:val="none" w:sz="0" w:space="0" w:color="auto"/>
        <w:right w:val="none" w:sz="0" w:space="0" w:color="auto"/>
      </w:divBdr>
    </w:div>
    <w:div w:id="413209760">
      <w:bodyDiv w:val="1"/>
      <w:marLeft w:val="0"/>
      <w:marRight w:val="0"/>
      <w:marTop w:val="0"/>
      <w:marBottom w:val="0"/>
      <w:divBdr>
        <w:top w:val="none" w:sz="0" w:space="0" w:color="auto"/>
        <w:left w:val="none" w:sz="0" w:space="0" w:color="auto"/>
        <w:bottom w:val="none" w:sz="0" w:space="0" w:color="auto"/>
        <w:right w:val="none" w:sz="0" w:space="0" w:color="auto"/>
      </w:divBdr>
    </w:div>
    <w:div w:id="527304819">
      <w:bodyDiv w:val="1"/>
      <w:marLeft w:val="0"/>
      <w:marRight w:val="0"/>
      <w:marTop w:val="0"/>
      <w:marBottom w:val="0"/>
      <w:divBdr>
        <w:top w:val="none" w:sz="0" w:space="0" w:color="auto"/>
        <w:left w:val="none" w:sz="0" w:space="0" w:color="auto"/>
        <w:bottom w:val="none" w:sz="0" w:space="0" w:color="auto"/>
        <w:right w:val="none" w:sz="0" w:space="0" w:color="auto"/>
      </w:divBdr>
    </w:div>
    <w:div w:id="538010489">
      <w:bodyDiv w:val="1"/>
      <w:marLeft w:val="0"/>
      <w:marRight w:val="0"/>
      <w:marTop w:val="0"/>
      <w:marBottom w:val="0"/>
      <w:divBdr>
        <w:top w:val="none" w:sz="0" w:space="0" w:color="auto"/>
        <w:left w:val="none" w:sz="0" w:space="0" w:color="auto"/>
        <w:bottom w:val="none" w:sz="0" w:space="0" w:color="auto"/>
        <w:right w:val="none" w:sz="0" w:space="0" w:color="auto"/>
      </w:divBdr>
    </w:div>
    <w:div w:id="547913303">
      <w:bodyDiv w:val="1"/>
      <w:marLeft w:val="0"/>
      <w:marRight w:val="0"/>
      <w:marTop w:val="0"/>
      <w:marBottom w:val="0"/>
      <w:divBdr>
        <w:top w:val="none" w:sz="0" w:space="0" w:color="auto"/>
        <w:left w:val="none" w:sz="0" w:space="0" w:color="auto"/>
        <w:bottom w:val="none" w:sz="0" w:space="0" w:color="auto"/>
        <w:right w:val="none" w:sz="0" w:space="0" w:color="auto"/>
      </w:divBdr>
    </w:div>
    <w:div w:id="559293682">
      <w:bodyDiv w:val="1"/>
      <w:marLeft w:val="0"/>
      <w:marRight w:val="0"/>
      <w:marTop w:val="0"/>
      <w:marBottom w:val="0"/>
      <w:divBdr>
        <w:top w:val="none" w:sz="0" w:space="0" w:color="auto"/>
        <w:left w:val="none" w:sz="0" w:space="0" w:color="auto"/>
        <w:bottom w:val="none" w:sz="0" w:space="0" w:color="auto"/>
        <w:right w:val="none" w:sz="0" w:space="0" w:color="auto"/>
      </w:divBdr>
    </w:div>
    <w:div w:id="755514765">
      <w:bodyDiv w:val="1"/>
      <w:marLeft w:val="0"/>
      <w:marRight w:val="0"/>
      <w:marTop w:val="0"/>
      <w:marBottom w:val="0"/>
      <w:divBdr>
        <w:top w:val="none" w:sz="0" w:space="0" w:color="auto"/>
        <w:left w:val="none" w:sz="0" w:space="0" w:color="auto"/>
        <w:bottom w:val="none" w:sz="0" w:space="0" w:color="auto"/>
        <w:right w:val="none" w:sz="0" w:space="0" w:color="auto"/>
      </w:divBdr>
    </w:div>
    <w:div w:id="874000361">
      <w:bodyDiv w:val="1"/>
      <w:marLeft w:val="0"/>
      <w:marRight w:val="0"/>
      <w:marTop w:val="0"/>
      <w:marBottom w:val="0"/>
      <w:divBdr>
        <w:top w:val="none" w:sz="0" w:space="0" w:color="auto"/>
        <w:left w:val="none" w:sz="0" w:space="0" w:color="auto"/>
        <w:bottom w:val="none" w:sz="0" w:space="0" w:color="auto"/>
        <w:right w:val="none" w:sz="0" w:space="0" w:color="auto"/>
      </w:divBdr>
    </w:div>
    <w:div w:id="975992999">
      <w:bodyDiv w:val="1"/>
      <w:marLeft w:val="0"/>
      <w:marRight w:val="0"/>
      <w:marTop w:val="0"/>
      <w:marBottom w:val="0"/>
      <w:divBdr>
        <w:top w:val="none" w:sz="0" w:space="0" w:color="auto"/>
        <w:left w:val="none" w:sz="0" w:space="0" w:color="auto"/>
        <w:bottom w:val="none" w:sz="0" w:space="0" w:color="auto"/>
        <w:right w:val="none" w:sz="0" w:space="0" w:color="auto"/>
      </w:divBdr>
    </w:div>
    <w:div w:id="1061366918">
      <w:bodyDiv w:val="1"/>
      <w:marLeft w:val="0"/>
      <w:marRight w:val="0"/>
      <w:marTop w:val="0"/>
      <w:marBottom w:val="0"/>
      <w:divBdr>
        <w:top w:val="none" w:sz="0" w:space="0" w:color="auto"/>
        <w:left w:val="none" w:sz="0" w:space="0" w:color="auto"/>
        <w:bottom w:val="none" w:sz="0" w:space="0" w:color="auto"/>
        <w:right w:val="none" w:sz="0" w:space="0" w:color="auto"/>
      </w:divBdr>
    </w:div>
    <w:div w:id="1072771858">
      <w:bodyDiv w:val="1"/>
      <w:marLeft w:val="0"/>
      <w:marRight w:val="0"/>
      <w:marTop w:val="0"/>
      <w:marBottom w:val="0"/>
      <w:divBdr>
        <w:top w:val="none" w:sz="0" w:space="0" w:color="auto"/>
        <w:left w:val="none" w:sz="0" w:space="0" w:color="auto"/>
        <w:bottom w:val="none" w:sz="0" w:space="0" w:color="auto"/>
        <w:right w:val="none" w:sz="0" w:space="0" w:color="auto"/>
      </w:divBdr>
      <w:divsChild>
        <w:div w:id="723870755">
          <w:marLeft w:val="0"/>
          <w:marRight w:val="0"/>
          <w:marTop w:val="0"/>
          <w:marBottom w:val="180"/>
          <w:divBdr>
            <w:top w:val="none" w:sz="0" w:space="0" w:color="auto"/>
            <w:left w:val="none" w:sz="0" w:space="0" w:color="auto"/>
            <w:bottom w:val="none" w:sz="0" w:space="0" w:color="auto"/>
            <w:right w:val="none" w:sz="0" w:space="0" w:color="auto"/>
          </w:divBdr>
          <w:divsChild>
            <w:div w:id="1569800074">
              <w:marLeft w:val="0"/>
              <w:marRight w:val="0"/>
              <w:marTop w:val="0"/>
              <w:marBottom w:val="0"/>
              <w:divBdr>
                <w:top w:val="none" w:sz="0" w:space="0" w:color="auto"/>
                <w:left w:val="none" w:sz="0" w:space="0" w:color="auto"/>
                <w:bottom w:val="none" w:sz="0" w:space="0" w:color="auto"/>
                <w:right w:val="none" w:sz="0" w:space="0" w:color="auto"/>
              </w:divBdr>
              <w:divsChild>
                <w:div w:id="728308760">
                  <w:marLeft w:val="0"/>
                  <w:marRight w:val="0"/>
                  <w:marTop w:val="0"/>
                  <w:marBottom w:val="0"/>
                  <w:divBdr>
                    <w:top w:val="none" w:sz="0" w:space="0" w:color="auto"/>
                    <w:left w:val="none" w:sz="0" w:space="0" w:color="auto"/>
                    <w:bottom w:val="none" w:sz="0" w:space="0" w:color="auto"/>
                    <w:right w:val="none" w:sz="0" w:space="0" w:color="auto"/>
                  </w:divBdr>
                  <w:divsChild>
                    <w:div w:id="1269121029">
                      <w:marLeft w:val="0"/>
                      <w:marRight w:val="0"/>
                      <w:marTop w:val="180"/>
                      <w:marBottom w:val="0"/>
                      <w:divBdr>
                        <w:top w:val="none" w:sz="0" w:space="0" w:color="auto"/>
                        <w:left w:val="none" w:sz="0" w:space="0" w:color="auto"/>
                        <w:bottom w:val="none" w:sz="0" w:space="0" w:color="auto"/>
                        <w:right w:val="none" w:sz="0" w:space="0" w:color="auto"/>
                      </w:divBdr>
                      <w:divsChild>
                        <w:div w:id="10034280">
                          <w:marLeft w:val="0"/>
                          <w:marRight w:val="0"/>
                          <w:marTop w:val="0"/>
                          <w:marBottom w:val="0"/>
                          <w:divBdr>
                            <w:top w:val="none" w:sz="0" w:space="0" w:color="auto"/>
                            <w:left w:val="none" w:sz="0" w:space="0" w:color="auto"/>
                            <w:bottom w:val="none" w:sz="0" w:space="0" w:color="auto"/>
                            <w:right w:val="none" w:sz="0" w:space="0" w:color="auto"/>
                          </w:divBdr>
                          <w:divsChild>
                            <w:div w:id="416442542">
                              <w:marLeft w:val="0"/>
                              <w:marRight w:val="0"/>
                              <w:marTop w:val="0"/>
                              <w:marBottom w:val="0"/>
                              <w:divBdr>
                                <w:top w:val="none" w:sz="0" w:space="0" w:color="auto"/>
                                <w:left w:val="none" w:sz="0" w:space="0" w:color="auto"/>
                                <w:bottom w:val="none" w:sz="0" w:space="0" w:color="auto"/>
                                <w:right w:val="none" w:sz="0" w:space="0" w:color="auto"/>
                              </w:divBdr>
                              <w:divsChild>
                                <w:div w:id="323315441">
                                  <w:marLeft w:val="0"/>
                                  <w:marRight w:val="0"/>
                                  <w:marTop w:val="0"/>
                                  <w:marBottom w:val="0"/>
                                  <w:divBdr>
                                    <w:top w:val="none" w:sz="0" w:space="0" w:color="auto"/>
                                    <w:left w:val="none" w:sz="0" w:space="0" w:color="auto"/>
                                    <w:bottom w:val="none" w:sz="0" w:space="0" w:color="auto"/>
                                    <w:right w:val="none" w:sz="0" w:space="0" w:color="auto"/>
                                  </w:divBdr>
                                  <w:divsChild>
                                    <w:div w:id="1521356208">
                                      <w:marLeft w:val="0"/>
                                      <w:marRight w:val="0"/>
                                      <w:marTop w:val="0"/>
                                      <w:marBottom w:val="0"/>
                                      <w:divBdr>
                                        <w:top w:val="none" w:sz="0" w:space="0" w:color="auto"/>
                                        <w:left w:val="none" w:sz="0" w:space="0" w:color="auto"/>
                                        <w:bottom w:val="none" w:sz="0" w:space="0" w:color="auto"/>
                                        <w:right w:val="none" w:sz="0" w:space="0" w:color="auto"/>
                                      </w:divBdr>
                                    </w:div>
                                  </w:divsChild>
                                </w:div>
                                <w:div w:id="634918374">
                                  <w:marLeft w:val="0"/>
                                  <w:marRight w:val="0"/>
                                  <w:marTop w:val="0"/>
                                  <w:marBottom w:val="0"/>
                                  <w:divBdr>
                                    <w:top w:val="none" w:sz="0" w:space="0" w:color="auto"/>
                                    <w:left w:val="none" w:sz="0" w:space="0" w:color="auto"/>
                                    <w:bottom w:val="none" w:sz="0" w:space="0" w:color="auto"/>
                                    <w:right w:val="none" w:sz="0" w:space="0" w:color="auto"/>
                                  </w:divBdr>
                                  <w:divsChild>
                                    <w:div w:id="11379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6706">
                              <w:marLeft w:val="0"/>
                              <w:marRight w:val="0"/>
                              <w:marTop w:val="0"/>
                              <w:marBottom w:val="0"/>
                              <w:divBdr>
                                <w:top w:val="none" w:sz="0" w:space="0" w:color="auto"/>
                                <w:left w:val="none" w:sz="0" w:space="0" w:color="auto"/>
                                <w:bottom w:val="none" w:sz="0" w:space="0" w:color="auto"/>
                                <w:right w:val="none" w:sz="0" w:space="0" w:color="auto"/>
                              </w:divBdr>
                              <w:divsChild>
                                <w:div w:id="306476768">
                                  <w:marLeft w:val="0"/>
                                  <w:marRight w:val="0"/>
                                  <w:marTop w:val="0"/>
                                  <w:marBottom w:val="0"/>
                                  <w:divBdr>
                                    <w:top w:val="none" w:sz="0" w:space="0" w:color="auto"/>
                                    <w:left w:val="none" w:sz="0" w:space="0" w:color="auto"/>
                                    <w:bottom w:val="none" w:sz="0" w:space="0" w:color="auto"/>
                                    <w:right w:val="none" w:sz="0" w:space="0" w:color="auto"/>
                                  </w:divBdr>
                                  <w:divsChild>
                                    <w:div w:id="282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7110368">
      <w:bodyDiv w:val="1"/>
      <w:marLeft w:val="0"/>
      <w:marRight w:val="0"/>
      <w:marTop w:val="0"/>
      <w:marBottom w:val="0"/>
      <w:divBdr>
        <w:top w:val="none" w:sz="0" w:space="0" w:color="auto"/>
        <w:left w:val="none" w:sz="0" w:space="0" w:color="auto"/>
        <w:bottom w:val="none" w:sz="0" w:space="0" w:color="auto"/>
        <w:right w:val="none" w:sz="0" w:space="0" w:color="auto"/>
      </w:divBdr>
    </w:div>
    <w:div w:id="1159612103">
      <w:bodyDiv w:val="1"/>
      <w:marLeft w:val="0"/>
      <w:marRight w:val="0"/>
      <w:marTop w:val="0"/>
      <w:marBottom w:val="0"/>
      <w:divBdr>
        <w:top w:val="none" w:sz="0" w:space="0" w:color="auto"/>
        <w:left w:val="none" w:sz="0" w:space="0" w:color="auto"/>
        <w:bottom w:val="none" w:sz="0" w:space="0" w:color="auto"/>
        <w:right w:val="none" w:sz="0" w:space="0" w:color="auto"/>
      </w:divBdr>
    </w:div>
    <w:div w:id="1185561726">
      <w:bodyDiv w:val="1"/>
      <w:marLeft w:val="0"/>
      <w:marRight w:val="0"/>
      <w:marTop w:val="0"/>
      <w:marBottom w:val="0"/>
      <w:divBdr>
        <w:top w:val="none" w:sz="0" w:space="0" w:color="auto"/>
        <w:left w:val="none" w:sz="0" w:space="0" w:color="auto"/>
        <w:bottom w:val="none" w:sz="0" w:space="0" w:color="auto"/>
        <w:right w:val="none" w:sz="0" w:space="0" w:color="auto"/>
      </w:divBdr>
    </w:div>
    <w:div w:id="1256017866">
      <w:bodyDiv w:val="1"/>
      <w:marLeft w:val="0"/>
      <w:marRight w:val="0"/>
      <w:marTop w:val="0"/>
      <w:marBottom w:val="0"/>
      <w:divBdr>
        <w:top w:val="none" w:sz="0" w:space="0" w:color="auto"/>
        <w:left w:val="none" w:sz="0" w:space="0" w:color="auto"/>
        <w:bottom w:val="none" w:sz="0" w:space="0" w:color="auto"/>
        <w:right w:val="none" w:sz="0" w:space="0" w:color="auto"/>
      </w:divBdr>
    </w:div>
    <w:div w:id="1286081517">
      <w:bodyDiv w:val="1"/>
      <w:marLeft w:val="0"/>
      <w:marRight w:val="0"/>
      <w:marTop w:val="0"/>
      <w:marBottom w:val="0"/>
      <w:divBdr>
        <w:top w:val="none" w:sz="0" w:space="0" w:color="auto"/>
        <w:left w:val="none" w:sz="0" w:space="0" w:color="auto"/>
        <w:bottom w:val="none" w:sz="0" w:space="0" w:color="auto"/>
        <w:right w:val="none" w:sz="0" w:space="0" w:color="auto"/>
      </w:divBdr>
    </w:div>
    <w:div w:id="1291863662">
      <w:bodyDiv w:val="1"/>
      <w:marLeft w:val="0"/>
      <w:marRight w:val="0"/>
      <w:marTop w:val="0"/>
      <w:marBottom w:val="0"/>
      <w:divBdr>
        <w:top w:val="none" w:sz="0" w:space="0" w:color="auto"/>
        <w:left w:val="none" w:sz="0" w:space="0" w:color="auto"/>
        <w:bottom w:val="none" w:sz="0" w:space="0" w:color="auto"/>
        <w:right w:val="none" w:sz="0" w:space="0" w:color="auto"/>
      </w:divBdr>
    </w:div>
    <w:div w:id="1353536643">
      <w:bodyDiv w:val="1"/>
      <w:marLeft w:val="0"/>
      <w:marRight w:val="0"/>
      <w:marTop w:val="0"/>
      <w:marBottom w:val="0"/>
      <w:divBdr>
        <w:top w:val="none" w:sz="0" w:space="0" w:color="auto"/>
        <w:left w:val="none" w:sz="0" w:space="0" w:color="auto"/>
        <w:bottom w:val="none" w:sz="0" w:space="0" w:color="auto"/>
        <w:right w:val="none" w:sz="0" w:space="0" w:color="auto"/>
      </w:divBdr>
    </w:div>
    <w:div w:id="1377898436">
      <w:bodyDiv w:val="1"/>
      <w:marLeft w:val="0"/>
      <w:marRight w:val="0"/>
      <w:marTop w:val="0"/>
      <w:marBottom w:val="0"/>
      <w:divBdr>
        <w:top w:val="none" w:sz="0" w:space="0" w:color="auto"/>
        <w:left w:val="none" w:sz="0" w:space="0" w:color="auto"/>
        <w:bottom w:val="none" w:sz="0" w:space="0" w:color="auto"/>
        <w:right w:val="none" w:sz="0" w:space="0" w:color="auto"/>
      </w:divBdr>
    </w:div>
    <w:div w:id="1419906366">
      <w:bodyDiv w:val="1"/>
      <w:marLeft w:val="0"/>
      <w:marRight w:val="0"/>
      <w:marTop w:val="0"/>
      <w:marBottom w:val="0"/>
      <w:divBdr>
        <w:top w:val="none" w:sz="0" w:space="0" w:color="auto"/>
        <w:left w:val="none" w:sz="0" w:space="0" w:color="auto"/>
        <w:bottom w:val="none" w:sz="0" w:space="0" w:color="auto"/>
        <w:right w:val="none" w:sz="0" w:space="0" w:color="auto"/>
      </w:divBdr>
    </w:div>
    <w:div w:id="1599481481">
      <w:bodyDiv w:val="1"/>
      <w:marLeft w:val="0"/>
      <w:marRight w:val="0"/>
      <w:marTop w:val="0"/>
      <w:marBottom w:val="0"/>
      <w:divBdr>
        <w:top w:val="none" w:sz="0" w:space="0" w:color="auto"/>
        <w:left w:val="none" w:sz="0" w:space="0" w:color="auto"/>
        <w:bottom w:val="none" w:sz="0" w:space="0" w:color="auto"/>
        <w:right w:val="none" w:sz="0" w:space="0" w:color="auto"/>
      </w:divBdr>
    </w:div>
    <w:div w:id="1681465858">
      <w:bodyDiv w:val="1"/>
      <w:marLeft w:val="0"/>
      <w:marRight w:val="0"/>
      <w:marTop w:val="0"/>
      <w:marBottom w:val="0"/>
      <w:divBdr>
        <w:top w:val="none" w:sz="0" w:space="0" w:color="auto"/>
        <w:left w:val="none" w:sz="0" w:space="0" w:color="auto"/>
        <w:bottom w:val="none" w:sz="0" w:space="0" w:color="auto"/>
        <w:right w:val="none" w:sz="0" w:space="0" w:color="auto"/>
      </w:divBdr>
    </w:div>
    <w:div w:id="1724016181">
      <w:bodyDiv w:val="1"/>
      <w:marLeft w:val="0"/>
      <w:marRight w:val="0"/>
      <w:marTop w:val="0"/>
      <w:marBottom w:val="0"/>
      <w:divBdr>
        <w:top w:val="none" w:sz="0" w:space="0" w:color="auto"/>
        <w:left w:val="none" w:sz="0" w:space="0" w:color="auto"/>
        <w:bottom w:val="none" w:sz="0" w:space="0" w:color="auto"/>
        <w:right w:val="none" w:sz="0" w:space="0" w:color="auto"/>
      </w:divBdr>
    </w:div>
    <w:div w:id="1733891562">
      <w:bodyDiv w:val="1"/>
      <w:marLeft w:val="0"/>
      <w:marRight w:val="0"/>
      <w:marTop w:val="0"/>
      <w:marBottom w:val="0"/>
      <w:divBdr>
        <w:top w:val="none" w:sz="0" w:space="0" w:color="auto"/>
        <w:left w:val="none" w:sz="0" w:space="0" w:color="auto"/>
        <w:bottom w:val="none" w:sz="0" w:space="0" w:color="auto"/>
        <w:right w:val="none" w:sz="0" w:space="0" w:color="auto"/>
      </w:divBdr>
    </w:div>
    <w:div w:id="1774546598">
      <w:bodyDiv w:val="1"/>
      <w:marLeft w:val="0"/>
      <w:marRight w:val="0"/>
      <w:marTop w:val="0"/>
      <w:marBottom w:val="0"/>
      <w:divBdr>
        <w:top w:val="none" w:sz="0" w:space="0" w:color="auto"/>
        <w:left w:val="none" w:sz="0" w:space="0" w:color="auto"/>
        <w:bottom w:val="none" w:sz="0" w:space="0" w:color="auto"/>
        <w:right w:val="none" w:sz="0" w:space="0" w:color="auto"/>
      </w:divBdr>
    </w:div>
    <w:div w:id="1802770436">
      <w:bodyDiv w:val="1"/>
      <w:marLeft w:val="0"/>
      <w:marRight w:val="0"/>
      <w:marTop w:val="0"/>
      <w:marBottom w:val="0"/>
      <w:divBdr>
        <w:top w:val="none" w:sz="0" w:space="0" w:color="auto"/>
        <w:left w:val="none" w:sz="0" w:space="0" w:color="auto"/>
        <w:bottom w:val="none" w:sz="0" w:space="0" w:color="auto"/>
        <w:right w:val="none" w:sz="0" w:space="0" w:color="auto"/>
      </w:divBdr>
    </w:div>
    <w:div w:id="1890678121">
      <w:bodyDiv w:val="1"/>
      <w:marLeft w:val="0"/>
      <w:marRight w:val="0"/>
      <w:marTop w:val="0"/>
      <w:marBottom w:val="0"/>
      <w:divBdr>
        <w:top w:val="none" w:sz="0" w:space="0" w:color="auto"/>
        <w:left w:val="none" w:sz="0" w:space="0" w:color="auto"/>
        <w:bottom w:val="none" w:sz="0" w:space="0" w:color="auto"/>
        <w:right w:val="none" w:sz="0" w:space="0" w:color="auto"/>
      </w:divBdr>
    </w:div>
    <w:div w:id="206733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r-project.org"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4056D-0475-42C5-853D-10AE0AC37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3128</Words>
  <Characters>17833</Characters>
  <Application>Microsoft Office Word</Application>
  <DocSecurity>0</DocSecurity>
  <Lines>148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Halvorsen</dc:creator>
  <cp:keywords/>
  <dc:description/>
  <cp:lastModifiedBy>Peter Halvorsen</cp:lastModifiedBy>
  <cp:revision>5</cp:revision>
  <cp:lastPrinted>2025-01-29T06:47:00Z</cp:lastPrinted>
  <dcterms:created xsi:type="dcterms:W3CDTF">2025-06-17T14:55:00Z</dcterms:created>
  <dcterms:modified xsi:type="dcterms:W3CDTF">2025-06-17T15:08:00Z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id="OkRobJJ8"/&gt;&lt;style id="http://www.zotero.org/styles/intensive-care-medicine"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y fmtid="{D5CDD505-2E9C-101B-9397-08002B2CF9AE}" pid="4" name="GrammarlyDocumentId">
    <vt:lpwstr>d160d199a0e911a022f28f3f59db6759489b80431473157178cc7a52aa3b18a8</vt:lpwstr>
  </property>
</Properties>
</file>