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F2912" w14:textId="5118E7BB" w:rsidR="00530FBA" w:rsidRPr="006F54BF" w:rsidRDefault="006F54BF">
      <w:pPr>
        <w:rPr>
          <w:b/>
          <w:bCs/>
        </w:rPr>
      </w:pPr>
      <w:bookmarkStart w:id="0" w:name="_GoBack"/>
      <w:r w:rsidRPr="006F54BF">
        <w:rPr>
          <w:b/>
          <w:bCs/>
        </w:rPr>
        <w:t>Electronic Supplementary Material</w:t>
      </w:r>
    </w:p>
    <w:p w14:paraId="75777A18" w14:textId="77777777" w:rsidR="006F54BF" w:rsidRDefault="006F54BF"/>
    <w:p w14:paraId="2B4CA4B8" w14:textId="77777777" w:rsidR="006F54BF" w:rsidRPr="00AE0EBF" w:rsidRDefault="006F54BF" w:rsidP="006F54BF">
      <w:pPr>
        <w:rPr>
          <w:rFonts w:ascii="Calibri" w:hAnsi="Calibri" w:cs="Calibri"/>
          <w:b/>
          <w:bCs/>
        </w:rPr>
      </w:pPr>
      <w:r w:rsidRPr="00AE0EBF">
        <w:rPr>
          <w:rFonts w:ascii="Calibri" w:hAnsi="Calibri" w:cs="Calibri"/>
          <w:b/>
          <w:bCs/>
        </w:rPr>
        <w:t xml:space="preserve">Title: </w:t>
      </w:r>
      <w:r w:rsidRPr="00AE0EBF">
        <w:rPr>
          <w:rFonts w:ascii="Calibri" w:hAnsi="Calibri" w:cs="Calibri"/>
        </w:rPr>
        <w:t>Standard of Care for Rehabilitation in Critical Illness</w:t>
      </w:r>
    </w:p>
    <w:p w14:paraId="3657FAB0" w14:textId="77777777" w:rsidR="006F54BF" w:rsidRPr="00AE0EBF" w:rsidRDefault="006F54BF" w:rsidP="006F54BF">
      <w:pPr>
        <w:rPr>
          <w:rFonts w:ascii="Calibri" w:hAnsi="Calibri" w:cs="Calibri"/>
          <w:b/>
          <w:bCs/>
        </w:rPr>
      </w:pPr>
    </w:p>
    <w:p w14:paraId="68391597" w14:textId="7BDAA1A7" w:rsidR="006F54BF" w:rsidRPr="00AE0EBF" w:rsidRDefault="006F54BF" w:rsidP="006F54BF">
      <w:pPr>
        <w:rPr>
          <w:rFonts w:ascii="Calibri" w:hAnsi="Calibri" w:cs="Calibri"/>
        </w:rPr>
      </w:pPr>
      <w:r w:rsidRPr="00AE0EBF">
        <w:rPr>
          <w:rFonts w:ascii="Calibri" w:hAnsi="Calibri" w:cs="Calibri"/>
          <w:b/>
          <w:bCs/>
        </w:rPr>
        <w:t>Authors:</w:t>
      </w:r>
      <w:r w:rsidRPr="00AE0EBF">
        <w:rPr>
          <w:rFonts w:ascii="Calibri" w:hAnsi="Calibri" w:cs="Calibri"/>
        </w:rPr>
        <w:t xml:space="preserve"> Carol Hodgson</w:t>
      </w:r>
      <w:r w:rsidRPr="00AE0EBF">
        <w:rPr>
          <w:rFonts w:ascii="Calibri" w:hAnsi="Calibri" w:cs="Calibri"/>
          <w:vertAlign w:val="superscript"/>
        </w:rPr>
        <w:t>1,2,3,4</w:t>
      </w:r>
      <w:r w:rsidRPr="00AE0EBF">
        <w:rPr>
          <w:rFonts w:ascii="Calibri" w:hAnsi="Calibri" w:cs="Calibri"/>
        </w:rPr>
        <w:t xml:space="preserve"> (0000-0002-0114-276X), </w:t>
      </w:r>
      <w:r w:rsidR="000C6995">
        <w:rPr>
          <w:rFonts w:ascii="Calibri" w:hAnsi="Calibri" w:cs="Calibri"/>
        </w:rPr>
        <w:t>Elizabeth Ayre</w:t>
      </w:r>
      <w:r w:rsidR="000C6995" w:rsidRPr="0040012B">
        <w:rPr>
          <w:rFonts w:ascii="Calibri" w:hAnsi="Calibri" w:cs="Calibri"/>
          <w:vertAlign w:val="superscript"/>
        </w:rPr>
        <w:t>1</w:t>
      </w:r>
      <w:r w:rsidR="000C6995">
        <w:rPr>
          <w:rFonts w:ascii="Calibri" w:hAnsi="Calibri" w:cs="Calibri"/>
          <w:vertAlign w:val="superscript"/>
        </w:rPr>
        <w:t xml:space="preserve"> </w:t>
      </w:r>
      <w:r w:rsidR="000C6995" w:rsidRPr="0040012B">
        <w:rPr>
          <w:rFonts w:ascii="Calibri" w:hAnsi="Calibri" w:cs="Calibri"/>
        </w:rPr>
        <w:t>(</w:t>
      </w:r>
      <w:hyperlink r:id="rId5" w:history="1">
        <w:r w:rsidR="000C6995" w:rsidRPr="0040012B">
          <w:rPr>
            <w:rStyle w:val="Hyperlink"/>
            <w:rFonts w:ascii="Calibri" w:eastAsia="Times New Roman" w:hAnsi="Calibri" w:cs="Calibri"/>
            <w:color w:val="auto"/>
          </w:rPr>
          <w:t>0000-0002-0682-1569</w:t>
        </w:r>
      </w:hyperlink>
      <w:r w:rsidR="000C6995">
        <w:rPr>
          <w:rFonts w:ascii="Calibri" w:hAnsi="Calibri" w:cs="Calibri"/>
        </w:rPr>
        <w:t xml:space="preserve">), </w:t>
      </w:r>
      <w:r w:rsidR="000C6995" w:rsidRPr="00AE0EBF">
        <w:rPr>
          <w:rFonts w:ascii="Calibri" w:hAnsi="Calibri" w:cs="Calibri"/>
        </w:rPr>
        <w:t>Tessa Broadley</w:t>
      </w:r>
      <w:r w:rsidR="000C6995" w:rsidRPr="00AE0EBF">
        <w:rPr>
          <w:rFonts w:ascii="Calibri" w:hAnsi="Calibri" w:cs="Calibri"/>
          <w:vertAlign w:val="superscript"/>
        </w:rPr>
        <w:t>1</w:t>
      </w:r>
      <w:r w:rsidR="000C6995" w:rsidRPr="00AE0EBF">
        <w:rPr>
          <w:rFonts w:ascii="Calibri" w:hAnsi="Calibri" w:cs="Calibri"/>
        </w:rPr>
        <w:t xml:space="preserve"> (</w:t>
      </w:r>
      <w:r w:rsidR="000C6995" w:rsidRPr="00EB46BC">
        <w:rPr>
          <w:rFonts w:ascii="Calibri" w:hAnsi="Calibri" w:cs="Calibri"/>
          <w:sz w:val="22"/>
          <w:szCs w:val="22"/>
        </w:rPr>
        <w:t>0000-0002-5555-0777</w:t>
      </w:r>
      <w:r w:rsidR="000C6995" w:rsidRPr="00EB46BC">
        <w:rPr>
          <w:rStyle w:val="Hyperlink"/>
          <w:rFonts w:ascii="Calibri" w:hAnsi="Calibri" w:cs="Calibri"/>
          <w:color w:val="auto"/>
          <w:sz w:val="22"/>
          <w:szCs w:val="22"/>
        </w:rPr>
        <w:t xml:space="preserve">), </w:t>
      </w:r>
      <w:r w:rsidRPr="00AE0EBF">
        <w:rPr>
          <w:rFonts w:ascii="Calibri" w:hAnsi="Calibri" w:cs="Calibri"/>
        </w:rPr>
        <w:t>Lisa Burry</w:t>
      </w:r>
      <w:r w:rsidRPr="00AE0EBF">
        <w:rPr>
          <w:rFonts w:ascii="Calibri" w:hAnsi="Calibri" w:cs="Calibri"/>
          <w:vertAlign w:val="superscript"/>
        </w:rPr>
        <w:t>5,6,7,8</w:t>
      </w:r>
      <w:r w:rsidRPr="00AE0EBF">
        <w:rPr>
          <w:rFonts w:ascii="Calibri" w:hAnsi="Calibri" w:cs="Calibri"/>
        </w:rPr>
        <w:t xml:space="preserve"> (0000-0002-6545-3890), Kelly Casey</w:t>
      </w:r>
      <w:r w:rsidRPr="00AE0EBF">
        <w:rPr>
          <w:rFonts w:ascii="Calibri" w:hAnsi="Calibri" w:cs="Calibri"/>
          <w:vertAlign w:val="superscript"/>
        </w:rPr>
        <w:t>9</w:t>
      </w:r>
      <w:r w:rsidRPr="00AE0EBF">
        <w:rPr>
          <w:rFonts w:ascii="Calibri" w:hAnsi="Calibri" w:cs="Calibri"/>
        </w:rPr>
        <w:t>, Craig Dale</w:t>
      </w:r>
      <w:r w:rsidRPr="00AE0EBF">
        <w:rPr>
          <w:rFonts w:ascii="Calibri" w:hAnsi="Calibri" w:cs="Calibri"/>
          <w:vertAlign w:val="superscript"/>
        </w:rPr>
        <w:t>10,11</w:t>
      </w:r>
      <w:r w:rsidRPr="00AE0EBF">
        <w:rPr>
          <w:rFonts w:ascii="Calibri" w:hAnsi="Calibri" w:cs="Calibri"/>
        </w:rPr>
        <w:t xml:space="preserve"> (0000-0002-5042-0332), Sabrina Eggmann</w:t>
      </w:r>
      <w:r w:rsidRPr="00AE0EBF">
        <w:rPr>
          <w:rFonts w:ascii="Calibri" w:hAnsi="Calibri" w:cs="Calibri"/>
          <w:vertAlign w:val="superscript"/>
        </w:rPr>
        <w:t>1,12</w:t>
      </w:r>
      <w:r>
        <w:rPr>
          <w:rFonts w:ascii="Calibri" w:hAnsi="Calibri" w:cs="Calibri"/>
          <w:vertAlign w:val="superscript"/>
        </w:rPr>
        <w:t>,13</w:t>
      </w:r>
      <w:r w:rsidRPr="00AE0EBF">
        <w:rPr>
          <w:rFonts w:ascii="Calibri" w:hAnsi="Calibri" w:cs="Calibri"/>
        </w:rPr>
        <w:t xml:space="preserve"> (0000-0002-7379-7343), Amy Freeman-Sanderson</w:t>
      </w:r>
      <w:r w:rsidRPr="00AE0EBF">
        <w:rPr>
          <w:rFonts w:ascii="Calibri" w:hAnsi="Calibri" w:cs="Calibri"/>
          <w:vertAlign w:val="superscript"/>
        </w:rPr>
        <w:t>1,14,15</w:t>
      </w:r>
      <w:r>
        <w:rPr>
          <w:rFonts w:ascii="Calibri" w:hAnsi="Calibri" w:cs="Calibri"/>
          <w:vertAlign w:val="superscript"/>
        </w:rPr>
        <w:t>,16</w:t>
      </w:r>
      <w:r w:rsidRPr="00AE0EBF">
        <w:rPr>
          <w:rFonts w:ascii="Calibri" w:hAnsi="Calibri" w:cs="Calibri"/>
        </w:rPr>
        <w:t xml:space="preserve"> (0000-0003-2161-6421), Michelle E Kho</w:t>
      </w:r>
      <w:r w:rsidRPr="00AE0EBF">
        <w:rPr>
          <w:rFonts w:ascii="Calibri" w:hAnsi="Calibri" w:cs="Calibri"/>
          <w:vertAlign w:val="superscript"/>
        </w:rPr>
        <w:t>17,18</w:t>
      </w:r>
      <w:r>
        <w:rPr>
          <w:rFonts w:ascii="Calibri" w:hAnsi="Calibri" w:cs="Calibri"/>
          <w:vertAlign w:val="superscript"/>
        </w:rPr>
        <w:t>.19</w:t>
      </w:r>
      <w:r w:rsidRPr="00AE0EBF">
        <w:rPr>
          <w:rFonts w:ascii="Calibri" w:hAnsi="Calibri" w:cs="Calibri"/>
        </w:rPr>
        <w:t xml:space="preserve"> (0000-0003-3170-031X), Michelle Paton</w:t>
      </w:r>
      <w:r w:rsidRPr="00AE0EBF">
        <w:rPr>
          <w:rFonts w:ascii="Calibri" w:hAnsi="Calibri" w:cs="Calibri"/>
          <w:vertAlign w:val="superscript"/>
        </w:rPr>
        <w:t>1,</w:t>
      </w:r>
      <w:r>
        <w:rPr>
          <w:rFonts w:ascii="Calibri" w:hAnsi="Calibri" w:cs="Calibri"/>
          <w:vertAlign w:val="superscript"/>
        </w:rPr>
        <w:t>20</w:t>
      </w:r>
      <w:r w:rsidRPr="00AE0EBF">
        <w:rPr>
          <w:rFonts w:ascii="Calibri" w:hAnsi="Calibri" w:cs="Calibri"/>
        </w:rPr>
        <w:t xml:space="preserve"> (0000-0001-6126-4753), Emma </w:t>
      </w:r>
      <w:r>
        <w:rPr>
          <w:rFonts w:ascii="Calibri" w:hAnsi="Calibri" w:cs="Calibri"/>
        </w:rPr>
        <w:t xml:space="preserve">J </w:t>
      </w:r>
      <w:r w:rsidRPr="00AE0EBF">
        <w:rPr>
          <w:rFonts w:ascii="Calibri" w:hAnsi="Calibri" w:cs="Calibri"/>
        </w:rPr>
        <w:t>Ridley</w:t>
      </w:r>
      <w:r w:rsidRPr="00AE0EBF">
        <w:rPr>
          <w:rFonts w:ascii="Calibri" w:hAnsi="Calibri" w:cs="Calibri"/>
          <w:vertAlign w:val="superscript"/>
        </w:rPr>
        <w:t>1,2</w:t>
      </w:r>
      <w:r>
        <w:rPr>
          <w:rFonts w:ascii="Calibri" w:hAnsi="Calibri" w:cs="Calibri"/>
          <w:vertAlign w:val="superscript"/>
        </w:rPr>
        <w:t>1</w:t>
      </w:r>
      <w:r w:rsidRPr="00AE0EBF">
        <w:rPr>
          <w:rFonts w:ascii="Calibri" w:hAnsi="Calibri" w:cs="Calibri"/>
        </w:rPr>
        <w:t>, Louise Rose</w:t>
      </w:r>
      <w:r w:rsidRPr="00AE0EBF">
        <w:rPr>
          <w:rFonts w:ascii="Calibri" w:hAnsi="Calibri" w:cs="Calibri"/>
          <w:vertAlign w:val="superscript"/>
        </w:rPr>
        <w:t>2</w:t>
      </w:r>
      <w:r>
        <w:rPr>
          <w:rFonts w:ascii="Calibri" w:hAnsi="Calibri" w:cs="Calibri"/>
          <w:vertAlign w:val="superscript"/>
        </w:rPr>
        <w:t>2</w:t>
      </w:r>
      <w:r w:rsidRPr="00AE0EBF">
        <w:rPr>
          <w:rFonts w:ascii="Calibri" w:hAnsi="Calibri" w:cs="Calibri"/>
        </w:rPr>
        <w:t xml:space="preserve"> (0000-0003-1700-3972), Stefan J Schaller</w:t>
      </w:r>
      <w:r w:rsidRPr="00AE0EBF">
        <w:rPr>
          <w:rFonts w:ascii="Calibri" w:hAnsi="Calibri" w:cs="Calibri"/>
          <w:vertAlign w:val="superscript"/>
        </w:rPr>
        <w:t>23</w:t>
      </w:r>
      <w:r>
        <w:rPr>
          <w:rFonts w:ascii="Calibri" w:hAnsi="Calibri" w:cs="Calibri"/>
          <w:vertAlign w:val="superscript"/>
        </w:rPr>
        <w:t>.24</w:t>
      </w:r>
      <w:r w:rsidRPr="00AE0EBF">
        <w:rPr>
          <w:rFonts w:ascii="Calibri" w:hAnsi="Calibri" w:cs="Calibri"/>
        </w:rPr>
        <w:t xml:space="preserve"> (0000-0002-6683-9584), , Margaret S. Herridge</w:t>
      </w:r>
      <w:r>
        <w:rPr>
          <w:rFonts w:ascii="Calibri" w:hAnsi="Calibri" w:cs="Calibri"/>
          <w:vertAlign w:val="superscript"/>
        </w:rPr>
        <w:t>8</w:t>
      </w:r>
      <w:r w:rsidRPr="00AE0EBF">
        <w:rPr>
          <w:rFonts w:ascii="Calibri" w:hAnsi="Calibri" w:cs="Calibri"/>
          <w:vertAlign w:val="superscript"/>
        </w:rPr>
        <w:t>,2</w:t>
      </w:r>
      <w:r>
        <w:rPr>
          <w:rFonts w:ascii="Calibri" w:hAnsi="Calibri" w:cs="Calibri"/>
          <w:vertAlign w:val="superscript"/>
        </w:rPr>
        <w:t>5,26</w:t>
      </w:r>
      <w:r w:rsidRPr="00AE0EBF">
        <w:rPr>
          <w:rFonts w:ascii="Calibri" w:hAnsi="Calibri" w:cs="Calibri"/>
        </w:rPr>
        <w:t xml:space="preserve"> (0000-0002-2903-1631)</w:t>
      </w:r>
    </w:p>
    <w:p w14:paraId="59A1B293" w14:textId="77777777" w:rsidR="006F54BF" w:rsidRDefault="006F54BF"/>
    <w:p w14:paraId="60F832E9" w14:textId="77777777" w:rsidR="006F54BF" w:rsidRDefault="006F54BF"/>
    <w:p w14:paraId="3C56A1BB" w14:textId="77777777" w:rsidR="003659D1" w:rsidRDefault="003659D1"/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AU"/>
          <w14:ligatures w14:val="standardContextual"/>
        </w:rPr>
        <w:id w:val="-36190405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91C74A2" w14:textId="586D01F2" w:rsidR="00116545" w:rsidRPr="00116545" w:rsidRDefault="00116545">
          <w:pPr>
            <w:pStyle w:val="TOCHeading"/>
            <w:rPr>
              <w:rFonts w:ascii="Calibri" w:hAnsi="Calibri" w:cs="Calibri"/>
              <w:b/>
              <w:bCs/>
              <w:color w:val="auto"/>
              <w:sz w:val="24"/>
              <w:szCs w:val="24"/>
            </w:rPr>
          </w:pPr>
          <w:r w:rsidRPr="00116545">
            <w:rPr>
              <w:rFonts w:ascii="Calibri" w:hAnsi="Calibri" w:cs="Calibri"/>
              <w:b/>
              <w:bCs/>
              <w:color w:val="auto"/>
              <w:sz w:val="24"/>
              <w:szCs w:val="24"/>
            </w:rPr>
            <w:t>Table of Contents</w:t>
          </w:r>
        </w:p>
        <w:p w14:paraId="772C8823" w14:textId="50B9C059" w:rsidR="00116545" w:rsidRDefault="00116545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837711" w:history="1">
            <w:r w:rsidRPr="00B841D5">
              <w:rPr>
                <w:rStyle w:val="Hyperlink"/>
                <w:noProof/>
              </w:rPr>
              <w:t>eTable 1: Tests of Strength and Physical Function in the ICU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FAC9E" w14:textId="617202C7" w:rsidR="00116545" w:rsidRDefault="0041124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22837712" w:history="1">
            <w:r w:rsidR="00116545" w:rsidRPr="00B841D5">
              <w:rPr>
                <w:rStyle w:val="Hyperlink"/>
                <w:noProof/>
              </w:rPr>
              <w:t>eTable 2. Strategies for Pressure Relief</w:t>
            </w:r>
            <w:r w:rsidR="00116545">
              <w:rPr>
                <w:noProof/>
                <w:webHidden/>
              </w:rPr>
              <w:tab/>
            </w:r>
            <w:r w:rsidR="00116545">
              <w:rPr>
                <w:noProof/>
                <w:webHidden/>
              </w:rPr>
              <w:fldChar w:fldCharType="begin"/>
            </w:r>
            <w:r w:rsidR="00116545">
              <w:rPr>
                <w:noProof/>
                <w:webHidden/>
              </w:rPr>
              <w:instrText xml:space="preserve"> PAGEREF _Toc222837712 \h </w:instrText>
            </w:r>
            <w:r w:rsidR="00116545">
              <w:rPr>
                <w:noProof/>
                <w:webHidden/>
              </w:rPr>
            </w:r>
            <w:r w:rsidR="00116545">
              <w:rPr>
                <w:noProof/>
                <w:webHidden/>
              </w:rPr>
              <w:fldChar w:fldCharType="separate"/>
            </w:r>
            <w:r w:rsidR="00116545">
              <w:rPr>
                <w:noProof/>
                <w:webHidden/>
              </w:rPr>
              <w:t>3</w:t>
            </w:r>
            <w:r w:rsidR="00116545">
              <w:rPr>
                <w:noProof/>
                <w:webHidden/>
              </w:rPr>
              <w:fldChar w:fldCharType="end"/>
            </w:r>
          </w:hyperlink>
        </w:p>
        <w:p w14:paraId="113DCD4B" w14:textId="17B5F9AF" w:rsidR="00116545" w:rsidRDefault="0041124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22837713" w:history="1">
            <w:r w:rsidR="00116545" w:rsidRPr="00B841D5">
              <w:rPr>
                <w:rStyle w:val="Hyperlink"/>
                <w:noProof/>
              </w:rPr>
              <w:t>Figure 3. Medication optimisation processes</w:t>
            </w:r>
            <w:r w:rsidR="00116545">
              <w:rPr>
                <w:noProof/>
                <w:webHidden/>
              </w:rPr>
              <w:tab/>
            </w:r>
            <w:r w:rsidR="00116545">
              <w:rPr>
                <w:noProof/>
                <w:webHidden/>
              </w:rPr>
              <w:fldChar w:fldCharType="begin"/>
            </w:r>
            <w:r w:rsidR="00116545">
              <w:rPr>
                <w:noProof/>
                <w:webHidden/>
              </w:rPr>
              <w:instrText xml:space="preserve"> PAGEREF _Toc222837713 \h </w:instrText>
            </w:r>
            <w:r w:rsidR="00116545">
              <w:rPr>
                <w:noProof/>
                <w:webHidden/>
              </w:rPr>
            </w:r>
            <w:r w:rsidR="00116545">
              <w:rPr>
                <w:noProof/>
                <w:webHidden/>
              </w:rPr>
              <w:fldChar w:fldCharType="separate"/>
            </w:r>
            <w:r w:rsidR="00116545">
              <w:rPr>
                <w:noProof/>
                <w:webHidden/>
              </w:rPr>
              <w:t>4</w:t>
            </w:r>
            <w:r w:rsidR="00116545">
              <w:rPr>
                <w:noProof/>
                <w:webHidden/>
              </w:rPr>
              <w:fldChar w:fldCharType="end"/>
            </w:r>
          </w:hyperlink>
        </w:p>
        <w:p w14:paraId="43B3455E" w14:textId="5C3BF7FA" w:rsidR="00116545" w:rsidRDefault="00116545">
          <w:r>
            <w:rPr>
              <w:b/>
              <w:bCs/>
              <w:noProof/>
            </w:rPr>
            <w:fldChar w:fldCharType="end"/>
          </w:r>
        </w:p>
      </w:sdtContent>
    </w:sdt>
    <w:p w14:paraId="1F02B9E3" w14:textId="77777777" w:rsidR="003659D1" w:rsidRDefault="003659D1"/>
    <w:p w14:paraId="4D5947BB" w14:textId="77777777" w:rsidR="003659D1" w:rsidRDefault="003659D1"/>
    <w:p w14:paraId="282299C9" w14:textId="77777777" w:rsidR="003659D1" w:rsidRDefault="003659D1"/>
    <w:p w14:paraId="0ADF3A77" w14:textId="77777777" w:rsidR="003659D1" w:rsidRDefault="003659D1"/>
    <w:p w14:paraId="1CCA894E" w14:textId="77777777" w:rsidR="003659D1" w:rsidRDefault="003659D1"/>
    <w:p w14:paraId="6C8DF217" w14:textId="77777777" w:rsidR="003659D1" w:rsidRDefault="003659D1"/>
    <w:p w14:paraId="76A8E5BE" w14:textId="77777777" w:rsidR="003659D1" w:rsidRDefault="003659D1"/>
    <w:p w14:paraId="5919959C" w14:textId="77777777" w:rsidR="003659D1" w:rsidRDefault="003659D1"/>
    <w:p w14:paraId="5D668675" w14:textId="77777777" w:rsidR="003659D1" w:rsidRDefault="003659D1"/>
    <w:p w14:paraId="777EB8C0" w14:textId="77777777" w:rsidR="003659D1" w:rsidRDefault="003659D1"/>
    <w:p w14:paraId="545A122A" w14:textId="77777777" w:rsidR="003659D1" w:rsidRDefault="003659D1"/>
    <w:p w14:paraId="7470569E" w14:textId="77777777" w:rsidR="003659D1" w:rsidRDefault="003659D1"/>
    <w:p w14:paraId="6BF385DA" w14:textId="77777777" w:rsidR="003659D1" w:rsidRDefault="003659D1"/>
    <w:p w14:paraId="564F68AC" w14:textId="77777777" w:rsidR="003659D1" w:rsidRDefault="003659D1"/>
    <w:p w14:paraId="320A526B" w14:textId="77777777" w:rsidR="003659D1" w:rsidRDefault="003659D1"/>
    <w:p w14:paraId="5238D1EC" w14:textId="77777777" w:rsidR="003659D1" w:rsidRDefault="003659D1"/>
    <w:p w14:paraId="13D3CBEA" w14:textId="77777777" w:rsidR="003659D1" w:rsidRDefault="003659D1"/>
    <w:p w14:paraId="75DA9C4B" w14:textId="77777777" w:rsidR="003659D1" w:rsidRDefault="003659D1"/>
    <w:p w14:paraId="5CAE1F40" w14:textId="77777777" w:rsidR="003659D1" w:rsidRDefault="003659D1"/>
    <w:p w14:paraId="3D2B9EC6" w14:textId="77777777" w:rsidR="003659D1" w:rsidRDefault="003659D1"/>
    <w:p w14:paraId="64A4A8BB" w14:textId="77777777" w:rsidR="003659D1" w:rsidRDefault="003659D1"/>
    <w:p w14:paraId="796FF173" w14:textId="77777777" w:rsidR="003659D1" w:rsidRDefault="003659D1"/>
    <w:p w14:paraId="3D5F86C3" w14:textId="77777777" w:rsidR="003659D1" w:rsidRDefault="003659D1"/>
    <w:p w14:paraId="6931B78F" w14:textId="77777777" w:rsidR="003659D1" w:rsidRDefault="003659D1"/>
    <w:p w14:paraId="2BC07555" w14:textId="77777777" w:rsidR="00140737" w:rsidRDefault="00140737" w:rsidP="00140737"/>
    <w:p w14:paraId="70D77C63" w14:textId="3DFB0AFE" w:rsidR="00044ED8" w:rsidRPr="00140737" w:rsidRDefault="00044ED8" w:rsidP="00116545">
      <w:pPr>
        <w:pStyle w:val="Heading1"/>
        <w:rPr>
          <w:b w:val="0"/>
        </w:rPr>
      </w:pPr>
      <w:bookmarkStart w:id="1" w:name="_Toc222837711"/>
      <w:proofErr w:type="spellStart"/>
      <w:r>
        <w:lastRenderedPageBreak/>
        <w:t>eT</w:t>
      </w:r>
      <w:r w:rsidRPr="00140737">
        <w:t>able</w:t>
      </w:r>
      <w:proofErr w:type="spellEnd"/>
      <w:r>
        <w:t xml:space="preserve"> 1</w:t>
      </w:r>
      <w:r w:rsidRPr="00140737">
        <w:t>: Tests of Strength and Physical Function in the ICU</w:t>
      </w:r>
      <w:bookmarkEnd w:id="1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"/>
        <w:gridCol w:w="1519"/>
        <w:gridCol w:w="1418"/>
        <w:gridCol w:w="1701"/>
        <w:gridCol w:w="1431"/>
        <w:gridCol w:w="1633"/>
      </w:tblGrid>
      <w:tr w:rsidR="00044ED8" w:rsidRPr="00140737" w14:paraId="46355334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hideMark/>
          </w:tcPr>
          <w:p w14:paraId="15CBE312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hideMark/>
          </w:tcPr>
          <w:p w14:paraId="49D2DBD1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Test / Measure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hideMark/>
          </w:tcPr>
          <w:p w14:paraId="3947B632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What It Assesses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hideMark/>
          </w:tcPr>
          <w:p w14:paraId="0F256AC4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Requirements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hideMark/>
          </w:tcPr>
          <w:p w14:paraId="297DA970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Strengths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hideMark/>
          </w:tcPr>
          <w:p w14:paraId="54D9E50F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Limitations</w:t>
            </w:r>
          </w:p>
        </w:tc>
      </w:tr>
      <w:tr w:rsidR="00044ED8" w:rsidRPr="00140737" w14:paraId="74D1CD9A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shd w:val="clear" w:color="auto" w:fill="F5F5F5"/>
            <w:hideMark/>
          </w:tcPr>
          <w:p w14:paraId="06C5DB2B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Volitional Strength</w:t>
            </w: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F75BBF6" w14:textId="068BC63F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MRC Sum Score</w:t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&lt;EndNote&gt;&lt;Cite&gt;&lt;Author&gt;Hermans&lt;/Author&gt;&lt;Year&gt;2012&lt;/Year&gt;&lt;RecNum&gt;86&lt;/RecNum&gt;&lt;DisplayText&gt;[1]&lt;/DisplayText&gt;&lt;record&gt;&lt;rec-number&gt;86&lt;/rec-number&gt;&lt;foreign-keys&gt;&lt;key app="EN" db-id="trepxz2w32fsf3effsn552aldvw95tvp5ddp" timestamp="1771905278"&gt;86&lt;/key&gt;&lt;/foreign-keys&gt;&lt;ref-type name="Journal Article"&gt;17&lt;/ref-type&gt;&lt;contributors&gt;&lt;authors&gt;&lt;author&gt;Hermans, Greet&lt;/author&gt;&lt;author&gt;Clerckx, Beatrickx&lt;/author&gt;&lt;author&gt;Vanhullebusch, Tine&lt;/author&gt;&lt;author&gt;Segers, Johan&lt;/author&gt;&lt;author&gt;Vanpee, Goele&lt;/author&gt;&lt;author&gt;Robbeets, Christophe&lt;/author&gt;&lt;author&gt;Casaer, Michael Paul&lt;/author&gt;&lt;author&gt;Wouters, Pieter&lt;/author&gt;&lt;author&gt;Gosselink, Rik&lt;/author&gt;&lt;author&gt;Van Den Berghe, Greet&lt;/author&gt;&lt;/authors&gt;&lt;/contributors&gt;&lt;titles&gt;&lt;title&gt;Interobserver agreement of medical research council sum-score and handgrip strength in the intensive care unit&lt;/title&gt;&lt;secondary-title&gt;Muscle &amp;amp; Nerve&lt;/secondary-title&gt;&lt;/titles&gt;&lt;periodical&gt;&lt;full-title&gt;Muscle &amp;amp; Nerve&lt;/full-title&gt;&lt;/periodical&gt;&lt;pages&gt;18-25&lt;/pages&gt;&lt;volume&gt;45&lt;/volume&gt;&lt;number&gt;1&lt;/number&gt;&lt;dates&gt;&lt;year&gt;2012&lt;/year&gt;&lt;/dates&gt;&lt;isbn&gt;0148-639X&lt;/isbn&gt;&lt;urls&gt;&lt;related-urls&gt;&lt;url&gt;https://onlinelibrary.wiley.com/doi/abs/10.1002/mus.22219&lt;/url&gt;&lt;/related-urls&gt;&lt;/urls&gt;&lt;electronic-resource-num&gt;https://doi.org/10.1002/mus.22219&lt;/electronic-resource-num&gt;&lt;/record&gt;&lt;/Cite&gt;&lt;/EndNote&gt;</w:instrText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[1]</w:t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12B8C72E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 xml:space="preserve">Global limb strength 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55BDD819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Awake, able to follow commands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F180D3F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Defines ICU-AW (&lt;48/60); easy to administer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08C125BF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Ceiling effects; not usable when sedated/delirious</w:t>
            </w:r>
          </w:p>
        </w:tc>
      </w:tr>
      <w:tr w:rsidR="00044ED8" w:rsidRPr="00140737" w14:paraId="0A52AB6F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2FC97625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5EC6442E" w14:textId="22D78A41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Handgrip Dynamometry</w:t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&lt;EndNote&gt;&lt;Cite&gt;&lt;Author&gt;Luna-Heredia&lt;/Author&gt;&lt;Year&gt;2005&lt;/Year&gt;&lt;RecNum&gt;85&lt;/RecNum&gt;&lt;DisplayText&gt;[2]&lt;/DisplayText&gt;&lt;record&gt;&lt;rec-number&gt;85&lt;/rec-number&gt;&lt;foreign-keys&gt;&lt;key app="EN" db-id="trepxz2w32fsf3effsn552aldvw95tvp5ddp" timestamp="1771904847"&gt;85&lt;/key&gt;&lt;/foreign-keys&gt;&lt;ref-type name="Journal Article"&gt;17&lt;/ref-type&gt;&lt;contributors&gt;&lt;authors&gt;&lt;author&gt;Luna-Heredia, Esther&lt;/author&gt;&lt;author&gt;Martín-Peña, Gonzalo&lt;/author&gt;&lt;author&gt;Ruiz-Galiana, Julián&lt;/author&gt;&lt;/authors&gt;&lt;/contributors&gt;&lt;titles&gt;&lt;title&gt;Handgrip dynamometry in healthy adults&lt;/title&gt;&lt;secondary-title&gt;Clinical Nutrition&lt;/secondary-title&gt;&lt;/titles&gt;&lt;periodical&gt;&lt;full-title&gt;Clinical Nutrition&lt;/full-title&gt;&lt;/periodical&gt;&lt;pages&gt;250-258&lt;/pages&gt;&lt;volume&gt;24&lt;/volume&gt;&lt;number&gt;2&lt;/number&gt;&lt;dates&gt;&lt;year&gt;2005&lt;/year&gt;&lt;/dates&gt;&lt;isbn&gt;0261-5614&lt;/isbn&gt;&lt;urls&gt;&lt;/urls&gt;&lt;/record&gt;&lt;/Cite&gt;&lt;/EndNote&gt;</w:instrText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[2]</w:t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77327146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Isometric grip strength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5307F17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Ability to hold device and follow instructions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10888E85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Quick, reliable, predictive of outcomes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1D02CC7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Affected by limb injury/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140737">
              <w:rPr>
                <w:rFonts w:ascii="Calibri" w:hAnsi="Calibri" w:cs="Calibri"/>
                <w:sz w:val="20"/>
                <w:szCs w:val="20"/>
              </w:rPr>
              <w:t>edema</w:t>
            </w:r>
          </w:p>
        </w:tc>
      </w:tr>
      <w:tr w:rsidR="00044ED8" w:rsidRPr="00140737" w14:paraId="1E4C2EE4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20876C56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0653DCC3" w14:textId="104DE518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Handheld </w:t>
            </w:r>
            <w:proofErr w:type="spellStart"/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Myometry</w:t>
            </w:r>
            <w:proofErr w:type="spellEnd"/>
            <w:r w:rsidR="005B225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5B225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&lt;EndNote&gt;&lt;Cite&gt;&lt;Author&gt;Van der Ploeg&lt;/Author&gt;&lt;Year&gt;1991&lt;/Year&gt;&lt;RecNum&gt;84&lt;/RecNum&gt;&lt;DisplayText&gt;[3]&lt;/DisplayText&gt;&lt;record&gt;&lt;rec-number&gt;84&lt;/rec-number&gt;&lt;foreign-keys&gt;&lt;key app="EN" db-id="trepxz2w32fsf3effsn552aldvw95tvp5ddp" timestamp="1771903344"&gt;84&lt;/key&gt;&lt;/foreign-keys&gt;&lt;ref-type name="Journal Article"&gt;17&lt;/ref-type&gt;&lt;contributors&gt;&lt;authors&gt;&lt;author&gt;Van der Ploeg, RJ&lt;/author&gt;&lt;author&gt;Fidler, V&lt;/author&gt;&lt;author&gt;Oosterhuis, HJ&lt;/author&gt;&lt;/authors&gt;&lt;/contributors&gt;&lt;titles&gt;&lt;title&gt;Hand-held myometry: reference values&lt;/title&gt;&lt;secondary-title&gt;Journal of Neurology, Neurosurgery &amp;amp; Psychiatry&lt;/secondary-title&gt;&lt;/titles&gt;&lt;periodical&gt;&lt;full-title&gt;Journal of Neurology, Neurosurgery &amp;amp; Psychiatry&lt;/full-title&gt;&lt;/periodical&gt;&lt;pages&gt;244-247&lt;/pages&gt;&lt;volume&gt;54&lt;/volume&gt;&lt;number&gt;3&lt;/number&gt;&lt;dates&gt;&lt;year&gt;1991&lt;/year&gt;&lt;/dates&gt;&lt;isbn&gt;0022-3050&lt;/isbn&gt;&lt;urls&gt;&lt;/urls&gt;&lt;/record&gt;&lt;/Cite&gt;&lt;/EndNote&gt;</w:instrText>
            </w:r>
            <w:r w:rsidR="005B225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[3]</w:t>
            </w:r>
            <w:r w:rsidR="005B225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5A48DD2F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Quantified isometric force of individual muscles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385A44B1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Cooperative patient; trained assessor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7A0A145D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More sensitive than MRC grades 4–5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FBC1A5C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Requires equipment; more time-consuming</w:t>
            </w:r>
          </w:p>
        </w:tc>
      </w:tr>
      <w:tr w:rsidR="00044ED8" w:rsidRPr="00140737" w14:paraId="6F435CC1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shd w:val="clear" w:color="auto" w:fill="F5F5F5"/>
            <w:hideMark/>
          </w:tcPr>
          <w:p w14:paraId="6BAF90DB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Functional Strength</w:t>
            </w: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49550BF5" w14:textId="43D25DC2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5x Sit-to-Stand (5xSTS)</w:t>
            </w:r>
            <w:r w:rsidR="005B225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5B225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&lt;EndNote&gt;&lt;Cite&gt;&lt;Author&gt;Csuka&lt;/Author&gt;&lt;Year&gt;1985&lt;/Year&gt;&lt;RecNum&gt;83&lt;/RecNum&gt;&lt;DisplayText&gt;[4]&lt;/DisplayText&gt;&lt;record&gt;&lt;rec-number&gt;83&lt;/rec-number&gt;&lt;foreign-keys&gt;&lt;key app="EN" db-id="trepxz2w32fsf3effsn552aldvw95tvp5ddp" timestamp="1771903048"&gt;83&lt;/key&gt;&lt;/foreign-keys&gt;&lt;ref-type name="Journal Article"&gt;17&lt;/ref-type&gt;&lt;contributors&gt;&lt;authors&gt;&lt;author&gt;Csuka, Maryellen&lt;/author&gt;&lt;author&gt;McCarty, Daniel J&lt;/author&gt;&lt;/authors&gt;&lt;/contributors&gt;&lt;titles&gt;&lt;title&gt;Simple method for measurement of lower extremity muscle strength&lt;/title&gt;&lt;secondary-title&gt;The American journal of medicine&lt;/secondary-title&gt;&lt;/titles&gt;&lt;periodical&gt;&lt;full-title&gt;The American journal of medicine&lt;/full-title&gt;&lt;/periodical&gt;&lt;pages&gt;77-81&lt;/pages&gt;&lt;volume&gt;78&lt;/volume&gt;&lt;number&gt;1&lt;/number&gt;&lt;dates&gt;&lt;year&gt;1985&lt;/year&gt;&lt;/dates&gt;&lt;isbn&gt;0002-9343&lt;/isbn&gt;&lt;urls&gt;&lt;/urls&gt;&lt;/record&gt;&lt;/Cite&gt;&lt;/EndNote&gt;</w:instrText>
            </w:r>
            <w:r w:rsidR="005B225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[4]</w:t>
            </w:r>
            <w:r w:rsidR="005B225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5EB88D25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Lower limb strength &amp; endurance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90BA7CB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Able to stand with/without aid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7F311166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Real-world relevance; highly responsive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18758386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Not usable in non</w:t>
            </w:r>
            <w:r w:rsidRPr="00140737">
              <w:rPr>
                <w:rFonts w:ascii="Calibri" w:hAnsi="Calibri" w:cs="Calibri"/>
                <w:sz w:val="20"/>
                <w:szCs w:val="20"/>
              </w:rPr>
              <w:noBreakHyphen/>
              <w:t>ambulatory patients</w:t>
            </w:r>
          </w:p>
        </w:tc>
      </w:tr>
      <w:tr w:rsidR="00044ED8" w:rsidRPr="00140737" w14:paraId="5EDEB625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064A5758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D058EC7" w14:textId="6D140623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PFIT-s (Physical Function in ICU Test–scored)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&lt;EndNote&gt;&lt;Cite&gt;&lt;Author&gt;Denehy&lt;/Author&gt;&lt;Year&gt;2013&lt;/Year&gt;&lt;RecNum&gt;82&lt;/RecNum&gt;&lt;DisplayText&gt;[5]&lt;/DisplayText&gt;&lt;record&gt;&lt;rec-number&gt;82&lt;/rec-number&gt;&lt;foreign-keys&gt;&lt;key app="EN" db-id="trepxz2w32fsf3effsn552aldvw95tvp5ddp" timestamp="1771901771"&gt;82&lt;/key&gt;&lt;/foreign-keys&gt;&lt;ref-type name="Journal Article"&gt;17&lt;/ref-type&gt;&lt;contributors&gt;&lt;authors&gt;&lt;author&gt;Denehy, Linda&lt;/author&gt;&lt;author&gt;de Morton, Natalie A&lt;/author&gt;&lt;author&gt;Skinner, Elizabeth H&lt;/author&gt;&lt;author&gt;Edbrooke, Lara&lt;/author&gt;&lt;author&gt;Haines, Kimberley&lt;/author&gt;&lt;author&gt;Warrillow, Stephen&lt;/author&gt;&lt;author&gt;Berney, Sue&lt;/author&gt;&lt;/authors&gt;&lt;/contributors&gt;&lt;titles&gt;&lt;title&gt;A physical function test for use in the intensive care unit: validity, responsiveness, and predictive utility of the physical function ICU test (scored)&lt;/title&gt;&lt;secondary-title&gt;Physical therapy&lt;/secondary-title&gt;&lt;/titles&gt;&lt;periodical&gt;&lt;full-title&gt;Physical Therapy&lt;/full-title&gt;&lt;/periodical&gt;&lt;pages&gt;1636-1645&lt;/pages&gt;&lt;volume&gt;93&lt;/volume&gt;&lt;number&gt;12&lt;/number&gt;&lt;dates&gt;&lt;year&gt;2013&lt;/year&gt;&lt;/dates&gt;&lt;isbn&gt;0031-9023&lt;/isbn&gt;&lt;urls&gt;&lt;/urls&gt;&lt;/record&gt;&lt;/Cite&gt;&lt;/EndNote&gt;</w:instrTex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[5]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094350E6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Strength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140737">
              <w:rPr>
                <w:rFonts w:ascii="Calibri" w:hAnsi="Calibri" w:cs="Calibri"/>
                <w:sz w:val="20"/>
                <w:szCs w:val="20"/>
              </w:rPr>
              <w:t>endurance, marching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76832A8B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Partial participation possible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21041008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ICU-validated; responsive early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33E7CE36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Some components not feasible in unstable patients</w:t>
            </w:r>
          </w:p>
        </w:tc>
      </w:tr>
      <w:tr w:rsidR="00044ED8" w:rsidRPr="00140737" w14:paraId="1E1E9BC5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20FEA30D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3C1FBFE" w14:textId="758DCE22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CPAx (Chelsea Critical Care Physical Assessment Tool)</w:t>
            </w:r>
            <w:r w:rsidR="00870F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70F9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&lt;EndNote&gt;&lt;Cite&gt;&lt;Author&gt;Corner&lt;/Author&gt;&lt;Year&gt;2013&lt;/Year&gt;&lt;RecNum&gt;77&lt;/RecNum&gt;&lt;DisplayText&gt;[6]&lt;/DisplayText&gt;&lt;record&gt;&lt;rec-number&gt;77&lt;/rec-number&gt;&lt;foreign-keys&gt;&lt;key app="EN" db-id="trepxz2w32fsf3effsn552aldvw95tvp5ddp" timestamp="1771900031"&gt;77&lt;/key&gt;&lt;/foreign-keys&gt;&lt;ref-type name="Journal Article"&gt;17&lt;/ref-type&gt;&lt;contributors&gt;&lt;authors&gt;&lt;author&gt;Corner, EJ&lt;/author&gt;&lt;author&gt;Wood, H&lt;/author&gt;&lt;author&gt;Englebretsen, C&lt;/author&gt;&lt;author&gt;Thomas, A&lt;/author&gt;&lt;author&gt;Grant, RL&lt;/author&gt;&lt;author&gt;Nikoletou, D&lt;/author&gt;&lt;author&gt;Soni, N&lt;/author&gt;&lt;/authors&gt;&lt;/contributors&gt;&lt;titles&gt;&lt;title&gt;The Chelsea critical care physical assessment tool (CPAx): validation of an innovative new tool to measure physical morbidity in the general adult critical care population; an observational proof-of-concept pilot study&lt;/title&gt;&lt;secondary-title&gt;Physiotherapy&lt;/secondary-title&gt;&lt;/titles&gt;&lt;periodical&gt;&lt;full-title&gt;Physiotherapy&lt;/full-title&gt;&lt;/periodical&gt;&lt;pages&gt;33-41&lt;/pages&gt;&lt;volume&gt;99&lt;/volume&gt;&lt;number&gt;1&lt;/number&gt;&lt;dates&gt;&lt;year&gt;2013&lt;/year&gt;&lt;/dates&gt;&lt;isbn&gt;0031-9406&lt;/isbn&gt;&lt;urls&gt;&lt;/urls&gt;&lt;/record&gt;&lt;/Cite&gt;&lt;/EndNote&gt;</w:instrText>
            </w:r>
            <w:r w:rsidR="00870F9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[6]</w:t>
            </w:r>
            <w:r w:rsidR="00870F9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23ED2A0C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Strength, respiratory function, mobility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5C72E1FA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Ability to participate; broad assessment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3E5428EF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 xml:space="preserve">Covers </w:t>
            </w:r>
            <w:proofErr w:type="spellStart"/>
            <w:r w:rsidRPr="00140737">
              <w:rPr>
                <w:rFonts w:ascii="Calibri" w:hAnsi="Calibri" w:cs="Calibri"/>
                <w:sz w:val="20"/>
                <w:szCs w:val="20"/>
              </w:rPr>
              <w:t>ICU→ward</w:t>
            </w:r>
            <w:proofErr w:type="spellEnd"/>
            <w:r w:rsidRPr="00140737">
              <w:rPr>
                <w:rFonts w:ascii="Calibri" w:hAnsi="Calibri" w:cs="Calibri"/>
                <w:sz w:val="20"/>
                <w:szCs w:val="20"/>
              </w:rPr>
              <w:t xml:space="preserve"> transitions; holistic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3DB32EFE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Requires training</w:t>
            </w:r>
          </w:p>
        </w:tc>
      </w:tr>
      <w:tr w:rsidR="00044ED8" w:rsidRPr="00140737" w14:paraId="66157F22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shd w:val="clear" w:color="auto" w:fill="F5F5F5"/>
            <w:hideMark/>
          </w:tcPr>
          <w:p w14:paraId="174A91B6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Mobility &amp; Physical Function Scores</w:t>
            </w: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22C4AEFD" w14:textId="44FE455C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ICU Mobility Scale (IMS)</w:t>
            </w:r>
            <w:r w:rsidR="00870F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70F9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&lt;EndNote&gt;&lt;Cite&gt;&lt;Author&gt;Hodgson&lt;/Author&gt;&lt;Year&gt;2014&lt;/Year&gt;&lt;RecNum&gt;78&lt;/RecNum&gt;&lt;DisplayText&gt;[7]&lt;/DisplayText&gt;&lt;record&gt;&lt;rec-number&gt;78&lt;/rec-number&gt;&lt;foreign-keys&gt;&lt;key app="EN" db-id="trepxz2w32fsf3effsn552aldvw95tvp5ddp" timestamp="1771900076"&gt;78&lt;/key&gt;&lt;/foreign-keys&gt;&lt;ref-type name="Journal Article"&gt;17&lt;/ref-type&gt;&lt;contributors&gt;&lt;authors&gt;&lt;author&gt;Hodgson, Carol&lt;/author&gt;&lt;author&gt;Needham, Dale&lt;/author&gt;&lt;author&gt;Haines, Kimberley&lt;/author&gt;&lt;author&gt;Bailey, Michael&lt;/author&gt;&lt;author&gt;Ward, Alison&lt;/author&gt;&lt;author&gt;Harrold, Megan&lt;/author&gt;&lt;author&gt;Young, Paul&lt;/author&gt;&lt;author&gt;Zanni, Jennifer&lt;/author&gt;&lt;author&gt;Buhr, Heidi&lt;/author&gt;&lt;author&gt;Higgins, Alisa&lt;/author&gt;&lt;/authors&gt;&lt;/contributors&gt;&lt;titles&gt;&lt;title&gt;Feasibility and inter-rater reliability of the ICU Mobility Scale&lt;/title&gt;&lt;secondary-title&gt;Heart &amp;amp; Lung&lt;/secondary-title&gt;&lt;/titles&gt;&lt;periodical&gt;&lt;full-title&gt;Heart &amp;amp; Lung&lt;/full-title&gt;&lt;/periodical&gt;&lt;pages&gt;19-24&lt;/pages&gt;&lt;volume&gt;43&lt;/volume&gt;&lt;number&gt;1&lt;/number&gt;&lt;dates&gt;&lt;year&gt;2014&lt;/year&gt;&lt;/dates&gt;&lt;isbn&gt;0147-9563&lt;/isbn&gt;&lt;urls&gt;&lt;/urls&gt;&lt;/record&gt;&lt;/Cite&gt;&lt;/EndNote&gt;</w:instrText>
            </w:r>
            <w:r w:rsidR="00870F9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[7]</w:t>
            </w:r>
            <w:r w:rsidR="00870F93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E79D867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 xml:space="preserve">Highest level of mobility on a 0–10 scale 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536FE5F9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Patient assessment via observation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06D6535C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 xml:space="preserve">Very quick; widely used;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valid and </w:t>
            </w:r>
            <w:r w:rsidRPr="00140737">
              <w:rPr>
                <w:rFonts w:ascii="Calibri" w:hAnsi="Calibri" w:cs="Calibri"/>
                <w:sz w:val="20"/>
                <w:szCs w:val="20"/>
              </w:rPr>
              <w:t>reliab</w:t>
            </w:r>
            <w:r>
              <w:rPr>
                <w:rFonts w:ascii="Calibri" w:hAnsi="Calibri" w:cs="Calibri"/>
                <w:sz w:val="20"/>
                <w:szCs w:val="20"/>
              </w:rPr>
              <w:t>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74891FD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Measures mobility level, not strength</w:t>
            </w:r>
          </w:p>
        </w:tc>
      </w:tr>
      <w:tr w:rsidR="00044ED8" w:rsidRPr="00140737" w14:paraId="3185C849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61BB2E97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4F73EA1" w14:textId="6FAA220C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FSS-ICU (Functional Status Score for the ICU)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&lt;EndNote&gt;&lt;Cite&gt;&lt;Author&gt;Thrush&lt;/Author&gt;&lt;Year&gt;2012&lt;/Year&gt;&lt;RecNum&gt;79&lt;/RecNum&gt;&lt;DisplayText&gt;[8]&lt;/DisplayText&gt;&lt;record&gt;&lt;rec-number&gt;79&lt;/rec-number&gt;&lt;foreign-keys&gt;&lt;key app="EN" db-id="trepxz2w32fsf3effsn552aldvw95tvp5ddp" timestamp="1771901251"&gt;79&lt;/key&gt;&lt;/foreign-keys&gt;&lt;ref-type name="Journal Article"&gt;17&lt;/ref-type&gt;&lt;contributors&gt;&lt;authors&gt;&lt;author&gt;Thrush, Aaron&lt;/author&gt;&lt;author&gt;Rozek, Melanie&lt;/author&gt;&lt;author&gt;Dekerlegand, Jennifer L.&lt;/author&gt;&lt;/authors&gt;&lt;/contributors&gt;&lt;titles&gt;&lt;title&gt;The Clinical Utility of the Functional Status Score for the Intensive Care Unit (FSS-ICU) at a Long-Term Acute Care Hospital: A Prospective Cohort Study&lt;/title&gt;&lt;secondary-title&gt;Physical Therapy&lt;/secondary-title&gt;&lt;/titles&gt;&lt;periodical&gt;&lt;full-title&gt;Physical Therapy&lt;/full-title&gt;&lt;/periodical&gt;&lt;pages&gt;1536-1545&lt;/pages&gt;&lt;volume&gt;92&lt;/volume&gt;&lt;number&gt;12&lt;/number&gt;&lt;dates&gt;&lt;year&gt;2012&lt;/year&gt;&lt;/dates&gt;&lt;isbn&gt;1538-6724&lt;/isbn&gt;&lt;urls&gt;&lt;related-urls&gt;&lt;url&gt;https://doi.org/10.2522/ptj.20110412&lt;/url&gt;&lt;/related-urls&gt;&lt;/urls&gt;&lt;electronic-resource-num&gt;10.2522/ptj.20110412&lt;/electronic-resource-num&gt;&lt;access-date&gt;2/24/2026&lt;/access-date&gt;&lt;/record&gt;&lt;/Cite&gt;&lt;/EndNote&gt;</w:instrTex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[8]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7C2A9647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5 mobility tasks scored 0–7 each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08D4224C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Requires patient participation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4D3484DE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Valid and </w:t>
            </w:r>
            <w:r w:rsidRPr="00140737">
              <w:rPr>
                <w:rFonts w:ascii="Calibri" w:hAnsi="Calibri" w:cs="Calibri"/>
                <w:sz w:val="20"/>
                <w:szCs w:val="20"/>
              </w:rPr>
              <w:t>reliab</w:t>
            </w:r>
            <w:r>
              <w:rPr>
                <w:rFonts w:ascii="Calibri" w:hAnsi="Calibri" w:cs="Calibri"/>
                <w:sz w:val="20"/>
                <w:szCs w:val="20"/>
              </w:rPr>
              <w:t>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72DA0885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More time-consuming than IMS</w:t>
            </w:r>
          </w:p>
        </w:tc>
      </w:tr>
      <w:tr w:rsidR="00044ED8" w:rsidRPr="00140737" w14:paraId="0C103A16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746156A2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554574F1" w14:textId="61524D0B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AM-PAC "6-Clicks" (Basic Mobility)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&lt;EndNote&gt;&lt;Cite&gt;&lt;Author&gt;Jette&lt;/Author&gt;&lt;Year&gt;2014&lt;/Year&gt;&lt;RecNum&gt;80&lt;/RecNum&gt;&lt;DisplayText&gt;[9]&lt;/DisplayText&gt;&lt;record&gt;&lt;rec-number&gt;80&lt;/rec-number&gt;&lt;foreign-keys&gt;&lt;key app="EN" db-id="trepxz2w32fsf3effsn552aldvw95tvp5ddp" timestamp="1771901635"&gt;80&lt;/key&gt;&lt;/foreign-keys&gt;&lt;ref-type name="Journal Article"&gt;17&lt;/ref-type&gt;&lt;contributors&gt;&lt;authors&gt;&lt;author&gt;Jette, Diane U&lt;/author&gt;&lt;author&gt;Stilphen, Mary&lt;/author&gt;&lt;author&gt;Ranganathan, Vinoth K&lt;/author&gt;&lt;author&gt;Passek, Sandra D&lt;/author&gt;&lt;author&gt;Frost, Frederick S&lt;/author&gt;&lt;author&gt;Jette, Alan M&lt;/author&gt;&lt;/authors&gt;&lt;/contributors&gt;&lt;titles&gt;&lt;title&gt;Validity of the AM-PAC “6-Clicks” inpatient daily activity and basic mobility short forms&lt;/title&gt;&lt;secondary-title&gt;Physical therapy&lt;/secondary-title&gt;&lt;/titles&gt;&lt;periodical&gt;&lt;full-title&gt;Physical Therapy&lt;/full-title&gt;&lt;/periodical&gt;&lt;pages&gt;379-391&lt;/pages&gt;&lt;volume&gt;94&lt;/volume&gt;&lt;number&gt;3&lt;/number&gt;&lt;dates&gt;&lt;year&gt;2014&lt;/year&gt;&lt;/dates&gt;&lt;isbn&gt;0031-9023&lt;/isbn&gt;&lt;urls&gt;&lt;/urls&gt;&lt;/record&gt;&lt;/Cite&gt;&lt;/EndNote&gt;</w:instrTex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[9]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4A43790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Tasks such as bed mobility, transfers, walking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0AF46C61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Short questionnaire for clinicians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5DEE6947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Predicts discharge needs; rapid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1E49B0CC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Not ICU-specific, relies on clinician judgment</w:t>
            </w:r>
          </w:p>
        </w:tc>
      </w:tr>
      <w:tr w:rsidR="00044ED8" w:rsidRPr="00140737" w14:paraId="407A6419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65910567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07892F17" w14:textId="768234D4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Perme</w:t>
            </w:r>
            <w:proofErr w:type="spellEnd"/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ICU Mobility Score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B49DA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ADDIN EN.CITE &lt;EndNote&gt;&lt;Cite&gt;&lt;Author&gt;Perme&lt;/Author&gt;&lt;Year&gt;2014&lt;/Year&gt;&lt;RecNum&gt;81&lt;/RecNum&gt;&lt;DisplayText&gt;[10]&lt;/DisplayText&gt;&lt;record&gt;&lt;rec-number&gt;81&lt;/rec-number&gt;&lt;foreign-keys&gt;&lt;key app="EN" db-id="trepxz2w32fsf3effsn552aldvw95tvp5ddp" timestamp="1771901682"&gt;81&lt;/key&gt;&lt;/foreign-keys&gt;&lt;ref-type name="Journal Article"&gt;17&lt;/ref-type&gt;&lt;contributors&gt;&lt;authors&gt;&lt;author&gt;Perme, Christiane&lt;/author&gt;&lt;author&gt;Nawa, Ricardo Kenji&lt;/author&gt;&lt;author&gt;Winkelman, Chris&lt;/author&gt;&lt;author&gt;Masud, Faisal&lt;/author&gt;&lt;/authors&gt;&lt;/contributors&gt;&lt;titles&gt;&lt;title&gt;A tool to assess mobility status in critically ill patients: the Perme Intensive Care Unit Mobility Score&lt;/title&gt;&lt;secondary-title&gt;Methodist DeBakey cardiovascular journal&lt;/secondary-title&gt;&lt;/titles&gt;&lt;periodical&gt;&lt;full-title&gt;Methodist DeBakey cardiovascular journal&lt;/full-title&gt;&lt;/periodical&gt;&lt;pages&gt;41&lt;/pages&gt;&lt;volume&gt;10&lt;/volume&gt;&lt;number&gt;1&lt;/number&gt;&lt;dates&gt;&lt;year&gt;2014&lt;/year&gt;&lt;/dates&gt;&lt;urls&gt;&lt;/urls&gt;&lt;/record&gt;&lt;/Cite&gt;&lt;/EndNote&gt;</w:instrTex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B49DA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[10]</w:t>
            </w:r>
            <w:r w:rsidR="00EC7E0A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34E043B2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</w:t>
            </w:r>
            <w:r w:rsidRPr="00140737">
              <w:rPr>
                <w:rFonts w:ascii="Calibri" w:hAnsi="Calibri" w:cs="Calibri"/>
                <w:sz w:val="20"/>
                <w:szCs w:val="20"/>
              </w:rPr>
              <w:t>obility milestones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1A91E24D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Patient participation + medical record review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9A36742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Captures both mobility and ICU-specific barriers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3CBD2D29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Slightly longer; requires training</w:t>
            </w:r>
          </w:p>
        </w:tc>
      </w:tr>
      <w:tr w:rsidR="00044ED8" w:rsidRPr="00140737" w14:paraId="31B9923C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shd w:val="clear" w:color="auto" w:fill="F5F5F5"/>
            <w:hideMark/>
          </w:tcPr>
          <w:p w14:paraId="325EE3A2" w14:textId="77777777" w:rsidR="00044ED8" w:rsidRPr="00140737" w:rsidRDefault="00044ED8" w:rsidP="00262A5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Non</w:t>
            </w: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noBreakHyphen/>
              <w:t>Volitional Strength</w:t>
            </w: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7D4F7B70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Peripheral Nerve Twitch Force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D3F83BA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Evoked muscle contraction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38AD6324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Nerve stimulator; monitoring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EC13D8F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Objective, usable even when sedated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06637CDB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Mostly research-based</w:t>
            </w:r>
          </w:p>
        </w:tc>
      </w:tr>
      <w:tr w:rsidR="00044ED8" w:rsidRPr="00140737" w14:paraId="46AC12CE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372BD5DF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27B8B031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Muscle Ultrasound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734C1C04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Muscle mass, architecture, wasting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49DBCBF3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Ultrasound machine; trained operator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102C04EB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 xml:space="preserve">Sensitive to early muscle loss; 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03C56478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 xml:space="preserve">Does </w:t>
            </w:r>
            <w:r w:rsidRPr="00140737">
              <w:rPr>
                <w:rFonts w:ascii="Calibri" w:hAnsi="Calibri" w:cs="Calibri"/>
                <w:i/>
                <w:iCs/>
                <w:sz w:val="20"/>
                <w:szCs w:val="20"/>
              </w:rPr>
              <w:t>not</w:t>
            </w:r>
            <w:r w:rsidRPr="00140737">
              <w:rPr>
                <w:rFonts w:ascii="Calibri" w:hAnsi="Calibri" w:cs="Calibri"/>
                <w:sz w:val="20"/>
                <w:szCs w:val="20"/>
              </w:rPr>
              <w:t xml:space="preserve"> measure strength directly</w:t>
            </w:r>
          </w:p>
        </w:tc>
      </w:tr>
      <w:tr w:rsidR="00044ED8" w:rsidRPr="00140737" w14:paraId="38DAD5BC" w14:textId="77777777" w:rsidTr="00262A52">
        <w:trPr>
          <w:tblCellSpacing w:w="15" w:type="dxa"/>
        </w:trPr>
        <w:tc>
          <w:tcPr>
            <w:tcW w:w="12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525A400D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6B581D0B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b/>
                <w:bCs/>
                <w:sz w:val="20"/>
                <w:szCs w:val="20"/>
              </w:rPr>
              <w:t>Electrical Impedance Myography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2E5F2589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Muscle quality &amp; atrophy risk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132FB9E3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Minimal patient engagement</w:t>
            </w:r>
          </w:p>
        </w:tc>
        <w:tc>
          <w:tcPr>
            <w:tcW w:w="1401" w:type="dxa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28FAE706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Quick, non-invasive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4" w:space="0" w:color="auto"/>
              <w:right w:val="single" w:sz="6" w:space="0" w:color="E6E6E6"/>
            </w:tcBorders>
            <w:hideMark/>
          </w:tcPr>
          <w:p w14:paraId="3C7D9571" w14:textId="77777777" w:rsidR="00044ED8" w:rsidRPr="00140737" w:rsidRDefault="00044ED8" w:rsidP="00262A52">
            <w:pPr>
              <w:rPr>
                <w:rFonts w:ascii="Calibri" w:hAnsi="Calibri" w:cs="Calibri"/>
                <w:sz w:val="20"/>
                <w:szCs w:val="20"/>
              </w:rPr>
            </w:pPr>
            <w:r w:rsidRPr="00140737">
              <w:rPr>
                <w:rFonts w:ascii="Calibri" w:hAnsi="Calibri" w:cs="Calibri"/>
                <w:sz w:val="20"/>
                <w:szCs w:val="20"/>
              </w:rPr>
              <w:t>Limited normative ICU data</w:t>
            </w:r>
          </w:p>
        </w:tc>
      </w:tr>
    </w:tbl>
    <w:p w14:paraId="2F43CB55" w14:textId="77777777" w:rsidR="00140737" w:rsidRDefault="00140737"/>
    <w:p w14:paraId="03488C4F" w14:textId="4231E1A6" w:rsidR="003659D1" w:rsidRPr="00F353EF" w:rsidRDefault="00140737" w:rsidP="00116545">
      <w:pPr>
        <w:pStyle w:val="Heading1"/>
      </w:pPr>
      <w:bookmarkStart w:id="2" w:name="_Toc222837712"/>
      <w:proofErr w:type="spellStart"/>
      <w:r>
        <w:lastRenderedPageBreak/>
        <w:t>e</w:t>
      </w:r>
      <w:r w:rsidR="003659D1" w:rsidRPr="00F353EF">
        <w:t>Table</w:t>
      </w:r>
      <w:proofErr w:type="spellEnd"/>
      <w:r w:rsidR="003659D1" w:rsidRPr="00F353EF">
        <w:t xml:space="preserve"> 2</w:t>
      </w:r>
      <w:r w:rsidR="003659D1">
        <w:t>.</w:t>
      </w:r>
      <w:r w:rsidR="003659D1" w:rsidRPr="00F353EF">
        <w:t xml:space="preserve"> Strategies for Pressure Relief</w:t>
      </w:r>
      <w:bookmarkEnd w:id="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8"/>
        <w:gridCol w:w="2131"/>
        <w:gridCol w:w="2135"/>
        <w:gridCol w:w="3252"/>
      </w:tblGrid>
      <w:tr w:rsidR="003659D1" w:rsidRPr="00ED2668" w14:paraId="34BB7423" w14:textId="77777777" w:rsidTr="00371848">
        <w:tc>
          <w:tcPr>
            <w:tcW w:w="7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13B740A" w14:textId="77777777" w:rsidR="003659D1" w:rsidRPr="00F353EF" w:rsidRDefault="003659D1" w:rsidP="00371848">
            <w:pPr>
              <w:rPr>
                <w:rFonts w:ascii="Calibri" w:hAnsi="Calibri" w:cs="Calibri"/>
                <w:b/>
                <w:bCs/>
                <w:lang w:val="en-AU"/>
              </w:rPr>
            </w:pPr>
            <w:r w:rsidRPr="00F353EF">
              <w:rPr>
                <w:rFonts w:ascii="Calibri" w:hAnsi="Calibri" w:cs="Calibri"/>
                <w:b/>
                <w:bCs/>
              </w:rPr>
              <w:t>Strategy</w:t>
            </w:r>
          </w:p>
        </w:tc>
        <w:tc>
          <w:tcPr>
            <w:tcW w:w="121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DF6619" w14:textId="77777777" w:rsidR="003659D1" w:rsidRPr="00F353EF" w:rsidRDefault="003659D1" w:rsidP="00371848">
            <w:pPr>
              <w:rPr>
                <w:rFonts w:ascii="Calibri" w:hAnsi="Calibri" w:cs="Calibri"/>
                <w:b/>
                <w:bCs/>
                <w:lang w:val="en-AU"/>
              </w:rPr>
            </w:pPr>
            <w:r w:rsidRPr="00F353EF">
              <w:rPr>
                <w:rFonts w:ascii="Calibri" w:hAnsi="Calibri" w:cs="Calibri"/>
                <w:b/>
                <w:bCs/>
              </w:rPr>
              <w:t xml:space="preserve">Indication </w:t>
            </w:r>
          </w:p>
        </w:tc>
        <w:tc>
          <w:tcPr>
            <w:tcW w:w="12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5C9BFC" w14:textId="77777777" w:rsidR="003659D1" w:rsidRPr="00F353EF" w:rsidRDefault="003659D1" w:rsidP="00371848">
            <w:pPr>
              <w:rPr>
                <w:rFonts w:ascii="Calibri" w:hAnsi="Calibri" w:cs="Calibri"/>
                <w:b/>
                <w:bCs/>
                <w:lang w:val="en-AU"/>
              </w:rPr>
            </w:pPr>
            <w:r w:rsidRPr="00F353EF">
              <w:rPr>
                <w:rFonts w:ascii="Calibri" w:hAnsi="Calibri" w:cs="Calibri"/>
                <w:b/>
                <w:bCs/>
              </w:rPr>
              <w:t>Intervention</w:t>
            </w:r>
          </w:p>
        </w:tc>
        <w:tc>
          <w:tcPr>
            <w:tcW w:w="18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D8D04A" w14:textId="77777777" w:rsidR="003659D1" w:rsidRPr="00F353EF" w:rsidRDefault="003659D1" w:rsidP="00371848">
            <w:pPr>
              <w:rPr>
                <w:rFonts w:ascii="Calibri" w:hAnsi="Calibri" w:cs="Calibri"/>
                <w:b/>
                <w:bCs/>
                <w:lang w:val="en-AU"/>
              </w:rPr>
            </w:pPr>
            <w:r w:rsidRPr="00F353EF">
              <w:rPr>
                <w:rFonts w:ascii="Calibri" w:hAnsi="Calibri" w:cs="Calibri"/>
                <w:b/>
                <w:bCs/>
              </w:rPr>
              <w:t>Considerations</w:t>
            </w:r>
          </w:p>
        </w:tc>
      </w:tr>
      <w:tr w:rsidR="003659D1" w:rsidRPr="00ED2668" w14:paraId="551C1411" w14:textId="77777777" w:rsidTr="00371848">
        <w:tc>
          <w:tcPr>
            <w:tcW w:w="72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663209C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General principles</w:t>
            </w:r>
          </w:p>
        </w:tc>
        <w:tc>
          <w:tcPr>
            <w:tcW w:w="1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3E6B57E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Prevention </w:t>
            </w:r>
          </w:p>
        </w:tc>
        <w:tc>
          <w:tcPr>
            <w:tcW w:w="121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4CDA525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See specific strategies below</w:t>
            </w:r>
          </w:p>
        </w:tc>
        <w:tc>
          <w:tcPr>
            <w:tcW w:w="183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0457EBF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Check skin at least daily, consider wrinkles and sheer of linens, identify hot spots (pain, redness, bruising, oedema, mottled or boggy skin) </w:t>
            </w:r>
          </w:p>
        </w:tc>
      </w:tr>
      <w:tr w:rsidR="003659D1" w:rsidRPr="00ED2668" w14:paraId="34468BAB" w14:textId="77777777" w:rsidTr="00371848"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AB03C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Prophylaxis 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7C264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Prevention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952F0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Sacral and heel dressings, consistent skin checks, repositioning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FAE83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Check skin at least daily, check for wrinkles in the dressing, skin tears</w:t>
            </w:r>
          </w:p>
        </w:tc>
      </w:tr>
      <w:tr w:rsidR="003659D1" w:rsidRPr="00ED2668" w14:paraId="2A8B4712" w14:textId="77777777" w:rsidTr="00371848"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8DBD1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Head Positioning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59958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Attention to back of head and face, neck tightness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8BC8D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Rolled sheets, towels, fluidized positioners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66987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Maintain head at midline to engage with environment</w:t>
            </w:r>
          </w:p>
        </w:tc>
      </w:tr>
      <w:tr w:rsidR="003659D1" w:rsidRPr="00ED2668" w14:paraId="7EAC82C3" w14:textId="77777777" w:rsidTr="00371848"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24E03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Trunk Positioning in bed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7A613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Attention to sacrum, back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B10B5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Bolster, wedge, recline, tilt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C8F26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Consider anti-slip material to prevent from sliding down in bed</w:t>
            </w:r>
          </w:p>
        </w:tc>
      </w:tr>
      <w:tr w:rsidR="003659D1" w:rsidRPr="00ED2668" w14:paraId="4A0F05E5" w14:textId="77777777" w:rsidTr="00371848"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18181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Prone Positioning 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205B6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Attention to vulnerable areas including anterior surface area including face, nipples, dorsum hands and feet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1D469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Support under anterior ankles, off-load breasts, foam positioners at chest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E89F2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Care with repositioning, avoid shoulder subluxation when rolling or overextension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(for example, </w:t>
            </w:r>
            <w:r w:rsidRPr="00F353EF">
              <w:rPr>
                <w:rFonts w:ascii="Calibri" w:hAnsi="Calibri" w:cs="Calibri"/>
                <w:sz w:val="20"/>
                <w:szCs w:val="20"/>
              </w:rPr>
              <w:t>in swimmers’ position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659D1" w:rsidRPr="00ED2668" w14:paraId="1F3310AD" w14:textId="77777777" w:rsidTr="00371848"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1FB22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Trunk Positioning in chair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C1221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Prevention or off-loading sacral wound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06077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Recline, tilt, custom cut or waffle cushion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1A567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Consider gel, foam cushions, crosshatch cutting for pressure relief, wound cut outs</w:t>
            </w:r>
          </w:p>
        </w:tc>
      </w:tr>
      <w:tr w:rsidR="003659D1" w:rsidRPr="00ED2668" w14:paraId="43BA4F08" w14:textId="77777777" w:rsidTr="00371848"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36F6E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Limb Positioning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67360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Attention to external rotation of hips, extension of elbows and fingers 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50E5A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Elevation, range of motion, lateral knee/hip rolled sheet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482C9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Full support under proximal limb to ensure heels are completely contact free from bed. Add pillow/wedge at foot of bed against plantar surface of foot to prevent plantar flexion contracture.</w:t>
            </w:r>
          </w:p>
        </w:tc>
      </w:tr>
      <w:tr w:rsidR="003659D1" w:rsidRPr="00ED2668" w14:paraId="1871B6DF" w14:textId="77777777" w:rsidTr="00371848"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6C30A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Functional mobility 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54E5F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Positional changes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C5008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Rolling, long-sitting in bed, sitting at the edge of the bed, transferring out of bed to a chair or wheelchair or multifunctional positioning aid. 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6FB40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Consider safe patient handling and positioning equipment such as a tilt bed/chair. </w:t>
            </w:r>
          </w:p>
        </w:tc>
      </w:tr>
      <w:tr w:rsidR="003659D1" w:rsidRPr="00ED2668" w14:paraId="16D0593A" w14:textId="77777777" w:rsidTr="00371848"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13CC9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Prefabricated Splinting 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5D891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Risk of contracture, skin breakdown, need for protection for wound/bony prominences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1FB94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Palm protector, resting hand, </w:t>
            </w:r>
            <w:proofErr w:type="spellStart"/>
            <w:r w:rsidRPr="00F353EF">
              <w:rPr>
                <w:rFonts w:ascii="Calibri" w:hAnsi="Calibri" w:cs="Calibri"/>
                <w:sz w:val="20"/>
                <w:szCs w:val="20"/>
              </w:rPr>
              <w:t>multipodus</w:t>
            </w:r>
            <w:proofErr w:type="spellEnd"/>
            <w:r w:rsidRPr="00F353EF">
              <w:rPr>
                <w:rFonts w:ascii="Calibri" w:hAnsi="Calibri" w:cs="Calibri"/>
                <w:sz w:val="20"/>
                <w:szCs w:val="20"/>
              </w:rPr>
              <w:t xml:space="preserve"> boot, soft off-loading boot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D52DA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Schedule time in and out of splints, alternate 1 boot between right and left foot</w:t>
            </w:r>
          </w:p>
        </w:tc>
      </w:tr>
      <w:tr w:rsidR="003659D1" w:rsidRPr="00ED2668" w14:paraId="6DB1479C" w14:textId="77777777" w:rsidTr="00371848">
        <w:tc>
          <w:tcPr>
            <w:tcW w:w="72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1FBCC5A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Custom Splinting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3DB8112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Risk of contracture, skin breakdown, need for protection for wound/bony prominences, wound vac, flap, partial amputation, contracture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6F36A5A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Cut out, blow out, accommodating </w:t>
            </w:r>
          </w:p>
        </w:tc>
        <w:tc>
          <w:tcPr>
            <w:tcW w:w="183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343DE3A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Measure and stage wound, avoid splint or strapping across wound, pad, blow out for bony prominences. Ambulation with wound/amputation may need custom AFO and walking shoe.</w:t>
            </w:r>
          </w:p>
        </w:tc>
      </w:tr>
      <w:tr w:rsidR="003659D1" w:rsidRPr="00ED2668" w14:paraId="2604D991" w14:textId="77777777" w:rsidTr="00371848">
        <w:tc>
          <w:tcPr>
            <w:tcW w:w="7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5152521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121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3E4DC3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Nursing, care team, caregivers</w:t>
            </w:r>
          </w:p>
        </w:tc>
        <w:tc>
          <w:tcPr>
            <w:tcW w:w="12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3A0577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>Position and splinting schedule changes, timing, duration, and frequenc</w:t>
            </w:r>
            <w:r>
              <w:rPr>
                <w:rFonts w:ascii="Calibri" w:hAnsi="Calibri" w:cs="Calibri"/>
                <w:sz w:val="20"/>
                <w:szCs w:val="20"/>
              </w:rPr>
              <w:t>y</w:t>
            </w:r>
          </w:p>
        </w:tc>
        <w:tc>
          <w:tcPr>
            <w:tcW w:w="18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F04E9E" w14:textId="77777777" w:rsidR="003659D1" w:rsidRPr="00F353EF" w:rsidRDefault="003659D1" w:rsidP="00371848">
            <w:pPr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F353EF">
              <w:rPr>
                <w:rFonts w:ascii="Calibri" w:hAnsi="Calibri" w:cs="Calibri"/>
                <w:sz w:val="20"/>
                <w:szCs w:val="20"/>
              </w:rPr>
              <w:t xml:space="preserve">Simplicity with scheduling, consider with nursing cares </w:t>
            </w:r>
          </w:p>
        </w:tc>
      </w:tr>
    </w:tbl>
    <w:p w14:paraId="231B652C" w14:textId="77777777" w:rsidR="003659D1" w:rsidRDefault="003659D1" w:rsidP="003659D1">
      <w:pPr>
        <w:rPr>
          <w:rFonts w:ascii="Calibri" w:hAnsi="Calibri" w:cs="Calibri"/>
          <w:sz w:val="10"/>
          <w:szCs w:val="10"/>
        </w:rPr>
      </w:pPr>
    </w:p>
    <w:p w14:paraId="6D050620" w14:textId="09191C49" w:rsidR="003659D1" w:rsidRDefault="003659D1" w:rsidP="003659D1">
      <w:pPr>
        <w:rPr>
          <w:rFonts w:ascii="Calibri" w:hAnsi="Calibri" w:cs="Calibri"/>
          <w:sz w:val="10"/>
          <w:szCs w:val="10"/>
        </w:rPr>
      </w:pPr>
    </w:p>
    <w:p w14:paraId="74C8DBDA" w14:textId="71063FE5" w:rsidR="003659D1" w:rsidRDefault="003659D1" w:rsidP="003659D1">
      <w:pPr>
        <w:rPr>
          <w:rFonts w:ascii="Calibri" w:hAnsi="Calibri" w:cs="Calibri"/>
          <w:sz w:val="10"/>
          <w:szCs w:val="10"/>
        </w:rPr>
      </w:pPr>
    </w:p>
    <w:p w14:paraId="58A73F7E" w14:textId="1D88A212" w:rsidR="003659D1" w:rsidRDefault="003659D1" w:rsidP="003659D1">
      <w:pPr>
        <w:rPr>
          <w:rFonts w:ascii="Calibri" w:hAnsi="Calibri" w:cs="Calibri"/>
          <w:sz w:val="10"/>
          <w:szCs w:val="10"/>
        </w:rPr>
      </w:pPr>
    </w:p>
    <w:p w14:paraId="233BA402" w14:textId="3302F11A" w:rsidR="003659D1" w:rsidRDefault="003659D1" w:rsidP="003659D1">
      <w:pPr>
        <w:rPr>
          <w:rFonts w:ascii="Calibri" w:hAnsi="Calibri" w:cs="Calibri"/>
          <w:sz w:val="10"/>
          <w:szCs w:val="10"/>
        </w:rPr>
      </w:pPr>
    </w:p>
    <w:p w14:paraId="420FB565" w14:textId="5EB48C9A" w:rsidR="003659D1" w:rsidRDefault="003659D1" w:rsidP="003659D1">
      <w:pPr>
        <w:rPr>
          <w:rFonts w:ascii="Calibri" w:hAnsi="Calibri" w:cs="Calibri"/>
          <w:sz w:val="10"/>
          <w:szCs w:val="10"/>
        </w:rPr>
      </w:pPr>
    </w:p>
    <w:p w14:paraId="6FAEC745" w14:textId="6ABFD9CE" w:rsidR="003659D1" w:rsidRDefault="003659D1" w:rsidP="003659D1">
      <w:pPr>
        <w:rPr>
          <w:rFonts w:ascii="Calibri" w:hAnsi="Calibri" w:cs="Calibri"/>
          <w:sz w:val="10"/>
          <w:szCs w:val="10"/>
        </w:rPr>
      </w:pPr>
    </w:p>
    <w:p w14:paraId="1F1F8B45" w14:textId="5B72DEC3" w:rsidR="003659D1" w:rsidRDefault="003659D1" w:rsidP="003659D1">
      <w:pPr>
        <w:rPr>
          <w:rFonts w:ascii="Calibri" w:hAnsi="Calibri" w:cs="Calibri"/>
          <w:sz w:val="10"/>
          <w:szCs w:val="10"/>
        </w:rPr>
      </w:pPr>
    </w:p>
    <w:p w14:paraId="182E8A72" w14:textId="559AACF2" w:rsidR="003659D1" w:rsidRDefault="003659D1" w:rsidP="003659D1">
      <w:pPr>
        <w:rPr>
          <w:rFonts w:ascii="Calibri" w:hAnsi="Calibri" w:cs="Calibri"/>
          <w:sz w:val="10"/>
          <w:szCs w:val="10"/>
        </w:rPr>
      </w:pPr>
    </w:p>
    <w:p w14:paraId="18253F9E" w14:textId="72B1FE92" w:rsidR="000C6995" w:rsidRDefault="000C6995" w:rsidP="003659D1">
      <w:pPr>
        <w:rPr>
          <w:rFonts w:ascii="Calibri" w:hAnsi="Calibri" w:cs="Calibri"/>
        </w:rPr>
      </w:pPr>
    </w:p>
    <w:p w14:paraId="53B7366D" w14:textId="318025BE" w:rsidR="000C6995" w:rsidRDefault="00116545" w:rsidP="003659D1">
      <w:pPr>
        <w:rPr>
          <w:rFonts w:ascii="Calibri" w:hAnsi="Calibri" w:cs="Calibri"/>
        </w:rPr>
      </w:pPr>
      <w:r w:rsidRPr="000E1886">
        <w:rPr>
          <w:rFonts w:ascii="Calibri" w:hAnsi="Calibri" w:cs="Calibri"/>
          <w:noProof/>
          <w:sz w:val="10"/>
          <w:szCs w:val="10"/>
          <w:lang w:val="en-IN" w:eastAsia="en-IN"/>
        </w:rPr>
        <w:drawing>
          <wp:anchor distT="0" distB="0" distL="114300" distR="114300" simplePos="0" relativeHeight="251658240" behindDoc="1" locked="0" layoutInCell="1" allowOverlap="1" wp14:anchorId="02512322" wp14:editId="2D6EB01C">
            <wp:simplePos x="0" y="0"/>
            <wp:positionH relativeFrom="column">
              <wp:posOffset>476250</wp:posOffset>
            </wp:positionH>
            <wp:positionV relativeFrom="paragraph">
              <wp:posOffset>80010</wp:posOffset>
            </wp:positionV>
            <wp:extent cx="4772025" cy="5469255"/>
            <wp:effectExtent l="0" t="0" r="9525" b="0"/>
            <wp:wrapSquare wrapText="bothSides"/>
            <wp:docPr id="408737660" name="Picture 1" descr="A diagram of medical c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37660" name="Picture 1" descr="A diagram of medical car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46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C54A8" w14:textId="77777777" w:rsidR="000C6995" w:rsidRDefault="000C6995" w:rsidP="003659D1">
      <w:pPr>
        <w:rPr>
          <w:rFonts w:ascii="Calibri" w:hAnsi="Calibri" w:cs="Calibri"/>
        </w:rPr>
      </w:pPr>
    </w:p>
    <w:p w14:paraId="32709CC3" w14:textId="77777777" w:rsidR="000C6995" w:rsidRDefault="000C6995" w:rsidP="003659D1">
      <w:pPr>
        <w:rPr>
          <w:rFonts w:ascii="Calibri" w:hAnsi="Calibri" w:cs="Calibri"/>
        </w:rPr>
      </w:pPr>
    </w:p>
    <w:p w14:paraId="571CC8A0" w14:textId="77777777" w:rsidR="000C6995" w:rsidRDefault="000C6995" w:rsidP="003659D1">
      <w:pPr>
        <w:rPr>
          <w:rFonts w:ascii="Calibri" w:hAnsi="Calibri" w:cs="Calibri"/>
        </w:rPr>
      </w:pPr>
    </w:p>
    <w:p w14:paraId="5024D65D" w14:textId="77777777" w:rsidR="000C6995" w:rsidRDefault="000C6995" w:rsidP="003659D1">
      <w:pPr>
        <w:rPr>
          <w:rFonts w:ascii="Calibri" w:hAnsi="Calibri" w:cs="Calibri"/>
        </w:rPr>
      </w:pPr>
    </w:p>
    <w:p w14:paraId="352A279C" w14:textId="77777777" w:rsidR="000C6995" w:rsidRDefault="000C6995" w:rsidP="003659D1">
      <w:pPr>
        <w:rPr>
          <w:rFonts w:ascii="Calibri" w:hAnsi="Calibri" w:cs="Calibri"/>
        </w:rPr>
      </w:pPr>
    </w:p>
    <w:p w14:paraId="4D84275D" w14:textId="77777777" w:rsidR="000C6995" w:rsidRDefault="000C6995" w:rsidP="003659D1">
      <w:pPr>
        <w:rPr>
          <w:rFonts w:ascii="Calibri" w:hAnsi="Calibri" w:cs="Calibri"/>
        </w:rPr>
      </w:pPr>
    </w:p>
    <w:p w14:paraId="77850A4A" w14:textId="77777777" w:rsidR="000C6995" w:rsidRDefault="000C6995" w:rsidP="003659D1">
      <w:pPr>
        <w:rPr>
          <w:rFonts w:ascii="Calibri" w:hAnsi="Calibri" w:cs="Calibri"/>
        </w:rPr>
      </w:pPr>
    </w:p>
    <w:p w14:paraId="0B1FDD9B" w14:textId="77777777" w:rsidR="000C6995" w:rsidRDefault="000C6995" w:rsidP="003659D1">
      <w:pPr>
        <w:rPr>
          <w:rFonts w:ascii="Calibri" w:hAnsi="Calibri" w:cs="Calibri"/>
        </w:rPr>
      </w:pPr>
    </w:p>
    <w:p w14:paraId="72B021E3" w14:textId="77777777" w:rsidR="000C6995" w:rsidRDefault="000C6995" w:rsidP="003659D1">
      <w:pPr>
        <w:rPr>
          <w:rFonts w:ascii="Calibri" w:hAnsi="Calibri" w:cs="Calibri"/>
        </w:rPr>
      </w:pPr>
    </w:p>
    <w:p w14:paraId="25C2599A" w14:textId="77777777" w:rsidR="000C6995" w:rsidRDefault="000C6995" w:rsidP="003659D1">
      <w:pPr>
        <w:rPr>
          <w:rFonts w:ascii="Calibri" w:hAnsi="Calibri" w:cs="Calibri"/>
        </w:rPr>
      </w:pPr>
    </w:p>
    <w:p w14:paraId="521528D3" w14:textId="77777777" w:rsidR="000C6995" w:rsidRDefault="000C6995" w:rsidP="003659D1">
      <w:pPr>
        <w:rPr>
          <w:rFonts w:ascii="Calibri" w:hAnsi="Calibri" w:cs="Calibri"/>
        </w:rPr>
      </w:pPr>
    </w:p>
    <w:p w14:paraId="7D559247" w14:textId="77777777" w:rsidR="000C6995" w:rsidRDefault="000C6995" w:rsidP="003659D1">
      <w:pPr>
        <w:rPr>
          <w:rFonts w:ascii="Calibri" w:hAnsi="Calibri" w:cs="Calibri"/>
        </w:rPr>
      </w:pPr>
    </w:p>
    <w:p w14:paraId="78148008" w14:textId="77777777" w:rsidR="000C6995" w:rsidRDefault="000C6995" w:rsidP="003659D1">
      <w:pPr>
        <w:rPr>
          <w:rFonts w:ascii="Calibri" w:hAnsi="Calibri" w:cs="Calibri"/>
        </w:rPr>
      </w:pPr>
    </w:p>
    <w:p w14:paraId="13F49617" w14:textId="77777777" w:rsidR="000C6995" w:rsidRDefault="000C6995" w:rsidP="003659D1">
      <w:pPr>
        <w:rPr>
          <w:rFonts w:ascii="Calibri" w:hAnsi="Calibri" w:cs="Calibri"/>
        </w:rPr>
      </w:pPr>
    </w:p>
    <w:p w14:paraId="7F3E5DCE" w14:textId="77777777" w:rsidR="000C6995" w:rsidRDefault="000C6995" w:rsidP="003659D1">
      <w:pPr>
        <w:rPr>
          <w:rFonts w:ascii="Calibri" w:hAnsi="Calibri" w:cs="Calibri"/>
        </w:rPr>
      </w:pPr>
    </w:p>
    <w:p w14:paraId="4FE9B9B6" w14:textId="77777777" w:rsidR="000C6995" w:rsidRDefault="000C6995" w:rsidP="003659D1">
      <w:pPr>
        <w:rPr>
          <w:rFonts w:ascii="Calibri" w:hAnsi="Calibri" w:cs="Calibri"/>
        </w:rPr>
      </w:pPr>
    </w:p>
    <w:p w14:paraId="409B6AFF" w14:textId="77777777" w:rsidR="000C6995" w:rsidRDefault="000C6995" w:rsidP="003659D1">
      <w:pPr>
        <w:rPr>
          <w:rFonts w:ascii="Calibri" w:hAnsi="Calibri" w:cs="Calibri"/>
        </w:rPr>
      </w:pPr>
    </w:p>
    <w:p w14:paraId="1BFB5F06" w14:textId="77777777" w:rsidR="000C6995" w:rsidRDefault="000C6995" w:rsidP="003659D1">
      <w:pPr>
        <w:rPr>
          <w:rFonts w:ascii="Calibri" w:hAnsi="Calibri" w:cs="Calibri"/>
        </w:rPr>
      </w:pPr>
    </w:p>
    <w:p w14:paraId="64D3ED9A" w14:textId="77777777" w:rsidR="000C6995" w:rsidRDefault="000C6995" w:rsidP="003659D1">
      <w:pPr>
        <w:rPr>
          <w:rFonts w:ascii="Calibri" w:hAnsi="Calibri" w:cs="Calibri"/>
        </w:rPr>
      </w:pPr>
    </w:p>
    <w:p w14:paraId="44788881" w14:textId="77777777" w:rsidR="000C6995" w:rsidRDefault="000C6995" w:rsidP="003659D1">
      <w:pPr>
        <w:rPr>
          <w:rFonts w:ascii="Calibri" w:hAnsi="Calibri" w:cs="Calibri"/>
        </w:rPr>
      </w:pPr>
    </w:p>
    <w:p w14:paraId="7397AA7B" w14:textId="77777777" w:rsidR="000C6995" w:rsidRDefault="000C6995" w:rsidP="003659D1">
      <w:pPr>
        <w:rPr>
          <w:rFonts w:ascii="Calibri" w:hAnsi="Calibri" w:cs="Calibri"/>
        </w:rPr>
      </w:pPr>
    </w:p>
    <w:p w14:paraId="317E5B09" w14:textId="77777777" w:rsidR="000C6995" w:rsidRDefault="000C6995" w:rsidP="003659D1">
      <w:pPr>
        <w:rPr>
          <w:rFonts w:ascii="Calibri" w:hAnsi="Calibri" w:cs="Calibri"/>
        </w:rPr>
      </w:pPr>
    </w:p>
    <w:p w14:paraId="15389D75" w14:textId="77777777" w:rsidR="000C6995" w:rsidRDefault="000C6995" w:rsidP="003659D1">
      <w:pPr>
        <w:rPr>
          <w:rFonts w:ascii="Calibri" w:hAnsi="Calibri" w:cs="Calibri"/>
        </w:rPr>
      </w:pPr>
    </w:p>
    <w:p w14:paraId="0E2056C2" w14:textId="77777777" w:rsidR="000C6995" w:rsidRDefault="000C6995" w:rsidP="003659D1">
      <w:pPr>
        <w:rPr>
          <w:rFonts w:ascii="Calibri" w:hAnsi="Calibri" w:cs="Calibri"/>
        </w:rPr>
      </w:pPr>
    </w:p>
    <w:p w14:paraId="4F8B81A5" w14:textId="77777777" w:rsidR="000C6995" w:rsidRDefault="000C6995" w:rsidP="003659D1">
      <w:pPr>
        <w:rPr>
          <w:rFonts w:ascii="Calibri" w:hAnsi="Calibri" w:cs="Calibri"/>
        </w:rPr>
      </w:pPr>
    </w:p>
    <w:p w14:paraId="7FB95364" w14:textId="77777777" w:rsidR="00116545" w:rsidRDefault="00116545" w:rsidP="003659D1">
      <w:pPr>
        <w:rPr>
          <w:rFonts w:ascii="Calibri" w:hAnsi="Calibri" w:cs="Calibri"/>
        </w:rPr>
      </w:pPr>
    </w:p>
    <w:p w14:paraId="23716AAC" w14:textId="77777777" w:rsidR="00116545" w:rsidRDefault="00116545" w:rsidP="003659D1">
      <w:pPr>
        <w:rPr>
          <w:rFonts w:ascii="Calibri" w:hAnsi="Calibri" w:cs="Calibri"/>
        </w:rPr>
      </w:pPr>
    </w:p>
    <w:p w14:paraId="56E25656" w14:textId="77777777" w:rsidR="00116545" w:rsidRDefault="00116545" w:rsidP="003659D1">
      <w:pPr>
        <w:rPr>
          <w:rFonts w:ascii="Calibri" w:hAnsi="Calibri" w:cs="Calibri"/>
        </w:rPr>
      </w:pPr>
    </w:p>
    <w:p w14:paraId="1C9C451B" w14:textId="7FFD72D9" w:rsidR="003659D1" w:rsidRPr="000E1886" w:rsidRDefault="003C57D3" w:rsidP="00116545">
      <w:pPr>
        <w:pStyle w:val="Heading1"/>
        <w:jc w:val="center"/>
      </w:pPr>
      <w:bookmarkStart w:id="3" w:name="_Toc222837713"/>
      <w:proofErr w:type="spellStart"/>
      <w:r>
        <w:t>e</w:t>
      </w:r>
      <w:r w:rsidR="003659D1">
        <w:t>Figure</w:t>
      </w:r>
      <w:proofErr w:type="spellEnd"/>
      <w:r>
        <w:t xml:space="preserve"> 1</w:t>
      </w:r>
      <w:r w:rsidR="003659D1">
        <w:t>. Medication optimisation processes</w:t>
      </w:r>
      <w:bookmarkEnd w:id="3"/>
    </w:p>
    <w:p w14:paraId="7CF1DE4E" w14:textId="4416FB75" w:rsidR="00116545" w:rsidRDefault="00116545">
      <w:r>
        <w:br w:type="page"/>
      </w:r>
    </w:p>
    <w:p w14:paraId="40B985A8" w14:textId="271275E1" w:rsidR="00870F93" w:rsidRPr="00116545" w:rsidRDefault="00116545">
      <w:pPr>
        <w:rPr>
          <w:rFonts w:ascii="Calibri" w:hAnsi="Calibri" w:cs="Calibri"/>
          <w:b/>
          <w:bCs/>
        </w:rPr>
      </w:pPr>
      <w:r w:rsidRPr="00116545">
        <w:rPr>
          <w:rFonts w:ascii="Calibri" w:hAnsi="Calibri" w:cs="Calibri"/>
          <w:b/>
          <w:bCs/>
        </w:rPr>
        <w:lastRenderedPageBreak/>
        <w:t>References</w:t>
      </w:r>
    </w:p>
    <w:p w14:paraId="69A7E238" w14:textId="77777777" w:rsidR="00870F93" w:rsidRDefault="00870F93"/>
    <w:p w14:paraId="6DCB288A" w14:textId="4D98DCF2" w:rsidR="00AB49DA" w:rsidRPr="00AB49DA" w:rsidRDefault="00870F93" w:rsidP="00AB49DA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AB49DA" w:rsidRPr="00AB49DA">
        <w:t>1.</w:t>
      </w:r>
      <w:r w:rsidR="00AB49DA" w:rsidRPr="00AB49DA">
        <w:tab/>
        <w:t xml:space="preserve">Hermans, G., Clerckx, B., Vanhullebusch, T., Segers, J., Vanpee, G., Robbeets, C., . . . Van Den Berghe, G. 2012 Interobserver agreement of medical research council sum-score and handgrip strength in the intensive care unit. Muscle &amp; Nerve.45 1:18-25. </w:t>
      </w:r>
      <w:hyperlink r:id="rId7" w:history="1">
        <w:r w:rsidR="00AB49DA" w:rsidRPr="00AB49DA">
          <w:rPr>
            <w:rStyle w:val="Hyperlink"/>
          </w:rPr>
          <w:t>https://doi.org/10.1002/mus.22219</w:t>
        </w:r>
      </w:hyperlink>
    </w:p>
    <w:p w14:paraId="7F2313C3" w14:textId="77777777" w:rsidR="00AB49DA" w:rsidRPr="00AB49DA" w:rsidRDefault="00AB49DA" w:rsidP="00AB49DA">
      <w:pPr>
        <w:pStyle w:val="EndNoteBibliography"/>
        <w:ind w:left="720" w:hanging="720"/>
      </w:pPr>
      <w:r w:rsidRPr="00AB49DA">
        <w:t>2.</w:t>
      </w:r>
      <w:r w:rsidRPr="00AB49DA">
        <w:tab/>
        <w:t xml:space="preserve">Luna-Heredia, E., Martín-Peña, G., and Ruiz-Galiana, J. 2005 Handgrip dynamometry in healthy adults. Clinical Nutrition.24 2:250-258. </w:t>
      </w:r>
    </w:p>
    <w:p w14:paraId="3BB388F9" w14:textId="77777777" w:rsidR="00AB49DA" w:rsidRPr="00AB49DA" w:rsidRDefault="00AB49DA" w:rsidP="00AB49DA">
      <w:pPr>
        <w:pStyle w:val="EndNoteBibliography"/>
        <w:ind w:left="720" w:hanging="720"/>
      </w:pPr>
      <w:r w:rsidRPr="00AB49DA">
        <w:t>3.</w:t>
      </w:r>
      <w:r w:rsidRPr="00AB49DA">
        <w:tab/>
        <w:t xml:space="preserve">Van der Ploeg, R., Fidler, V., and Oosterhuis, H. 1991 Hand-held myometry: reference values. Journal of Neurology, Neurosurgery &amp; Psychiatry.54 3:244-247. </w:t>
      </w:r>
    </w:p>
    <w:p w14:paraId="51A36283" w14:textId="77777777" w:rsidR="00AB49DA" w:rsidRPr="00AB49DA" w:rsidRDefault="00AB49DA" w:rsidP="00AB49DA">
      <w:pPr>
        <w:pStyle w:val="EndNoteBibliography"/>
        <w:ind w:left="720" w:hanging="720"/>
      </w:pPr>
      <w:r w:rsidRPr="00AB49DA">
        <w:t>4.</w:t>
      </w:r>
      <w:r w:rsidRPr="00AB49DA">
        <w:tab/>
        <w:t xml:space="preserve">Csuka, M. and McCarty, D.J. 1985 Simple method for measurement of lower extremity muscle strength. The American journal of medicine.78 1:77-81. </w:t>
      </w:r>
    </w:p>
    <w:p w14:paraId="39DCFCE8" w14:textId="77777777" w:rsidR="00AB49DA" w:rsidRPr="00AB49DA" w:rsidRDefault="00AB49DA" w:rsidP="00AB49DA">
      <w:pPr>
        <w:pStyle w:val="EndNoteBibliography"/>
        <w:ind w:left="720" w:hanging="720"/>
      </w:pPr>
      <w:r w:rsidRPr="00AB49DA">
        <w:t>5.</w:t>
      </w:r>
      <w:r w:rsidRPr="00AB49DA">
        <w:tab/>
        <w:t xml:space="preserve">Denehy, L., de Morton, N.A., Skinner, E.H., Edbrooke, L., Haines, K., Warrillow, S., and Berney, S. 2013 A physical function test for use in the intensive care unit: validity, responsiveness, and predictive utility of the physical function ICU test (scored). Physical therapy.93 12:1636-1645. </w:t>
      </w:r>
    </w:p>
    <w:p w14:paraId="761F356D" w14:textId="77777777" w:rsidR="00AB49DA" w:rsidRPr="00AB49DA" w:rsidRDefault="00AB49DA" w:rsidP="00AB49DA">
      <w:pPr>
        <w:pStyle w:val="EndNoteBibliography"/>
        <w:ind w:left="720" w:hanging="720"/>
      </w:pPr>
      <w:r w:rsidRPr="00AB49DA">
        <w:t>6.</w:t>
      </w:r>
      <w:r w:rsidRPr="00AB49DA">
        <w:tab/>
        <w:t xml:space="preserve">Corner, E., Wood, H., Englebretsen, C., Thomas, A., Grant, R., Nikoletou, D., and Soni, N. 2013 The Chelsea critical care physical assessment tool (CPAx): validation of an innovative new tool to measure physical morbidity in the general adult critical care population; an observational proof-of-concept pilot study. Physiotherapy.99 1:33-41. </w:t>
      </w:r>
    </w:p>
    <w:p w14:paraId="4D9F379F" w14:textId="77777777" w:rsidR="00AB49DA" w:rsidRPr="00AB49DA" w:rsidRDefault="00AB49DA" w:rsidP="00AB49DA">
      <w:pPr>
        <w:pStyle w:val="EndNoteBibliography"/>
        <w:ind w:left="720" w:hanging="720"/>
      </w:pPr>
      <w:r w:rsidRPr="00AB49DA">
        <w:t>7.</w:t>
      </w:r>
      <w:r w:rsidRPr="00AB49DA">
        <w:tab/>
        <w:t xml:space="preserve">Hodgson, C., Needham, D., Haines, K., Bailey, M., Ward, A., Harrold, M., . . . Higgins, A. 2014 Feasibility and inter-rater reliability of the ICU Mobility Scale. Heart &amp; Lung.43 1:19-24. </w:t>
      </w:r>
    </w:p>
    <w:p w14:paraId="7E03DA00" w14:textId="77777777" w:rsidR="00AB49DA" w:rsidRPr="00AB49DA" w:rsidRDefault="00AB49DA" w:rsidP="00AB49DA">
      <w:pPr>
        <w:pStyle w:val="EndNoteBibliography"/>
        <w:ind w:left="720" w:hanging="720"/>
      </w:pPr>
      <w:r w:rsidRPr="00AB49DA">
        <w:t>8.</w:t>
      </w:r>
      <w:r w:rsidRPr="00AB49DA">
        <w:tab/>
        <w:t>Thrush, A., Rozek, M., and Dekerlegand, J.L. 2012 The Clinical Utility of the Functional Status Score for the Intensive Care Unit (FSS-ICU) at a Long-Term Acute Care Hospital: A Prospective Cohort Study. Physical Therapy.92 12:1536-1545. 10.2522/ptj.20110412</w:t>
      </w:r>
    </w:p>
    <w:p w14:paraId="35117393" w14:textId="77777777" w:rsidR="00AB49DA" w:rsidRPr="00AB49DA" w:rsidRDefault="00AB49DA" w:rsidP="00AB49DA">
      <w:pPr>
        <w:pStyle w:val="EndNoteBibliography"/>
        <w:ind w:left="720" w:hanging="720"/>
      </w:pPr>
      <w:r w:rsidRPr="00AB49DA">
        <w:t>9.</w:t>
      </w:r>
      <w:r w:rsidRPr="00AB49DA">
        <w:tab/>
        <w:t xml:space="preserve">Jette, D.U., Stilphen, M., Ranganathan, V.K., Passek, S.D., Frost, F.S., and Jette, A.M. 2014 Validity of the AM-PAC “6-Clicks” inpatient daily activity and basic mobility short forms. Physical therapy.94 3:379-391. </w:t>
      </w:r>
    </w:p>
    <w:p w14:paraId="7D4C497F" w14:textId="77777777" w:rsidR="00AB49DA" w:rsidRPr="00AB49DA" w:rsidRDefault="00AB49DA" w:rsidP="00AB49DA">
      <w:pPr>
        <w:pStyle w:val="EndNoteBibliography"/>
        <w:ind w:left="720" w:hanging="720"/>
      </w:pPr>
      <w:r w:rsidRPr="00AB49DA">
        <w:t>10.</w:t>
      </w:r>
      <w:r w:rsidRPr="00AB49DA">
        <w:tab/>
        <w:t xml:space="preserve">Perme, C., Nawa, R.K., Winkelman, C., and Masud, F. 2014 A tool to assess mobility status in critically ill patients: the Perme Intensive Care Unit Mobility Score. Methodist DeBakey cardiovascular journal.10 1:41. </w:t>
      </w:r>
    </w:p>
    <w:p w14:paraId="2AABDF7E" w14:textId="798BA52B" w:rsidR="003659D1" w:rsidRDefault="00870F93">
      <w:r>
        <w:fldChar w:fldCharType="end"/>
      </w:r>
      <w:bookmarkEnd w:id="0"/>
    </w:p>
    <w:sectPr w:rsidR="003659D1" w:rsidSect="00411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nsive Care Medicine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epxz2w32fsf3effsn552aldvw95tvp5ddp&quot;&gt;ICM Stds of Care Endnote&lt;record-ids&gt;&lt;item&gt;77&lt;/item&gt;&lt;item&gt;78&lt;/item&gt;&lt;item&gt;79&lt;/item&gt;&lt;item&gt;80&lt;/item&gt;&lt;item&gt;81&lt;/item&gt;&lt;item&gt;82&lt;/item&gt;&lt;item&gt;83&lt;/item&gt;&lt;item&gt;84&lt;/item&gt;&lt;item&gt;85&lt;/item&gt;&lt;item&gt;86&lt;/item&gt;&lt;/record-ids&gt;&lt;/item&gt;&lt;/Libraries&gt;"/>
  </w:docVars>
  <w:rsids>
    <w:rsidRoot w:val="006F54BF"/>
    <w:rsid w:val="0000440C"/>
    <w:rsid w:val="00010E7A"/>
    <w:rsid w:val="00044ED8"/>
    <w:rsid w:val="000A032B"/>
    <w:rsid w:val="000C6995"/>
    <w:rsid w:val="000F4F85"/>
    <w:rsid w:val="00116545"/>
    <w:rsid w:val="001214D8"/>
    <w:rsid w:val="00122F39"/>
    <w:rsid w:val="00140737"/>
    <w:rsid w:val="00147CF1"/>
    <w:rsid w:val="001608CD"/>
    <w:rsid w:val="002348C6"/>
    <w:rsid w:val="00262A52"/>
    <w:rsid w:val="00290E95"/>
    <w:rsid w:val="00336034"/>
    <w:rsid w:val="003477F6"/>
    <w:rsid w:val="003574EB"/>
    <w:rsid w:val="003659D1"/>
    <w:rsid w:val="003B2F90"/>
    <w:rsid w:val="003C57D3"/>
    <w:rsid w:val="003F6C0D"/>
    <w:rsid w:val="0041124D"/>
    <w:rsid w:val="004246D5"/>
    <w:rsid w:val="004369D9"/>
    <w:rsid w:val="004A71AA"/>
    <w:rsid w:val="004E79B6"/>
    <w:rsid w:val="00520514"/>
    <w:rsid w:val="00530FBA"/>
    <w:rsid w:val="00531929"/>
    <w:rsid w:val="00540D2B"/>
    <w:rsid w:val="00594C11"/>
    <w:rsid w:val="005B2252"/>
    <w:rsid w:val="005B2F1B"/>
    <w:rsid w:val="00631618"/>
    <w:rsid w:val="00676962"/>
    <w:rsid w:val="006B370A"/>
    <w:rsid w:val="006F54BF"/>
    <w:rsid w:val="00700F20"/>
    <w:rsid w:val="00703E2B"/>
    <w:rsid w:val="00725879"/>
    <w:rsid w:val="00752427"/>
    <w:rsid w:val="00784949"/>
    <w:rsid w:val="00795907"/>
    <w:rsid w:val="007A270C"/>
    <w:rsid w:val="0086040C"/>
    <w:rsid w:val="00870F93"/>
    <w:rsid w:val="00934F36"/>
    <w:rsid w:val="00966E4D"/>
    <w:rsid w:val="0099340B"/>
    <w:rsid w:val="009959E6"/>
    <w:rsid w:val="009E3364"/>
    <w:rsid w:val="00AB49DA"/>
    <w:rsid w:val="00B27834"/>
    <w:rsid w:val="00BA762C"/>
    <w:rsid w:val="00BC152C"/>
    <w:rsid w:val="00BD211C"/>
    <w:rsid w:val="00C02704"/>
    <w:rsid w:val="00C06384"/>
    <w:rsid w:val="00C522E6"/>
    <w:rsid w:val="00CE3A47"/>
    <w:rsid w:val="00CF76BA"/>
    <w:rsid w:val="00D34B6C"/>
    <w:rsid w:val="00DC4C0C"/>
    <w:rsid w:val="00E76348"/>
    <w:rsid w:val="00EB2DA7"/>
    <w:rsid w:val="00EB46BC"/>
    <w:rsid w:val="00EC47F8"/>
    <w:rsid w:val="00EC6DD0"/>
    <w:rsid w:val="00EC7E0A"/>
    <w:rsid w:val="00EF4CEB"/>
    <w:rsid w:val="00F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BAF1D"/>
  <w15:chartTrackingRefBased/>
  <w15:docId w15:val="{5D8D018B-E6F2-CA43-B2A2-CF096841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545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545"/>
    <w:rPr>
      <w:rFonts w:ascii="Calibri" w:eastAsiaTheme="majorEastAsia" w:hAnsi="Calibri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4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4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4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4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54B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659D1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44ED8"/>
  </w:style>
  <w:style w:type="character" w:styleId="CommentReference">
    <w:name w:val="annotation reference"/>
    <w:basedOn w:val="DefaultParagraphFont"/>
    <w:uiPriority w:val="99"/>
    <w:semiHidden/>
    <w:unhideWhenUsed/>
    <w:rsid w:val="000C6995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870F93"/>
    <w:pPr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0F93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70F93"/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70F93"/>
    <w:rPr>
      <w:rFonts w:ascii="Aptos" w:hAnsi="Aptos"/>
      <w:noProof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49D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116545"/>
    <w:pPr>
      <w:spacing w:before="240" w:after="0" w:line="259" w:lineRule="auto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16545"/>
    <w:pPr>
      <w:spacing w:after="10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34F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F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F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02/mus.2221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orcid.org/0000-0002-0682-15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AF85AB6-20A2-4F29-9AAC-88D141A4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Hodgson</dc:creator>
  <cp:keywords/>
  <dc:description/>
  <cp:lastModifiedBy>Lavanya G</cp:lastModifiedBy>
  <cp:revision>3</cp:revision>
  <dcterms:created xsi:type="dcterms:W3CDTF">2026-03-11T23:09:00Z</dcterms:created>
  <dcterms:modified xsi:type="dcterms:W3CDTF">2026-04-07T14:44:00Z</dcterms:modified>
</cp:coreProperties>
</file>