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FD9361" w14:textId="273D4FE4" w:rsidR="00EC037F" w:rsidRPr="00EC037F" w:rsidRDefault="00EC037F" w:rsidP="00EC037F">
      <w:pPr>
        <w:pStyle w:val="Heading3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bookmarkStart w:id="0" w:name="_GoBack"/>
      <w:bookmarkEnd w:id="0"/>
      <w:r w:rsidRPr="00EC037F">
        <w:rPr>
          <w:rFonts w:ascii="Times New Roman" w:hAnsi="Times New Roman" w:cs="Times New Roman"/>
          <w:b/>
          <w:bCs/>
          <w:color w:val="000000"/>
          <w:sz w:val="20"/>
          <w:szCs w:val="20"/>
        </w:rPr>
        <w:t>Supplemental Table 1</w:t>
      </w:r>
      <w:r w:rsidRPr="00EC037F">
        <w:rPr>
          <w:rStyle w:val="Strong"/>
          <w:rFonts w:ascii="Times New Roman" w:hAnsi="Times New Roman" w:cs="Times New Roman"/>
          <w:color w:val="000000"/>
          <w:sz w:val="20"/>
          <w:szCs w:val="20"/>
        </w:rPr>
        <w:t>. Conceptual distinction between acute encephalopathy, delirium, and coma</w:t>
      </w:r>
      <w:r w:rsidRPr="00EC037F">
        <w:rPr>
          <w:rStyle w:val="Strong"/>
          <w:rFonts w:ascii="Times New Roman" w:hAnsi="Times New Roman" w:cs="Times New Roman"/>
          <w:color w:val="000000"/>
          <w:sz w:val="20"/>
          <w:szCs w:val="20"/>
        </w:rPr>
        <w:fldChar w:fldCharType="begin">
          <w:fldData xml:space="preserve">PEVuZE5vdGU+PENpdGU+PEF1dGhvcj5PbGRoYW08L0F1dGhvcj48WWVhcj4yMDIwPC9ZZWFyPjxS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</w:fldData>
        </w:fldChar>
      </w:r>
      <w:r w:rsidRPr="00EC037F">
        <w:rPr>
          <w:rStyle w:val="Strong"/>
          <w:rFonts w:ascii="Times New Roman" w:hAnsi="Times New Roman" w:cs="Times New Roman"/>
          <w:color w:val="000000"/>
          <w:sz w:val="20"/>
          <w:szCs w:val="20"/>
        </w:rPr>
        <w:instrText xml:space="preserve"> ADDIN EN.CITE </w:instrText>
      </w:r>
      <w:r w:rsidRPr="00EC037F">
        <w:rPr>
          <w:rStyle w:val="Strong"/>
          <w:rFonts w:ascii="Times New Roman" w:hAnsi="Times New Roman" w:cs="Times New Roman"/>
          <w:color w:val="000000"/>
          <w:sz w:val="20"/>
          <w:szCs w:val="20"/>
        </w:rPr>
        <w:fldChar w:fldCharType="begin">
          <w:fldData xml:space="preserve">PEVuZE5vdGU+PENpdGU+PEF1dGhvcj5PbGRoYW08L0F1dGhvcj48WWVhcj4yMDIwPC9ZZWFyPjxS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</w:fldData>
        </w:fldChar>
      </w:r>
      <w:r w:rsidRPr="00EC037F">
        <w:rPr>
          <w:rStyle w:val="Strong"/>
          <w:rFonts w:ascii="Times New Roman" w:hAnsi="Times New Roman" w:cs="Times New Roman"/>
          <w:color w:val="000000"/>
          <w:sz w:val="20"/>
          <w:szCs w:val="20"/>
        </w:rPr>
        <w:instrText xml:space="preserve"> ADDIN EN.CITE.DATA </w:instrText>
      </w:r>
      <w:r w:rsidRPr="00EC037F">
        <w:rPr>
          <w:rStyle w:val="Strong"/>
          <w:rFonts w:ascii="Times New Roman" w:hAnsi="Times New Roman" w:cs="Times New Roman"/>
          <w:color w:val="000000"/>
          <w:sz w:val="20"/>
          <w:szCs w:val="20"/>
        </w:rPr>
      </w:r>
      <w:r w:rsidRPr="00EC037F">
        <w:rPr>
          <w:rStyle w:val="Strong"/>
          <w:rFonts w:ascii="Times New Roman" w:hAnsi="Times New Roman" w:cs="Times New Roman"/>
          <w:color w:val="000000"/>
          <w:sz w:val="20"/>
          <w:szCs w:val="20"/>
        </w:rPr>
        <w:fldChar w:fldCharType="end"/>
      </w:r>
      <w:r w:rsidRPr="00EC037F">
        <w:rPr>
          <w:rStyle w:val="Strong"/>
          <w:rFonts w:ascii="Times New Roman" w:hAnsi="Times New Roman" w:cs="Times New Roman"/>
          <w:color w:val="000000"/>
          <w:sz w:val="20"/>
          <w:szCs w:val="20"/>
        </w:rPr>
      </w:r>
      <w:r w:rsidRPr="00EC037F">
        <w:rPr>
          <w:rStyle w:val="Strong"/>
          <w:rFonts w:ascii="Times New Roman" w:hAnsi="Times New Roman" w:cs="Times New Roman"/>
          <w:color w:val="000000"/>
          <w:sz w:val="20"/>
          <w:szCs w:val="20"/>
        </w:rPr>
        <w:fldChar w:fldCharType="separate"/>
      </w:r>
      <w:r w:rsidRPr="00EC037F">
        <w:rPr>
          <w:rStyle w:val="Strong"/>
          <w:rFonts w:ascii="Times New Roman" w:hAnsi="Times New Roman" w:cs="Times New Roman"/>
          <w:noProof/>
          <w:color w:val="000000"/>
          <w:sz w:val="20"/>
          <w:szCs w:val="20"/>
          <w:vertAlign w:val="superscript"/>
        </w:rPr>
        <w:t>1,2</w:t>
      </w:r>
      <w:r w:rsidRPr="00EC037F">
        <w:rPr>
          <w:rStyle w:val="Strong"/>
          <w:rFonts w:ascii="Times New Roman" w:hAnsi="Times New Roman" w:cs="Times New Roman"/>
          <w:color w:val="000000"/>
          <w:sz w:val="20"/>
          <w:szCs w:val="20"/>
        </w:rPr>
        <w:fldChar w:fldCharType="end"/>
      </w:r>
    </w:p>
    <w:tbl>
      <w:tblPr>
        <w:tblStyle w:val="TableGrid"/>
        <w:tblW w:w="13966" w:type="dxa"/>
        <w:tblLook w:val="04A0" w:firstRow="1" w:lastRow="0" w:firstColumn="1" w:lastColumn="0" w:noHBand="0" w:noVBand="1"/>
      </w:tblPr>
      <w:tblGrid>
        <w:gridCol w:w="1834"/>
        <w:gridCol w:w="4165"/>
        <w:gridCol w:w="3273"/>
        <w:gridCol w:w="4694"/>
      </w:tblGrid>
      <w:tr w:rsidR="00EC037F" w:rsidRPr="00EC037F" w14:paraId="2F1F2F66" w14:textId="77777777" w:rsidTr="006651F9">
        <w:trPr>
          <w:trHeight w:val="309"/>
        </w:trPr>
        <w:tc>
          <w:tcPr>
            <w:tcW w:w="1834" w:type="dxa"/>
            <w:shd w:val="clear" w:color="auto" w:fill="C1E4F5" w:themeFill="accent1" w:themeFillTint="33"/>
            <w:hideMark/>
          </w:tcPr>
          <w:p w14:paraId="180BB5D9" w14:textId="77777777" w:rsidR="00EC037F" w:rsidRPr="00EC037F" w:rsidRDefault="00EC037F" w:rsidP="006651F9">
            <w:pPr>
              <w:rPr>
                <w:b/>
                <w:bCs/>
                <w:sz w:val="20"/>
                <w:szCs w:val="20"/>
                <w:lang w:val="en-CA"/>
              </w:rPr>
            </w:pPr>
            <w:r w:rsidRPr="00EC037F">
              <w:rPr>
                <w:b/>
                <w:bCs/>
                <w:sz w:val="20"/>
                <w:szCs w:val="20"/>
                <w:lang w:val="en-CA"/>
              </w:rPr>
              <w:t>Feature</w:t>
            </w:r>
          </w:p>
        </w:tc>
        <w:tc>
          <w:tcPr>
            <w:tcW w:w="4165" w:type="dxa"/>
            <w:shd w:val="clear" w:color="auto" w:fill="C1E4F5" w:themeFill="accent1" w:themeFillTint="33"/>
            <w:hideMark/>
          </w:tcPr>
          <w:p w14:paraId="144C15DC" w14:textId="77777777" w:rsidR="00EC037F" w:rsidRPr="00EC037F" w:rsidRDefault="00EC037F" w:rsidP="006651F9">
            <w:pPr>
              <w:jc w:val="center"/>
              <w:rPr>
                <w:b/>
                <w:bCs/>
                <w:sz w:val="20"/>
                <w:szCs w:val="20"/>
                <w:lang w:val="en-CA"/>
              </w:rPr>
            </w:pPr>
            <w:r w:rsidRPr="00EC037F">
              <w:rPr>
                <w:b/>
                <w:bCs/>
                <w:sz w:val="20"/>
                <w:szCs w:val="20"/>
                <w:lang w:val="en-CA"/>
              </w:rPr>
              <w:t>Acute Encephalopathy</w:t>
            </w:r>
          </w:p>
        </w:tc>
        <w:tc>
          <w:tcPr>
            <w:tcW w:w="0" w:type="auto"/>
            <w:shd w:val="clear" w:color="auto" w:fill="C1E4F5" w:themeFill="accent1" w:themeFillTint="33"/>
            <w:hideMark/>
          </w:tcPr>
          <w:p w14:paraId="45EF4C19" w14:textId="77777777" w:rsidR="00EC037F" w:rsidRPr="00EC037F" w:rsidRDefault="00EC037F" w:rsidP="006651F9">
            <w:pPr>
              <w:jc w:val="center"/>
              <w:rPr>
                <w:b/>
                <w:bCs/>
                <w:sz w:val="20"/>
                <w:szCs w:val="20"/>
                <w:lang w:val="en-CA"/>
              </w:rPr>
            </w:pPr>
            <w:r w:rsidRPr="00EC037F">
              <w:rPr>
                <w:b/>
                <w:bCs/>
                <w:sz w:val="20"/>
                <w:szCs w:val="20"/>
                <w:lang w:val="en-CA"/>
              </w:rPr>
              <w:t>Delirium</w:t>
            </w:r>
          </w:p>
        </w:tc>
        <w:tc>
          <w:tcPr>
            <w:tcW w:w="0" w:type="auto"/>
            <w:shd w:val="clear" w:color="auto" w:fill="C1E4F5" w:themeFill="accent1" w:themeFillTint="33"/>
            <w:hideMark/>
          </w:tcPr>
          <w:p w14:paraId="0847373F" w14:textId="77777777" w:rsidR="00EC037F" w:rsidRPr="00EC037F" w:rsidRDefault="00EC037F" w:rsidP="006651F9">
            <w:pPr>
              <w:jc w:val="center"/>
              <w:rPr>
                <w:b/>
                <w:bCs/>
                <w:sz w:val="20"/>
                <w:szCs w:val="20"/>
                <w:lang w:val="en-CA"/>
              </w:rPr>
            </w:pPr>
            <w:r w:rsidRPr="00EC037F">
              <w:rPr>
                <w:b/>
                <w:bCs/>
                <w:sz w:val="20"/>
                <w:szCs w:val="20"/>
                <w:lang w:val="en-CA"/>
              </w:rPr>
              <w:t>Coma</w:t>
            </w:r>
          </w:p>
        </w:tc>
      </w:tr>
      <w:tr w:rsidR="00EC037F" w:rsidRPr="00EC037F" w14:paraId="4BE63815" w14:textId="77777777" w:rsidTr="006651F9">
        <w:trPr>
          <w:trHeight w:val="589"/>
        </w:trPr>
        <w:tc>
          <w:tcPr>
            <w:tcW w:w="1834" w:type="dxa"/>
            <w:hideMark/>
          </w:tcPr>
          <w:p w14:paraId="5A6A28C8" w14:textId="77777777" w:rsidR="00EC037F" w:rsidRPr="00EC037F" w:rsidRDefault="00EC037F" w:rsidP="006651F9">
            <w:pPr>
              <w:rPr>
                <w:b/>
                <w:bCs/>
                <w:sz w:val="20"/>
                <w:szCs w:val="20"/>
                <w:lang w:val="en-CA"/>
              </w:rPr>
            </w:pPr>
            <w:r w:rsidRPr="00EC037F">
              <w:rPr>
                <w:b/>
                <w:bCs/>
                <w:sz w:val="20"/>
                <w:szCs w:val="20"/>
                <w:lang w:val="en-CA"/>
              </w:rPr>
              <w:t>Conceptual Level</w:t>
            </w:r>
          </w:p>
        </w:tc>
        <w:tc>
          <w:tcPr>
            <w:tcW w:w="4165" w:type="dxa"/>
            <w:hideMark/>
          </w:tcPr>
          <w:p w14:paraId="35AB5A7F" w14:textId="77777777" w:rsidR="00EC037F" w:rsidRPr="00EC037F" w:rsidRDefault="00EC037F" w:rsidP="006651F9">
            <w:pPr>
              <w:jc w:val="center"/>
              <w:rPr>
                <w:i/>
                <w:iCs/>
                <w:sz w:val="20"/>
                <w:szCs w:val="20"/>
                <w:lang w:val="en-CA"/>
              </w:rPr>
            </w:pPr>
            <w:r w:rsidRPr="00EC037F">
              <w:rPr>
                <w:i/>
                <w:iCs/>
                <w:sz w:val="20"/>
                <w:szCs w:val="20"/>
                <w:lang w:val="en-CA"/>
              </w:rPr>
              <w:t>Pathobiological process</w:t>
            </w:r>
          </w:p>
        </w:tc>
        <w:tc>
          <w:tcPr>
            <w:tcW w:w="0" w:type="auto"/>
            <w:hideMark/>
          </w:tcPr>
          <w:p w14:paraId="09BB8BD0" w14:textId="77777777" w:rsidR="00EC037F" w:rsidRPr="00EC037F" w:rsidRDefault="00EC037F" w:rsidP="006651F9">
            <w:pPr>
              <w:jc w:val="center"/>
              <w:rPr>
                <w:i/>
                <w:iCs/>
                <w:sz w:val="20"/>
                <w:szCs w:val="20"/>
                <w:lang w:val="en-CA"/>
              </w:rPr>
            </w:pPr>
            <w:r w:rsidRPr="00EC037F">
              <w:rPr>
                <w:i/>
                <w:iCs/>
                <w:sz w:val="20"/>
                <w:szCs w:val="20"/>
                <w:lang w:val="en-CA"/>
              </w:rPr>
              <w:t>Clinical phenotype</w:t>
            </w:r>
          </w:p>
        </w:tc>
        <w:tc>
          <w:tcPr>
            <w:tcW w:w="0" w:type="auto"/>
            <w:hideMark/>
          </w:tcPr>
          <w:p w14:paraId="7AEF5D96" w14:textId="77777777" w:rsidR="00EC037F" w:rsidRPr="00EC037F" w:rsidRDefault="00EC037F" w:rsidP="006651F9">
            <w:pPr>
              <w:jc w:val="center"/>
              <w:rPr>
                <w:i/>
                <w:iCs/>
                <w:sz w:val="20"/>
                <w:szCs w:val="20"/>
                <w:lang w:val="en-CA"/>
              </w:rPr>
            </w:pPr>
            <w:r w:rsidRPr="00EC037F">
              <w:rPr>
                <w:i/>
                <w:iCs/>
                <w:sz w:val="20"/>
                <w:szCs w:val="20"/>
                <w:lang w:val="en-CA"/>
              </w:rPr>
              <w:t>Clinical phenotype</w:t>
            </w:r>
          </w:p>
        </w:tc>
      </w:tr>
      <w:tr w:rsidR="00EC037F" w:rsidRPr="00EC037F" w14:paraId="1A50D64C" w14:textId="77777777" w:rsidTr="006651F9">
        <w:trPr>
          <w:trHeight w:val="1293"/>
        </w:trPr>
        <w:tc>
          <w:tcPr>
            <w:tcW w:w="1834" w:type="dxa"/>
            <w:shd w:val="clear" w:color="auto" w:fill="F2F2F2" w:themeFill="background1" w:themeFillShade="F2"/>
            <w:hideMark/>
          </w:tcPr>
          <w:p w14:paraId="5A024961" w14:textId="77777777" w:rsidR="00EC037F" w:rsidRPr="00EC037F" w:rsidRDefault="00EC037F" w:rsidP="006651F9">
            <w:pPr>
              <w:rPr>
                <w:b/>
                <w:bCs/>
                <w:sz w:val="20"/>
                <w:szCs w:val="20"/>
                <w:lang w:val="en-CA"/>
              </w:rPr>
            </w:pPr>
            <w:r w:rsidRPr="00EC037F">
              <w:rPr>
                <w:b/>
                <w:bCs/>
                <w:sz w:val="20"/>
                <w:szCs w:val="20"/>
                <w:lang w:val="en-CA"/>
              </w:rPr>
              <w:t>Core Definition</w:t>
            </w:r>
          </w:p>
        </w:tc>
        <w:tc>
          <w:tcPr>
            <w:tcW w:w="4165" w:type="dxa"/>
            <w:shd w:val="clear" w:color="auto" w:fill="F2F2F2" w:themeFill="background1" w:themeFillShade="F2"/>
            <w:hideMark/>
          </w:tcPr>
          <w:p w14:paraId="24C60095" w14:textId="77777777" w:rsidR="00EC037F" w:rsidRPr="00EC037F" w:rsidRDefault="00EC037F" w:rsidP="006651F9">
            <w:pPr>
              <w:rPr>
                <w:sz w:val="20"/>
                <w:szCs w:val="20"/>
                <w:lang w:val="en-CA"/>
              </w:rPr>
            </w:pPr>
            <w:r w:rsidRPr="00EC037F">
              <w:rPr>
                <w:sz w:val="20"/>
                <w:szCs w:val="20"/>
                <w:lang w:val="en-CA"/>
              </w:rPr>
              <w:t>Diffuse, rapidly evolving brain dysfunction due to systemic, metabolic, toxic, or inflammatory injury. Represents disruption of neuronal network function and cerebral homeostasis.</w:t>
            </w:r>
          </w:p>
        </w:tc>
        <w:tc>
          <w:tcPr>
            <w:tcW w:w="0" w:type="auto"/>
            <w:shd w:val="clear" w:color="auto" w:fill="F2F2F2" w:themeFill="background1" w:themeFillShade="F2"/>
            <w:hideMark/>
          </w:tcPr>
          <w:p w14:paraId="5B110EA6" w14:textId="77777777" w:rsidR="00EC037F" w:rsidRPr="00EC037F" w:rsidRDefault="00EC037F" w:rsidP="006651F9">
            <w:pPr>
              <w:rPr>
                <w:sz w:val="20"/>
                <w:szCs w:val="20"/>
                <w:lang w:val="en-CA"/>
              </w:rPr>
            </w:pPr>
            <w:r w:rsidRPr="00EC037F">
              <w:rPr>
                <w:sz w:val="20"/>
                <w:szCs w:val="20"/>
                <w:lang w:val="en-CA"/>
              </w:rPr>
              <w:t>Acute disorder of attention, awareness, and cognition with fluctuating course. Represents one observable manifestation of underlying brain dysfunction.</w:t>
            </w:r>
          </w:p>
        </w:tc>
        <w:tc>
          <w:tcPr>
            <w:tcW w:w="0" w:type="auto"/>
            <w:shd w:val="clear" w:color="auto" w:fill="F2F2F2" w:themeFill="background1" w:themeFillShade="F2"/>
            <w:hideMark/>
          </w:tcPr>
          <w:p w14:paraId="386BCAD3" w14:textId="77777777" w:rsidR="00EC037F" w:rsidRPr="00EC037F" w:rsidRDefault="00EC037F" w:rsidP="006651F9">
            <w:pPr>
              <w:rPr>
                <w:sz w:val="20"/>
                <w:szCs w:val="20"/>
                <w:lang w:val="en-CA"/>
              </w:rPr>
            </w:pPr>
            <w:r w:rsidRPr="00EC037F">
              <w:rPr>
                <w:sz w:val="20"/>
                <w:szCs w:val="20"/>
                <w:lang w:val="en-CA"/>
              </w:rPr>
              <w:t>State of absent sustained arousal (wakefulness) and awareness. Represents severe impairment on the continuum of consciousness.</w:t>
            </w:r>
          </w:p>
        </w:tc>
      </w:tr>
      <w:tr w:rsidR="00EC037F" w:rsidRPr="00EC037F" w14:paraId="43F020E4" w14:textId="77777777" w:rsidTr="006651F9">
        <w:trPr>
          <w:trHeight w:val="982"/>
        </w:trPr>
        <w:tc>
          <w:tcPr>
            <w:tcW w:w="1834" w:type="dxa"/>
            <w:hideMark/>
          </w:tcPr>
          <w:p w14:paraId="2A39ECB0" w14:textId="77777777" w:rsidR="00EC037F" w:rsidRPr="00EC037F" w:rsidRDefault="00EC037F" w:rsidP="006651F9">
            <w:pPr>
              <w:rPr>
                <w:b/>
                <w:bCs/>
                <w:sz w:val="20"/>
                <w:szCs w:val="20"/>
                <w:lang w:val="en-CA"/>
              </w:rPr>
            </w:pPr>
            <w:r w:rsidRPr="00EC037F">
              <w:rPr>
                <w:b/>
                <w:bCs/>
                <w:sz w:val="20"/>
                <w:szCs w:val="20"/>
                <w:lang w:val="en-CA"/>
              </w:rPr>
              <w:t>Temporal Profile</w:t>
            </w:r>
          </w:p>
        </w:tc>
        <w:tc>
          <w:tcPr>
            <w:tcW w:w="4165" w:type="dxa"/>
            <w:hideMark/>
          </w:tcPr>
          <w:p w14:paraId="0B39F5EE" w14:textId="77777777" w:rsidR="00EC037F" w:rsidRPr="00EC037F" w:rsidRDefault="00EC037F" w:rsidP="006651F9">
            <w:pPr>
              <w:rPr>
                <w:sz w:val="20"/>
                <w:szCs w:val="20"/>
                <w:lang w:val="en-CA"/>
              </w:rPr>
            </w:pPr>
            <w:r w:rsidRPr="00EC037F">
              <w:rPr>
                <w:sz w:val="20"/>
                <w:szCs w:val="20"/>
                <w:lang w:val="en-CA"/>
              </w:rPr>
              <w:t>Typically develops over hours to days, often in the context of systemic critical illness.</w:t>
            </w:r>
          </w:p>
        </w:tc>
        <w:tc>
          <w:tcPr>
            <w:tcW w:w="0" w:type="auto"/>
            <w:hideMark/>
          </w:tcPr>
          <w:p w14:paraId="499C64B5" w14:textId="77777777" w:rsidR="00EC037F" w:rsidRPr="00EC037F" w:rsidRDefault="00EC037F" w:rsidP="006651F9">
            <w:pPr>
              <w:rPr>
                <w:sz w:val="20"/>
                <w:szCs w:val="20"/>
                <w:lang w:val="en-CA"/>
              </w:rPr>
            </w:pPr>
            <w:r w:rsidRPr="00EC037F">
              <w:rPr>
                <w:sz w:val="20"/>
                <w:szCs w:val="20"/>
                <w:lang w:val="en-CA"/>
              </w:rPr>
              <w:t>Acute onset with fluctuating course.</w:t>
            </w:r>
          </w:p>
        </w:tc>
        <w:tc>
          <w:tcPr>
            <w:tcW w:w="0" w:type="auto"/>
            <w:hideMark/>
          </w:tcPr>
          <w:p w14:paraId="0FD044E8" w14:textId="77777777" w:rsidR="00EC037F" w:rsidRPr="00EC037F" w:rsidRDefault="00EC037F" w:rsidP="006651F9">
            <w:pPr>
              <w:rPr>
                <w:sz w:val="20"/>
                <w:szCs w:val="20"/>
                <w:lang w:val="en-CA"/>
              </w:rPr>
            </w:pPr>
            <w:r w:rsidRPr="00EC037F">
              <w:rPr>
                <w:sz w:val="20"/>
                <w:szCs w:val="20"/>
                <w:lang w:val="en-CA"/>
              </w:rPr>
              <w:t>Acute or subacute loss of arousal; may follow progression of encephalopathy or structural injury.</w:t>
            </w:r>
          </w:p>
        </w:tc>
      </w:tr>
      <w:tr w:rsidR="00EC037F" w:rsidRPr="00EC037F" w14:paraId="3D2FE44D" w14:textId="77777777" w:rsidTr="006651F9">
        <w:trPr>
          <w:trHeight w:val="1949"/>
        </w:trPr>
        <w:tc>
          <w:tcPr>
            <w:tcW w:w="1834" w:type="dxa"/>
            <w:shd w:val="clear" w:color="auto" w:fill="F2F2F2" w:themeFill="background1" w:themeFillShade="F2"/>
            <w:hideMark/>
          </w:tcPr>
          <w:p w14:paraId="6E2AB5E6" w14:textId="77777777" w:rsidR="00EC037F" w:rsidRPr="00EC037F" w:rsidRDefault="00EC037F" w:rsidP="006651F9">
            <w:pPr>
              <w:rPr>
                <w:b/>
                <w:bCs/>
                <w:sz w:val="20"/>
                <w:szCs w:val="20"/>
                <w:lang w:val="en-CA"/>
              </w:rPr>
            </w:pPr>
            <w:r w:rsidRPr="00EC037F">
              <w:rPr>
                <w:b/>
                <w:bCs/>
                <w:sz w:val="20"/>
                <w:szCs w:val="20"/>
                <w:lang w:val="en-CA"/>
              </w:rPr>
              <w:t>Diagnostic Framework</w:t>
            </w:r>
          </w:p>
        </w:tc>
        <w:tc>
          <w:tcPr>
            <w:tcW w:w="4165" w:type="dxa"/>
            <w:shd w:val="clear" w:color="auto" w:fill="F2F2F2" w:themeFill="background1" w:themeFillShade="F2"/>
            <w:hideMark/>
          </w:tcPr>
          <w:p w14:paraId="7791280B" w14:textId="77777777" w:rsidR="00EC037F" w:rsidRPr="00EC037F" w:rsidRDefault="00EC037F" w:rsidP="006651F9">
            <w:pPr>
              <w:rPr>
                <w:sz w:val="20"/>
                <w:szCs w:val="20"/>
                <w:lang w:val="en-CA"/>
              </w:rPr>
            </w:pPr>
            <w:r w:rsidRPr="00EC037F">
              <w:rPr>
                <w:sz w:val="20"/>
                <w:szCs w:val="20"/>
                <w:lang w:val="en-CA"/>
              </w:rPr>
              <w:t xml:space="preserve">Mechanism oriented: </w:t>
            </w:r>
          </w:p>
          <w:p w14:paraId="16BA38FE" w14:textId="77777777" w:rsidR="00EC037F" w:rsidRPr="00EC037F" w:rsidRDefault="00EC037F" w:rsidP="00EC037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C037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Inferred from clinical context, physiologic disturbance, and supportive biomarkers such as EEG or neuroimaging. May manifest clinically as subsyndromal delirium, delirium, or coma depending on severity and arousal.</w:t>
            </w:r>
          </w:p>
        </w:tc>
        <w:tc>
          <w:tcPr>
            <w:tcW w:w="0" w:type="auto"/>
            <w:shd w:val="clear" w:color="auto" w:fill="F2F2F2" w:themeFill="background1" w:themeFillShade="F2"/>
            <w:hideMark/>
          </w:tcPr>
          <w:p w14:paraId="012919A8" w14:textId="77777777" w:rsidR="00EC037F" w:rsidRPr="00EC037F" w:rsidRDefault="00EC037F" w:rsidP="006651F9">
            <w:pPr>
              <w:rPr>
                <w:sz w:val="20"/>
                <w:szCs w:val="20"/>
                <w:lang w:val="en-CA"/>
              </w:rPr>
            </w:pPr>
            <w:r w:rsidRPr="00EC037F">
              <w:rPr>
                <w:sz w:val="20"/>
                <w:szCs w:val="20"/>
                <w:lang w:val="en-CA"/>
              </w:rPr>
              <w:t xml:space="preserve">Phenotype oriented: </w:t>
            </w:r>
          </w:p>
          <w:p w14:paraId="20C9EA0C" w14:textId="77777777" w:rsidR="00EC037F" w:rsidRPr="00EC037F" w:rsidRDefault="00EC037F" w:rsidP="00EC037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C037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Diagnosed using bedside assessments of attention and awareness, often with structured tools such as CAM-ICU or ICDSC aligned with DSM </w:t>
            </w:r>
            <w:proofErr w:type="spellStart"/>
            <w:r w:rsidRPr="00EC037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criteria</w:t>
            </w:r>
            <w:r w:rsidRPr="00EC037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CA"/>
              </w:rPr>
              <w:t>a</w:t>
            </w:r>
            <w:proofErr w:type="spellEnd"/>
            <w:r w:rsidRPr="00EC037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. Subsyndromal delirium reflects partial fulfillment of clinical criteria.</w:t>
            </w:r>
          </w:p>
        </w:tc>
        <w:tc>
          <w:tcPr>
            <w:tcW w:w="0" w:type="auto"/>
            <w:shd w:val="clear" w:color="auto" w:fill="F2F2F2" w:themeFill="background1" w:themeFillShade="F2"/>
            <w:hideMark/>
          </w:tcPr>
          <w:p w14:paraId="7D2481AF" w14:textId="77777777" w:rsidR="00EC037F" w:rsidRPr="00EC037F" w:rsidRDefault="00EC037F" w:rsidP="006651F9">
            <w:pPr>
              <w:rPr>
                <w:sz w:val="20"/>
                <w:szCs w:val="20"/>
                <w:lang w:val="en-CA"/>
              </w:rPr>
            </w:pPr>
            <w:r w:rsidRPr="00EC037F">
              <w:rPr>
                <w:sz w:val="20"/>
                <w:szCs w:val="20"/>
                <w:lang w:val="en-CA"/>
              </w:rPr>
              <w:t xml:space="preserve">Phenotype oriented: </w:t>
            </w:r>
          </w:p>
          <w:p w14:paraId="7C900C2C" w14:textId="6C699F08" w:rsidR="00EC037F" w:rsidRPr="00EC037F" w:rsidRDefault="00EC037F" w:rsidP="00EC037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EC037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Defined by absence of sustained spontaneous or stimulus-induced arousal on clinical examination. Operational definitions vary across studies and disciplines but recent e</w:t>
            </w:r>
            <w:r w:rsidRPr="00EC037F">
              <w:rPr>
                <w:rStyle w:val="Emphasis"/>
                <w:rFonts w:ascii="Times New Roman" w:eastAsiaTheme="majorEastAsia" w:hAnsi="Times New Roman" w:cs="Times New Roman"/>
                <w:i w:val="0"/>
                <w:iCs w:val="0"/>
                <w:sz w:val="20"/>
                <w:szCs w:val="20"/>
                <w:lang w:val="en-CA"/>
              </w:rPr>
              <w:t>xpert consensus definition</w:t>
            </w:r>
            <w:r w:rsidRPr="00EC037F">
              <w:rPr>
                <w:rStyle w:val="Emphasis"/>
                <w:rFonts w:ascii="Times New Roman" w:eastAsiaTheme="majorEastAsia" w:hAnsi="Times New Roman" w:cs="Times New Roman"/>
                <w:i w:val="0"/>
                <w:iCs w:val="0"/>
                <w:sz w:val="20"/>
                <w:szCs w:val="20"/>
              </w:rPr>
              <w:fldChar w:fldCharType="begin">
                <w:fldData xml:space="preserve">PEVuZE5vdGU+PENpdGU+PEF1dGhvcj5IZWxib2s8L0F1dGhvcj48WWVhcj4yMDIyPC9ZZWFyPjxS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==
</w:fldData>
              </w:fldChar>
            </w:r>
            <w:r w:rsidRPr="00EC037F">
              <w:rPr>
                <w:rStyle w:val="Emphasis"/>
                <w:rFonts w:ascii="Times New Roman" w:eastAsiaTheme="majorEastAsia" w:hAnsi="Times New Roman" w:cs="Times New Roman"/>
                <w:i w:val="0"/>
                <w:iCs w:val="0"/>
                <w:sz w:val="20"/>
                <w:szCs w:val="20"/>
                <w:lang w:val="en-CA"/>
              </w:rPr>
              <w:instrText xml:space="preserve"> ADDIN EN.CITE </w:instrText>
            </w:r>
            <w:r w:rsidRPr="00EC037F">
              <w:rPr>
                <w:rStyle w:val="Emphasis"/>
                <w:rFonts w:ascii="Times New Roman" w:eastAsiaTheme="majorEastAsia" w:hAnsi="Times New Roman" w:cs="Times New Roman"/>
                <w:i w:val="0"/>
                <w:iCs w:val="0"/>
                <w:sz w:val="20"/>
                <w:szCs w:val="20"/>
              </w:rPr>
              <w:fldChar w:fldCharType="begin">
                <w:fldData xml:space="preserve">PEVuZE5vdGU+PENpdGU+PEF1dGhvcj5IZWxib2s8L0F1dGhvcj48WWVhcj4yMDIyPC9ZZWFyPjxS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==
</w:fldData>
              </w:fldChar>
            </w:r>
            <w:r w:rsidRPr="00EC037F">
              <w:rPr>
                <w:rStyle w:val="Emphasis"/>
                <w:rFonts w:ascii="Times New Roman" w:eastAsiaTheme="majorEastAsia" w:hAnsi="Times New Roman" w:cs="Times New Roman"/>
                <w:i w:val="0"/>
                <w:iCs w:val="0"/>
                <w:sz w:val="20"/>
                <w:szCs w:val="20"/>
                <w:lang w:val="en-CA"/>
              </w:rPr>
              <w:instrText xml:space="preserve"> ADDIN EN.CITE.DATA </w:instrText>
            </w:r>
            <w:r w:rsidRPr="00EC037F">
              <w:rPr>
                <w:rStyle w:val="Emphasis"/>
                <w:rFonts w:ascii="Times New Roman" w:eastAsiaTheme="majorEastAsia" w:hAnsi="Times New Roman" w:cs="Times New Roman"/>
                <w:i w:val="0"/>
                <w:iCs w:val="0"/>
                <w:sz w:val="20"/>
                <w:szCs w:val="20"/>
              </w:rPr>
            </w:r>
            <w:r w:rsidRPr="00EC037F">
              <w:rPr>
                <w:rStyle w:val="Emphasis"/>
                <w:rFonts w:ascii="Times New Roman" w:eastAsiaTheme="majorEastAsia" w:hAnsi="Times New Roman" w:cs="Times New Roman"/>
                <w:i w:val="0"/>
                <w:iCs w:val="0"/>
                <w:sz w:val="20"/>
                <w:szCs w:val="20"/>
              </w:rPr>
              <w:fldChar w:fldCharType="end"/>
            </w:r>
            <w:r w:rsidRPr="00EC037F">
              <w:rPr>
                <w:rStyle w:val="Emphasis"/>
                <w:rFonts w:ascii="Times New Roman" w:eastAsiaTheme="majorEastAsia" w:hAnsi="Times New Roman" w:cs="Times New Roman"/>
                <w:i w:val="0"/>
                <w:iCs w:val="0"/>
                <w:sz w:val="20"/>
                <w:szCs w:val="20"/>
              </w:rPr>
            </w:r>
            <w:r w:rsidRPr="00EC037F">
              <w:rPr>
                <w:rStyle w:val="Emphasis"/>
                <w:rFonts w:ascii="Times New Roman" w:eastAsiaTheme="majorEastAsia" w:hAnsi="Times New Roman" w:cs="Times New Roman"/>
                <w:i w:val="0"/>
                <w:iCs w:val="0"/>
                <w:sz w:val="20"/>
                <w:szCs w:val="20"/>
              </w:rPr>
              <w:fldChar w:fldCharType="separate"/>
            </w:r>
            <w:r w:rsidRPr="00EC037F">
              <w:rPr>
                <w:rStyle w:val="Emphasis"/>
                <w:rFonts w:ascii="Times New Roman" w:eastAsiaTheme="majorEastAsia" w:hAnsi="Times New Roman" w:cs="Times New Roman"/>
                <w:i w:val="0"/>
                <w:iCs w:val="0"/>
                <w:noProof/>
                <w:sz w:val="20"/>
                <w:szCs w:val="20"/>
                <w:vertAlign w:val="superscript"/>
                <w:lang w:val="en-CA"/>
              </w:rPr>
              <w:t>3</w:t>
            </w:r>
            <w:r w:rsidRPr="00EC037F">
              <w:rPr>
                <w:rStyle w:val="Emphasis"/>
                <w:rFonts w:ascii="Times New Roman" w:eastAsiaTheme="majorEastAsia" w:hAnsi="Times New Roman" w:cs="Times New Roman"/>
                <w:i w:val="0"/>
                <w:iCs w:val="0"/>
                <w:sz w:val="20"/>
                <w:szCs w:val="20"/>
              </w:rPr>
              <w:fldChar w:fldCharType="end"/>
            </w:r>
            <w:r w:rsidRPr="00EC037F">
              <w:rPr>
                <w:rStyle w:val="Emphasis"/>
                <w:rFonts w:ascii="Times New Roman" w:eastAsiaTheme="majorEastAsia" w:hAnsi="Times New Roman" w:cs="Times New Roman"/>
                <w:i w:val="0"/>
                <w:iCs w:val="0"/>
                <w:sz w:val="20"/>
                <w:szCs w:val="20"/>
                <w:lang w:val="en-CA"/>
              </w:rPr>
              <w:t xml:space="preserve"> of coma defined by the absence of sustained spontaneous or stimulus-induced arousal/wakefulness. All of the following criteria must be met on clinical examination to establish the diagnosis of </w:t>
            </w:r>
            <w:proofErr w:type="spellStart"/>
            <w:r w:rsidRPr="00EC037F">
              <w:rPr>
                <w:rStyle w:val="Emphasis"/>
                <w:rFonts w:ascii="Times New Roman" w:eastAsiaTheme="majorEastAsia" w:hAnsi="Times New Roman" w:cs="Times New Roman"/>
                <w:i w:val="0"/>
                <w:iCs w:val="0"/>
                <w:sz w:val="20"/>
                <w:szCs w:val="20"/>
                <w:lang w:val="en-CA"/>
              </w:rPr>
              <w:t>coma.</w:t>
            </w:r>
            <w:r w:rsidRPr="00EC037F">
              <w:rPr>
                <w:rStyle w:val="Emphasis"/>
                <w:rFonts w:ascii="Times New Roman" w:eastAsiaTheme="majorEastAsia" w:hAnsi="Times New Roman" w:cs="Times New Roman"/>
                <w:i w:val="0"/>
                <w:iCs w:val="0"/>
                <w:sz w:val="20"/>
                <w:szCs w:val="20"/>
                <w:vertAlign w:val="superscript"/>
                <w:lang w:val="en-CA"/>
              </w:rPr>
              <w:t>b</w:t>
            </w:r>
            <w:proofErr w:type="spellEnd"/>
          </w:p>
        </w:tc>
      </w:tr>
      <w:tr w:rsidR="00EC037F" w:rsidRPr="00EC037F" w14:paraId="5132886D" w14:textId="77777777" w:rsidTr="006651F9">
        <w:trPr>
          <w:trHeight w:val="964"/>
        </w:trPr>
        <w:tc>
          <w:tcPr>
            <w:tcW w:w="1834" w:type="dxa"/>
            <w:hideMark/>
          </w:tcPr>
          <w:p w14:paraId="71564299" w14:textId="77777777" w:rsidR="00EC037F" w:rsidRPr="00EC037F" w:rsidRDefault="00EC037F" w:rsidP="006651F9">
            <w:pPr>
              <w:rPr>
                <w:b/>
                <w:bCs/>
                <w:sz w:val="20"/>
                <w:szCs w:val="20"/>
                <w:lang w:val="en-CA"/>
              </w:rPr>
            </w:pPr>
            <w:r w:rsidRPr="00EC037F">
              <w:rPr>
                <w:b/>
                <w:bCs/>
                <w:sz w:val="20"/>
                <w:szCs w:val="20"/>
                <w:lang w:val="en-CA"/>
              </w:rPr>
              <w:t>Relationship to Each Other</w:t>
            </w:r>
          </w:p>
        </w:tc>
        <w:tc>
          <w:tcPr>
            <w:tcW w:w="4165" w:type="dxa"/>
            <w:hideMark/>
          </w:tcPr>
          <w:p w14:paraId="1545E59D" w14:textId="77777777" w:rsidR="00EC037F" w:rsidRPr="00EC037F" w:rsidRDefault="00EC037F" w:rsidP="006651F9">
            <w:pPr>
              <w:rPr>
                <w:sz w:val="20"/>
                <w:szCs w:val="20"/>
                <w:lang w:val="en-CA"/>
              </w:rPr>
            </w:pPr>
            <w:r w:rsidRPr="00EC037F">
              <w:rPr>
                <w:sz w:val="20"/>
                <w:szCs w:val="20"/>
                <w:lang w:val="en-CA"/>
              </w:rPr>
              <w:t>Biological substrate underlying delirium, coma, and other acute brain dysfunction states.</w:t>
            </w:r>
          </w:p>
        </w:tc>
        <w:tc>
          <w:tcPr>
            <w:tcW w:w="0" w:type="auto"/>
            <w:hideMark/>
          </w:tcPr>
          <w:p w14:paraId="35867F98" w14:textId="77777777" w:rsidR="00EC037F" w:rsidRPr="00EC037F" w:rsidRDefault="00EC037F" w:rsidP="006651F9">
            <w:pPr>
              <w:rPr>
                <w:sz w:val="20"/>
                <w:szCs w:val="20"/>
                <w:lang w:val="en-CA"/>
              </w:rPr>
            </w:pPr>
            <w:r w:rsidRPr="00EC037F">
              <w:rPr>
                <w:sz w:val="20"/>
                <w:szCs w:val="20"/>
                <w:lang w:val="en-CA"/>
              </w:rPr>
              <w:t>Clinical expression of encephalopathy in patients who retain some level of arousal.</w:t>
            </w:r>
          </w:p>
        </w:tc>
        <w:tc>
          <w:tcPr>
            <w:tcW w:w="0" w:type="auto"/>
            <w:hideMark/>
          </w:tcPr>
          <w:p w14:paraId="03D9AF9B" w14:textId="77777777" w:rsidR="00EC037F" w:rsidRPr="00EC037F" w:rsidRDefault="00EC037F" w:rsidP="006651F9">
            <w:pPr>
              <w:rPr>
                <w:sz w:val="20"/>
                <w:szCs w:val="20"/>
                <w:lang w:val="en-CA"/>
              </w:rPr>
            </w:pPr>
            <w:r w:rsidRPr="00EC037F">
              <w:rPr>
                <w:sz w:val="20"/>
                <w:szCs w:val="20"/>
                <w:lang w:val="en-CA"/>
              </w:rPr>
              <w:t>Clinical expression of severe encephalopathy or structural brain injury with loss of arousal.</w:t>
            </w:r>
          </w:p>
        </w:tc>
      </w:tr>
      <w:tr w:rsidR="00EC037F" w:rsidRPr="00EC037F" w14:paraId="0A0D738C" w14:textId="77777777" w:rsidTr="006651F9">
        <w:trPr>
          <w:trHeight w:val="982"/>
        </w:trPr>
        <w:tc>
          <w:tcPr>
            <w:tcW w:w="1834" w:type="dxa"/>
            <w:shd w:val="clear" w:color="auto" w:fill="F2F2F2" w:themeFill="background1" w:themeFillShade="F2"/>
            <w:hideMark/>
          </w:tcPr>
          <w:p w14:paraId="1AA8A381" w14:textId="77777777" w:rsidR="00EC037F" w:rsidRPr="00EC037F" w:rsidRDefault="00EC037F" w:rsidP="006651F9">
            <w:pPr>
              <w:rPr>
                <w:b/>
                <w:bCs/>
                <w:sz w:val="20"/>
                <w:szCs w:val="20"/>
                <w:lang w:val="en-CA"/>
              </w:rPr>
            </w:pPr>
            <w:r w:rsidRPr="00EC037F">
              <w:rPr>
                <w:b/>
                <w:bCs/>
                <w:sz w:val="20"/>
                <w:szCs w:val="20"/>
                <w:lang w:val="en-CA"/>
              </w:rPr>
              <w:t>Implications for Recognition</w:t>
            </w:r>
          </w:p>
        </w:tc>
        <w:tc>
          <w:tcPr>
            <w:tcW w:w="4165" w:type="dxa"/>
            <w:shd w:val="clear" w:color="auto" w:fill="F2F2F2" w:themeFill="background1" w:themeFillShade="F2"/>
            <w:hideMark/>
          </w:tcPr>
          <w:p w14:paraId="52954089" w14:textId="77777777" w:rsidR="00EC037F" w:rsidRPr="00EC037F" w:rsidRDefault="00EC037F" w:rsidP="006651F9">
            <w:pPr>
              <w:rPr>
                <w:sz w:val="20"/>
                <w:szCs w:val="20"/>
                <w:lang w:val="en-CA"/>
              </w:rPr>
            </w:pPr>
            <w:r w:rsidRPr="00EC037F">
              <w:rPr>
                <w:sz w:val="20"/>
                <w:szCs w:val="20"/>
                <w:lang w:val="en-CA"/>
              </w:rPr>
              <w:t>May be underrecognized when only clinical phenotypes are assessed without consideration of underlying pathobiology or biomarkers.</w:t>
            </w:r>
          </w:p>
        </w:tc>
        <w:tc>
          <w:tcPr>
            <w:tcW w:w="0" w:type="auto"/>
            <w:shd w:val="clear" w:color="auto" w:fill="F2F2F2" w:themeFill="background1" w:themeFillShade="F2"/>
            <w:hideMark/>
          </w:tcPr>
          <w:p w14:paraId="42D9BC35" w14:textId="77777777" w:rsidR="00EC037F" w:rsidRPr="00EC037F" w:rsidRDefault="00EC037F" w:rsidP="006651F9">
            <w:pPr>
              <w:rPr>
                <w:sz w:val="20"/>
                <w:szCs w:val="20"/>
                <w:lang w:val="en-CA"/>
              </w:rPr>
            </w:pPr>
            <w:r w:rsidRPr="00EC037F">
              <w:rPr>
                <w:sz w:val="20"/>
                <w:szCs w:val="20"/>
                <w:lang w:val="en-CA"/>
              </w:rPr>
              <w:t>Detection depends on systematic screening; reliance on clinical impression alone may underestimate prevalence.</w:t>
            </w:r>
          </w:p>
        </w:tc>
        <w:tc>
          <w:tcPr>
            <w:tcW w:w="0" w:type="auto"/>
            <w:shd w:val="clear" w:color="auto" w:fill="F2F2F2" w:themeFill="background1" w:themeFillShade="F2"/>
            <w:hideMark/>
          </w:tcPr>
          <w:p w14:paraId="3616216F" w14:textId="77777777" w:rsidR="00EC037F" w:rsidRPr="00EC037F" w:rsidRDefault="00EC037F" w:rsidP="006651F9">
            <w:pPr>
              <w:rPr>
                <w:sz w:val="20"/>
                <w:szCs w:val="20"/>
                <w:lang w:val="en-CA"/>
              </w:rPr>
            </w:pPr>
            <w:r w:rsidRPr="00EC037F">
              <w:rPr>
                <w:sz w:val="20"/>
                <w:szCs w:val="20"/>
                <w:lang w:val="en-CA"/>
              </w:rPr>
              <w:t>Variability in operational definitions may limit comparability across studies and affect prognostication.</w:t>
            </w:r>
          </w:p>
        </w:tc>
      </w:tr>
      <w:tr w:rsidR="00EC037F" w:rsidRPr="00EC037F" w14:paraId="5F665EE7" w14:textId="77777777" w:rsidTr="006651F9">
        <w:trPr>
          <w:trHeight w:val="964"/>
        </w:trPr>
        <w:tc>
          <w:tcPr>
            <w:tcW w:w="1834" w:type="dxa"/>
            <w:hideMark/>
          </w:tcPr>
          <w:p w14:paraId="41167BA1" w14:textId="77777777" w:rsidR="00EC037F" w:rsidRPr="00EC037F" w:rsidRDefault="00EC037F" w:rsidP="006651F9">
            <w:pPr>
              <w:rPr>
                <w:b/>
                <w:bCs/>
                <w:sz w:val="20"/>
                <w:szCs w:val="20"/>
                <w:lang w:val="en-CA"/>
              </w:rPr>
            </w:pPr>
            <w:r w:rsidRPr="00EC037F">
              <w:rPr>
                <w:b/>
                <w:bCs/>
                <w:sz w:val="20"/>
                <w:szCs w:val="20"/>
                <w:lang w:val="en-CA"/>
              </w:rPr>
              <w:t>Role in ICU Practice</w:t>
            </w:r>
          </w:p>
        </w:tc>
        <w:tc>
          <w:tcPr>
            <w:tcW w:w="4165" w:type="dxa"/>
            <w:hideMark/>
          </w:tcPr>
          <w:p w14:paraId="1691AB0E" w14:textId="77777777" w:rsidR="00EC037F" w:rsidRPr="00EC037F" w:rsidRDefault="00EC037F" w:rsidP="006651F9">
            <w:pPr>
              <w:rPr>
                <w:sz w:val="20"/>
                <w:szCs w:val="20"/>
                <w:lang w:val="en-CA"/>
              </w:rPr>
            </w:pPr>
            <w:r w:rsidRPr="00EC037F">
              <w:rPr>
                <w:sz w:val="20"/>
                <w:szCs w:val="20"/>
                <w:lang w:val="en-CA"/>
              </w:rPr>
              <w:t>Provides mechanistic framework for diffuse brain dysfunction and guides etiologic evaluation.</w:t>
            </w:r>
          </w:p>
        </w:tc>
        <w:tc>
          <w:tcPr>
            <w:tcW w:w="0" w:type="auto"/>
            <w:hideMark/>
          </w:tcPr>
          <w:p w14:paraId="6D5BEA36" w14:textId="77777777" w:rsidR="00EC037F" w:rsidRPr="00EC037F" w:rsidRDefault="00EC037F" w:rsidP="006651F9">
            <w:pPr>
              <w:rPr>
                <w:sz w:val="20"/>
                <w:szCs w:val="20"/>
                <w:lang w:val="en-CA"/>
              </w:rPr>
            </w:pPr>
            <w:r w:rsidRPr="00EC037F">
              <w:rPr>
                <w:sz w:val="20"/>
                <w:szCs w:val="20"/>
                <w:lang w:val="en-CA"/>
              </w:rPr>
              <w:t>Serves as a measurable bedside marker of acute brain dysfunction and a predictor of long-term outcomes.</w:t>
            </w:r>
          </w:p>
        </w:tc>
        <w:tc>
          <w:tcPr>
            <w:tcW w:w="0" w:type="auto"/>
            <w:hideMark/>
          </w:tcPr>
          <w:p w14:paraId="7A35074F" w14:textId="77777777" w:rsidR="00EC037F" w:rsidRPr="00EC037F" w:rsidRDefault="00EC037F" w:rsidP="006651F9">
            <w:pPr>
              <w:rPr>
                <w:sz w:val="20"/>
                <w:szCs w:val="20"/>
                <w:lang w:val="en-CA"/>
              </w:rPr>
            </w:pPr>
            <w:r w:rsidRPr="00EC037F">
              <w:rPr>
                <w:sz w:val="20"/>
                <w:szCs w:val="20"/>
                <w:lang w:val="en-CA"/>
              </w:rPr>
              <w:t>Signals severe brain dysfunction and prompts escalation of monitoring and supportive management.</w:t>
            </w:r>
          </w:p>
        </w:tc>
      </w:tr>
      <w:tr w:rsidR="00EC037F" w:rsidRPr="00EC037F" w14:paraId="243F72C1" w14:textId="77777777" w:rsidTr="006651F9">
        <w:trPr>
          <w:trHeight w:val="982"/>
        </w:trPr>
        <w:tc>
          <w:tcPr>
            <w:tcW w:w="1834" w:type="dxa"/>
            <w:shd w:val="clear" w:color="auto" w:fill="F2F2F2" w:themeFill="background1" w:themeFillShade="F2"/>
            <w:hideMark/>
          </w:tcPr>
          <w:p w14:paraId="7553B1D6" w14:textId="77777777" w:rsidR="00EC037F" w:rsidRPr="00EC037F" w:rsidRDefault="00EC037F" w:rsidP="006651F9">
            <w:pPr>
              <w:rPr>
                <w:b/>
                <w:bCs/>
                <w:sz w:val="20"/>
                <w:szCs w:val="20"/>
                <w:lang w:val="en-CA"/>
              </w:rPr>
            </w:pPr>
            <w:r w:rsidRPr="00EC037F">
              <w:rPr>
                <w:b/>
                <w:bCs/>
                <w:sz w:val="20"/>
                <w:szCs w:val="20"/>
                <w:lang w:val="en-CA"/>
              </w:rPr>
              <w:lastRenderedPageBreak/>
              <w:t>Implications for Research</w:t>
            </w:r>
          </w:p>
        </w:tc>
        <w:tc>
          <w:tcPr>
            <w:tcW w:w="4165" w:type="dxa"/>
            <w:shd w:val="clear" w:color="auto" w:fill="F2F2F2" w:themeFill="background1" w:themeFillShade="F2"/>
            <w:hideMark/>
          </w:tcPr>
          <w:p w14:paraId="26DA4A7E" w14:textId="77777777" w:rsidR="00EC037F" w:rsidRPr="00EC037F" w:rsidRDefault="00EC037F" w:rsidP="006651F9">
            <w:pPr>
              <w:rPr>
                <w:sz w:val="20"/>
                <w:szCs w:val="20"/>
                <w:lang w:val="en-CA"/>
              </w:rPr>
            </w:pPr>
            <w:r w:rsidRPr="00EC037F">
              <w:rPr>
                <w:sz w:val="20"/>
                <w:szCs w:val="20"/>
                <w:lang w:val="en-CA"/>
              </w:rPr>
              <w:t>Heterogeneity in terminology and mechanistic attribution contributes to variability in reported incidence and outcomes.</w:t>
            </w:r>
          </w:p>
        </w:tc>
        <w:tc>
          <w:tcPr>
            <w:tcW w:w="0" w:type="auto"/>
            <w:shd w:val="clear" w:color="auto" w:fill="F2F2F2" w:themeFill="background1" w:themeFillShade="F2"/>
            <w:hideMark/>
          </w:tcPr>
          <w:p w14:paraId="1F687F0B" w14:textId="77777777" w:rsidR="00EC037F" w:rsidRPr="00EC037F" w:rsidRDefault="00EC037F" w:rsidP="006651F9">
            <w:pPr>
              <w:rPr>
                <w:sz w:val="20"/>
                <w:szCs w:val="20"/>
                <w:lang w:val="en-CA"/>
              </w:rPr>
            </w:pPr>
            <w:r w:rsidRPr="00EC037F">
              <w:rPr>
                <w:sz w:val="20"/>
                <w:szCs w:val="20"/>
                <w:lang w:val="en-CA"/>
              </w:rPr>
              <w:t>Differences in screening frequency and tool selection influence reported rates and cross-study comparisons.</w:t>
            </w:r>
          </w:p>
        </w:tc>
        <w:tc>
          <w:tcPr>
            <w:tcW w:w="0" w:type="auto"/>
            <w:shd w:val="clear" w:color="auto" w:fill="F2F2F2" w:themeFill="background1" w:themeFillShade="F2"/>
            <w:hideMark/>
          </w:tcPr>
          <w:p w14:paraId="06DE967A" w14:textId="77777777" w:rsidR="00EC037F" w:rsidRPr="00EC037F" w:rsidRDefault="00EC037F" w:rsidP="006651F9">
            <w:pPr>
              <w:rPr>
                <w:sz w:val="20"/>
                <w:szCs w:val="20"/>
                <w:lang w:val="en-CA"/>
              </w:rPr>
            </w:pPr>
            <w:r w:rsidRPr="00EC037F">
              <w:rPr>
                <w:sz w:val="20"/>
                <w:szCs w:val="20"/>
                <w:lang w:val="en-CA"/>
              </w:rPr>
              <w:t>Lack of standardized definitions across studies may complicate epidemiologic estimates and outcome interpretation.</w:t>
            </w:r>
          </w:p>
        </w:tc>
      </w:tr>
    </w:tbl>
    <w:p w14:paraId="312224F0" w14:textId="77777777" w:rsidR="00EC037F" w:rsidRPr="00EC037F" w:rsidRDefault="00EC037F" w:rsidP="00EC037F">
      <w:pPr>
        <w:rPr>
          <w:b/>
          <w:bCs/>
          <w:sz w:val="20"/>
          <w:szCs w:val="20"/>
        </w:rPr>
      </w:pPr>
    </w:p>
    <w:p w14:paraId="05EFE854" w14:textId="699D559E" w:rsidR="00EC037F" w:rsidRPr="00EC037F" w:rsidRDefault="00EC037F" w:rsidP="00EC037F">
      <w:pPr>
        <w:rPr>
          <w:b/>
          <w:bCs/>
          <w:sz w:val="20"/>
          <w:szCs w:val="20"/>
        </w:rPr>
      </w:pPr>
      <w:r w:rsidRPr="00EC037F">
        <w:rPr>
          <w:b/>
          <w:bCs/>
          <w:sz w:val="20"/>
          <w:szCs w:val="20"/>
          <w:vertAlign w:val="superscript"/>
        </w:rPr>
        <w:t>a</w:t>
      </w:r>
      <w:r w:rsidRPr="00EC037F">
        <w:rPr>
          <w:b/>
          <w:bCs/>
          <w:sz w:val="20"/>
          <w:szCs w:val="20"/>
        </w:rPr>
        <w:t>DSM-5 delirium diagnostic criteria</w:t>
      </w:r>
      <w:r w:rsidRPr="00EC037F">
        <w:rPr>
          <w:b/>
          <w:bCs/>
          <w:sz w:val="20"/>
          <w:szCs w:val="20"/>
        </w:rPr>
        <w:fldChar w:fldCharType="begin"/>
      </w:r>
      <w:r w:rsidRPr="00EC037F">
        <w:rPr>
          <w:b/>
          <w:bCs/>
          <w:sz w:val="20"/>
          <w:szCs w:val="20"/>
        </w:rPr>
        <w:instrText xml:space="preserve"> ADDIN EN.CITE &lt;EndNote&gt;&lt;Cite&gt;&lt;Year&gt;2013&lt;/Year&gt;&lt;RecNum&gt;111&lt;/RecNum&gt;&lt;DisplayText&gt;&lt;style face="superscript"&gt;4&lt;/style&gt;&lt;/DisplayText&gt;&lt;record&gt;&lt;rec-number&gt;111&lt;/rec-number&gt;&lt;foreign-keys&gt;&lt;key app="EN" db-id="arfvpeaw1fzx0ze0s5f5zfd80erfdrxvrrdd" timestamp="1762207633"&gt;111&lt;/key&gt;&lt;/foreign-keys&gt;&lt;ref-type name="Book"&gt;6&lt;/ref-type&gt;&lt;contributors&gt;&lt;secondary-authors&gt;&lt;author&gt;American Psychiatric Association&lt;/author&gt;&lt;/secondary-authors&gt;&lt;/contributors&gt;&lt;titles&gt;&lt;title&gt;Diagnostic and statistical manual of mental disorders&lt;/title&gt;&lt;/titles&gt;&lt;edition&gt;5th&lt;/edition&gt;&lt;dates&gt;&lt;year&gt;2013&lt;/year&gt;&lt;/dates&gt;&lt;publisher&gt;American Psychiatric Association&lt;/publisher&gt;&lt;urls&gt;&lt;/urls&gt;&lt;electronic-resource-num&gt;https://doi.org/10.1176/appi.books.9780890425596&lt;/electronic-resource-num&gt;&lt;/record&gt;&lt;/Cite&gt;&lt;/EndNote&gt;</w:instrText>
      </w:r>
      <w:r w:rsidRPr="00EC037F">
        <w:rPr>
          <w:b/>
          <w:bCs/>
          <w:sz w:val="20"/>
          <w:szCs w:val="20"/>
        </w:rPr>
        <w:fldChar w:fldCharType="separate"/>
      </w:r>
      <w:r w:rsidRPr="00EC037F">
        <w:rPr>
          <w:b/>
          <w:bCs/>
          <w:noProof/>
          <w:sz w:val="20"/>
          <w:szCs w:val="20"/>
          <w:vertAlign w:val="superscript"/>
        </w:rPr>
        <w:t>4</w:t>
      </w:r>
      <w:r w:rsidRPr="00EC037F">
        <w:rPr>
          <w:b/>
          <w:bCs/>
          <w:sz w:val="20"/>
          <w:szCs w:val="20"/>
        </w:rPr>
        <w:fldChar w:fldCharType="end"/>
      </w:r>
    </w:p>
    <w:p w14:paraId="5FB08986" w14:textId="77777777" w:rsidR="00EC037F" w:rsidRPr="00EC037F" w:rsidRDefault="00EC037F" w:rsidP="00EC037F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C037F">
        <w:rPr>
          <w:rFonts w:ascii="Times New Roman" w:hAnsi="Times New Roman" w:cs="Times New Roman"/>
          <w:sz w:val="20"/>
          <w:szCs w:val="20"/>
        </w:rPr>
        <w:t>A disturbance in attention (i.e., reduced ability to direct, focus, sustain, and shift attention) and awareness (reduced orientation to the environment).</w:t>
      </w:r>
    </w:p>
    <w:p w14:paraId="1298BD90" w14:textId="77777777" w:rsidR="00EC037F" w:rsidRPr="00EC037F" w:rsidRDefault="00EC037F" w:rsidP="00EC037F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C037F">
        <w:rPr>
          <w:rFonts w:ascii="Times New Roman" w:hAnsi="Times New Roman" w:cs="Times New Roman"/>
          <w:sz w:val="20"/>
          <w:szCs w:val="20"/>
        </w:rPr>
        <w:t>The disturbance develops over a short period of time (usually hours to a few days), rep-resents a change from baseline attention and awareness, and tends to fluctuate in severity during the course of a day.</w:t>
      </w:r>
    </w:p>
    <w:p w14:paraId="08ACF5AA" w14:textId="77777777" w:rsidR="00EC037F" w:rsidRPr="00EC037F" w:rsidRDefault="00EC037F" w:rsidP="00EC037F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C037F">
        <w:rPr>
          <w:rFonts w:ascii="Times New Roman" w:hAnsi="Times New Roman" w:cs="Times New Roman"/>
          <w:sz w:val="20"/>
          <w:szCs w:val="20"/>
        </w:rPr>
        <w:t>An additional disturbance in cognition (e.g., memory deficit, disorientation, language, visuospatial ability, or perception).</w:t>
      </w:r>
    </w:p>
    <w:p w14:paraId="6E591EA5" w14:textId="77777777" w:rsidR="00EC037F" w:rsidRPr="00EC037F" w:rsidRDefault="00EC037F" w:rsidP="00EC037F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C037F">
        <w:rPr>
          <w:rFonts w:ascii="Times New Roman" w:hAnsi="Times New Roman" w:cs="Times New Roman"/>
          <w:sz w:val="20"/>
          <w:szCs w:val="20"/>
        </w:rPr>
        <w:t>The disturbances in Criteria A and C are not better explained by another preexisting, established, or evolving neurocognitive disorder and do not occur in the context of a severely reduced level of arousal, such as coma.</w:t>
      </w:r>
    </w:p>
    <w:p w14:paraId="6BF9A05E" w14:textId="77777777" w:rsidR="00EC037F" w:rsidRPr="00EC037F" w:rsidRDefault="00EC037F" w:rsidP="00EC037F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C037F">
        <w:rPr>
          <w:rFonts w:ascii="Times New Roman" w:hAnsi="Times New Roman" w:cs="Times New Roman"/>
          <w:sz w:val="20"/>
          <w:szCs w:val="20"/>
        </w:rPr>
        <w:t>There is evidence from the history, physical examination, or laboratory findings that the disturbance is a direct physiological consequence of another medical condition, sub-stance intoxication or withdrawal (i.e., due to a drug of abuse or to a medication), or exposure to a toxin, or is due to multiple etiologies.</w:t>
      </w:r>
    </w:p>
    <w:p w14:paraId="628A1CE0" w14:textId="77777777" w:rsidR="00EC037F" w:rsidRPr="00EC037F" w:rsidRDefault="00EC037F" w:rsidP="00EC037F">
      <w:pPr>
        <w:rPr>
          <w:sz w:val="20"/>
          <w:szCs w:val="20"/>
        </w:rPr>
      </w:pPr>
    </w:p>
    <w:p w14:paraId="67829869" w14:textId="2D5FF7BB" w:rsidR="00EC037F" w:rsidRPr="00EC037F" w:rsidRDefault="00EC037F" w:rsidP="00EC037F">
      <w:pPr>
        <w:pStyle w:val="Heading3"/>
        <w:spacing w:before="0" w:after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 w:rsidRPr="00EC037F">
        <w:rPr>
          <w:rFonts w:ascii="Times New Roman" w:hAnsi="Times New Roman" w:cs="Times New Roman"/>
          <w:b/>
          <w:bCs/>
          <w:color w:val="000000"/>
          <w:sz w:val="20"/>
          <w:szCs w:val="20"/>
          <w:vertAlign w:val="superscript"/>
        </w:rPr>
        <w:t>b</w:t>
      </w:r>
      <w:r w:rsidRPr="00EC037F">
        <w:rPr>
          <w:rFonts w:ascii="Times New Roman" w:hAnsi="Times New Roman" w:cs="Times New Roman"/>
          <w:b/>
          <w:bCs/>
          <w:color w:val="000000"/>
          <w:sz w:val="20"/>
          <w:szCs w:val="20"/>
        </w:rPr>
        <w:t>Coma</w:t>
      </w:r>
      <w:proofErr w:type="spellEnd"/>
      <w:r w:rsidRPr="00EC037F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definition</w:t>
      </w:r>
      <w:r w:rsidRPr="00EC037F">
        <w:rPr>
          <w:rFonts w:ascii="Times New Roman" w:hAnsi="Times New Roman" w:cs="Times New Roman"/>
          <w:b/>
          <w:bCs/>
          <w:color w:val="000000"/>
          <w:sz w:val="20"/>
          <w:szCs w:val="20"/>
        </w:rPr>
        <w:fldChar w:fldCharType="begin">
          <w:fldData xml:space="preserve">PEVuZE5vdGU+PENpdGU+PEF1dGhvcj5IZWxib2s8L0F1dGhvcj48WWVhcj4yMDIyPC9ZZWFyPjxS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==
</w:fldData>
        </w:fldChar>
      </w:r>
      <w:r w:rsidRPr="00EC037F">
        <w:rPr>
          <w:rFonts w:ascii="Times New Roman" w:hAnsi="Times New Roman" w:cs="Times New Roman"/>
          <w:b/>
          <w:bCs/>
          <w:color w:val="000000"/>
          <w:sz w:val="20"/>
          <w:szCs w:val="20"/>
        </w:rPr>
        <w:instrText xml:space="preserve"> ADDIN EN.CITE </w:instrText>
      </w:r>
      <w:r w:rsidRPr="00EC037F">
        <w:rPr>
          <w:rFonts w:ascii="Times New Roman" w:hAnsi="Times New Roman" w:cs="Times New Roman"/>
          <w:b/>
          <w:bCs/>
          <w:color w:val="000000"/>
          <w:sz w:val="20"/>
          <w:szCs w:val="20"/>
        </w:rPr>
        <w:fldChar w:fldCharType="begin">
          <w:fldData xml:space="preserve">PEVuZE5vdGU+PENpdGU+PEF1dGhvcj5IZWxib2s8L0F1dGhvcj48WWVhcj4yMDIyPC9ZZWFyPjxS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==
</w:fldData>
        </w:fldChar>
      </w:r>
      <w:r w:rsidRPr="00EC037F">
        <w:rPr>
          <w:rFonts w:ascii="Times New Roman" w:hAnsi="Times New Roman" w:cs="Times New Roman"/>
          <w:b/>
          <w:bCs/>
          <w:color w:val="000000"/>
          <w:sz w:val="20"/>
          <w:szCs w:val="20"/>
        </w:rPr>
        <w:instrText xml:space="preserve"> ADDIN EN.CITE.DATA </w:instrText>
      </w:r>
      <w:r w:rsidRPr="00EC037F">
        <w:rPr>
          <w:rFonts w:ascii="Times New Roman" w:hAnsi="Times New Roman" w:cs="Times New Roman"/>
          <w:b/>
          <w:bCs/>
          <w:color w:val="000000"/>
          <w:sz w:val="20"/>
          <w:szCs w:val="20"/>
        </w:rPr>
      </w:r>
      <w:r w:rsidRPr="00EC037F">
        <w:rPr>
          <w:rFonts w:ascii="Times New Roman" w:hAnsi="Times New Roman" w:cs="Times New Roman"/>
          <w:b/>
          <w:bCs/>
          <w:color w:val="000000"/>
          <w:sz w:val="20"/>
          <w:szCs w:val="20"/>
        </w:rPr>
        <w:fldChar w:fldCharType="end"/>
      </w:r>
      <w:r w:rsidRPr="00EC037F">
        <w:rPr>
          <w:rFonts w:ascii="Times New Roman" w:hAnsi="Times New Roman" w:cs="Times New Roman"/>
          <w:b/>
          <w:bCs/>
          <w:color w:val="000000"/>
          <w:sz w:val="20"/>
          <w:szCs w:val="20"/>
        </w:rPr>
      </w:r>
      <w:r w:rsidRPr="00EC037F">
        <w:rPr>
          <w:rFonts w:ascii="Times New Roman" w:hAnsi="Times New Roman" w:cs="Times New Roman"/>
          <w:b/>
          <w:bCs/>
          <w:color w:val="000000"/>
          <w:sz w:val="20"/>
          <w:szCs w:val="20"/>
        </w:rPr>
        <w:fldChar w:fldCharType="separate"/>
      </w:r>
      <w:r w:rsidRPr="00EC037F">
        <w:rPr>
          <w:rFonts w:ascii="Times New Roman" w:hAnsi="Times New Roman" w:cs="Times New Roman"/>
          <w:b/>
          <w:bCs/>
          <w:noProof/>
          <w:color w:val="000000"/>
          <w:sz w:val="20"/>
          <w:szCs w:val="20"/>
          <w:vertAlign w:val="superscript"/>
        </w:rPr>
        <w:t>3</w:t>
      </w:r>
      <w:r w:rsidRPr="00EC037F">
        <w:rPr>
          <w:rFonts w:ascii="Times New Roman" w:hAnsi="Times New Roman" w:cs="Times New Roman"/>
          <w:b/>
          <w:bCs/>
          <w:color w:val="000000"/>
          <w:sz w:val="20"/>
          <w:szCs w:val="20"/>
        </w:rPr>
        <w:fldChar w:fldCharType="end"/>
      </w:r>
    </w:p>
    <w:p w14:paraId="181DE896" w14:textId="77777777" w:rsidR="00EC037F" w:rsidRPr="00EC037F" w:rsidRDefault="00EC037F" w:rsidP="00EC037F">
      <w:pPr>
        <w:pStyle w:val="Heading3"/>
        <w:numPr>
          <w:ilvl w:val="0"/>
          <w:numId w:val="5"/>
        </w:numPr>
        <w:tabs>
          <w:tab w:val="num" w:pos="360"/>
        </w:tabs>
        <w:spacing w:before="0" w:after="0"/>
        <w:ind w:left="0" w:firstLine="0"/>
        <w:rPr>
          <w:rFonts w:ascii="Times New Roman" w:hAnsi="Times New Roman" w:cs="Times New Roman"/>
          <w:color w:val="000000"/>
          <w:sz w:val="20"/>
          <w:szCs w:val="20"/>
        </w:rPr>
      </w:pPr>
      <w:r w:rsidRPr="00EC037F">
        <w:rPr>
          <w:rFonts w:ascii="Times New Roman" w:hAnsi="Times New Roman" w:cs="Times New Roman"/>
          <w:color w:val="000000"/>
          <w:sz w:val="20"/>
          <w:szCs w:val="20"/>
        </w:rPr>
        <w:t>No command-following</w:t>
      </w:r>
    </w:p>
    <w:p w14:paraId="4E70804F" w14:textId="77777777" w:rsidR="00EC037F" w:rsidRPr="00EC037F" w:rsidRDefault="00EC037F" w:rsidP="00EC037F">
      <w:pPr>
        <w:pStyle w:val="Heading3"/>
        <w:numPr>
          <w:ilvl w:val="0"/>
          <w:numId w:val="5"/>
        </w:numPr>
        <w:tabs>
          <w:tab w:val="num" w:pos="360"/>
        </w:tabs>
        <w:spacing w:before="0" w:after="0"/>
        <w:ind w:left="0" w:firstLine="0"/>
        <w:rPr>
          <w:rFonts w:ascii="Times New Roman" w:hAnsi="Times New Roman" w:cs="Times New Roman"/>
          <w:color w:val="000000"/>
          <w:sz w:val="20"/>
          <w:szCs w:val="20"/>
        </w:rPr>
      </w:pPr>
      <w:r w:rsidRPr="00EC037F">
        <w:rPr>
          <w:rFonts w:ascii="Times New Roman" w:hAnsi="Times New Roman" w:cs="Times New Roman"/>
          <w:color w:val="000000"/>
          <w:sz w:val="20"/>
          <w:szCs w:val="20"/>
        </w:rPr>
        <w:t>No intelligible speech or recognizable gesture</w:t>
      </w:r>
    </w:p>
    <w:p w14:paraId="4CF72AEB" w14:textId="77777777" w:rsidR="00EC037F" w:rsidRPr="00EC037F" w:rsidRDefault="00EC037F" w:rsidP="00EC037F">
      <w:pPr>
        <w:pStyle w:val="Heading3"/>
        <w:numPr>
          <w:ilvl w:val="0"/>
          <w:numId w:val="5"/>
        </w:numPr>
        <w:tabs>
          <w:tab w:val="num" w:pos="360"/>
        </w:tabs>
        <w:spacing w:before="0" w:after="0"/>
        <w:ind w:left="0" w:firstLine="0"/>
        <w:rPr>
          <w:rFonts w:ascii="Times New Roman" w:hAnsi="Times New Roman" w:cs="Times New Roman"/>
          <w:color w:val="000000"/>
          <w:sz w:val="20"/>
          <w:szCs w:val="20"/>
        </w:rPr>
      </w:pPr>
      <w:r w:rsidRPr="00EC037F">
        <w:rPr>
          <w:rFonts w:ascii="Times New Roman" w:hAnsi="Times New Roman" w:cs="Times New Roman"/>
          <w:color w:val="000000"/>
          <w:sz w:val="20"/>
          <w:szCs w:val="20"/>
        </w:rPr>
        <w:t>No volitional movement (reflexive movement may occur)</w:t>
      </w:r>
    </w:p>
    <w:p w14:paraId="41365981" w14:textId="77777777" w:rsidR="00EC037F" w:rsidRPr="00EC037F" w:rsidRDefault="00EC037F" w:rsidP="00EC037F">
      <w:pPr>
        <w:pStyle w:val="Heading3"/>
        <w:numPr>
          <w:ilvl w:val="0"/>
          <w:numId w:val="5"/>
        </w:numPr>
        <w:tabs>
          <w:tab w:val="num" w:pos="360"/>
        </w:tabs>
        <w:spacing w:before="0" w:after="0"/>
        <w:ind w:left="0" w:firstLine="0"/>
        <w:rPr>
          <w:rFonts w:ascii="Times New Roman" w:hAnsi="Times New Roman" w:cs="Times New Roman"/>
          <w:color w:val="000000"/>
          <w:sz w:val="20"/>
          <w:szCs w:val="20"/>
        </w:rPr>
      </w:pPr>
      <w:r w:rsidRPr="00EC037F">
        <w:rPr>
          <w:rFonts w:ascii="Times New Roman" w:hAnsi="Times New Roman" w:cs="Times New Roman"/>
          <w:color w:val="000000"/>
          <w:sz w:val="20"/>
          <w:szCs w:val="20"/>
        </w:rPr>
        <w:t>No visual pursuit, fixation, saccade to stimuli or eye opening or closing to command</w:t>
      </w:r>
    </w:p>
    <w:p w14:paraId="5D14856D" w14:textId="77777777" w:rsidR="00EC037F" w:rsidRPr="00EC037F" w:rsidRDefault="00EC037F" w:rsidP="00EC037F">
      <w:pPr>
        <w:pStyle w:val="Heading3"/>
        <w:numPr>
          <w:ilvl w:val="0"/>
          <w:numId w:val="5"/>
        </w:numPr>
        <w:tabs>
          <w:tab w:val="num" w:pos="360"/>
        </w:tabs>
        <w:spacing w:before="0" w:after="0"/>
        <w:ind w:left="0" w:firstLine="0"/>
        <w:rPr>
          <w:rFonts w:ascii="Times New Roman" w:hAnsi="Times New Roman" w:cs="Times New Roman"/>
          <w:color w:val="000000"/>
          <w:sz w:val="20"/>
          <w:szCs w:val="20"/>
        </w:rPr>
      </w:pPr>
      <w:r w:rsidRPr="00EC037F">
        <w:rPr>
          <w:rFonts w:ascii="Times New Roman" w:hAnsi="Times New Roman" w:cs="Times New Roman"/>
          <w:color w:val="000000"/>
          <w:sz w:val="20"/>
          <w:szCs w:val="20"/>
        </w:rPr>
        <w:t>The above criteria are not due to use of paralytic agents, active use of sedatives, or another neurologic or psychiatric disorder ((e.g., locked-in syndrome, neuromuscular disorder, catatonia, akinetic mute, abulia, conversion disorder)</w:t>
      </w:r>
    </w:p>
    <w:p w14:paraId="774F7F16" w14:textId="77777777" w:rsidR="00EC037F" w:rsidRPr="00EC037F" w:rsidRDefault="00EC037F" w:rsidP="00EC037F">
      <w:pPr>
        <w:pStyle w:val="Heading3"/>
        <w:numPr>
          <w:ilvl w:val="0"/>
          <w:numId w:val="5"/>
        </w:numPr>
        <w:tabs>
          <w:tab w:val="num" w:pos="360"/>
        </w:tabs>
        <w:spacing w:before="0" w:after="0"/>
        <w:ind w:left="0" w:firstLine="0"/>
        <w:rPr>
          <w:rFonts w:ascii="Times New Roman" w:hAnsi="Times New Roman" w:cs="Times New Roman"/>
          <w:color w:val="000000"/>
          <w:sz w:val="20"/>
          <w:szCs w:val="20"/>
        </w:rPr>
      </w:pPr>
      <w:r w:rsidRPr="00EC037F">
        <w:rPr>
          <w:rFonts w:ascii="Times New Roman" w:hAnsi="Times New Roman" w:cs="Times New Roman"/>
          <w:color w:val="000000"/>
          <w:sz w:val="20"/>
          <w:szCs w:val="20"/>
        </w:rPr>
        <w:t>No evidence of cognitive motor dissociation (i.e. the covert ability to follow commands) based on electrophysiological or functional imaging, if such testing is available.</w:t>
      </w:r>
    </w:p>
    <w:p w14:paraId="3FCB5CB0" w14:textId="77777777" w:rsidR="00EC037F" w:rsidRPr="00EC037F" w:rsidRDefault="00EC037F" w:rsidP="00EC037F">
      <w:pPr>
        <w:rPr>
          <w:b/>
          <w:bCs/>
          <w:sz w:val="20"/>
          <w:szCs w:val="20"/>
        </w:rPr>
      </w:pPr>
      <w:r w:rsidRPr="00EC037F">
        <w:rPr>
          <w:b/>
          <w:bCs/>
          <w:sz w:val="20"/>
          <w:szCs w:val="20"/>
        </w:rPr>
        <w:br w:type="page"/>
      </w:r>
    </w:p>
    <w:p w14:paraId="58C1A030" w14:textId="2ADB0220" w:rsidR="00B201C0" w:rsidRPr="00EC037F" w:rsidRDefault="00B410FF" w:rsidP="00183F02">
      <w:pPr>
        <w:rPr>
          <w:rStyle w:val="Strong"/>
          <w:rFonts w:eastAsiaTheme="majorEastAsia"/>
          <w:color w:val="000000"/>
          <w:sz w:val="20"/>
          <w:szCs w:val="20"/>
        </w:rPr>
      </w:pPr>
      <w:r w:rsidRPr="00EC037F">
        <w:rPr>
          <w:b/>
          <w:bCs/>
          <w:color w:val="000000"/>
          <w:sz w:val="20"/>
          <w:szCs w:val="20"/>
        </w:rPr>
        <w:lastRenderedPageBreak/>
        <w:t xml:space="preserve">Supplemental </w:t>
      </w:r>
      <w:r w:rsidR="00B201C0" w:rsidRPr="00EC037F">
        <w:rPr>
          <w:b/>
          <w:bCs/>
          <w:color w:val="000000"/>
          <w:sz w:val="20"/>
          <w:szCs w:val="20"/>
        </w:rPr>
        <w:t xml:space="preserve">Table </w:t>
      </w:r>
      <w:r w:rsidR="00EC037F">
        <w:rPr>
          <w:b/>
          <w:bCs/>
          <w:color w:val="000000"/>
          <w:sz w:val="20"/>
          <w:szCs w:val="20"/>
        </w:rPr>
        <w:t>2</w:t>
      </w:r>
      <w:r w:rsidR="00B201C0" w:rsidRPr="00EC037F">
        <w:rPr>
          <w:b/>
          <w:bCs/>
          <w:color w:val="000000"/>
          <w:sz w:val="20"/>
          <w:szCs w:val="20"/>
        </w:rPr>
        <w:t>. </w:t>
      </w:r>
      <w:r w:rsidR="00B201C0" w:rsidRPr="00EC037F">
        <w:rPr>
          <w:rStyle w:val="Strong"/>
          <w:rFonts w:eastAsiaTheme="majorEastAsia"/>
          <w:color w:val="000000"/>
          <w:sz w:val="20"/>
          <w:szCs w:val="20"/>
        </w:rPr>
        <w:t>Common Causes of Acute Encephalopathy in Non-Neurological Critical Illness, Clinical Phenotypes, and Preventive Strategies</w:t>
      </w:r>
    </w:p>
    <w:p w14:paraId="2FDF53C5" w14:textId="77777777" w:rsidR="00086872" w:rsidRPr="00EC037F" w:rsidRDefault="00086872" w:rsidP="00183F02">
      <w:pPr>
        <w:rPr>
          <w:b/>
          <w:bCs/>
          <w:color w:val="000000"/>
          <w:sz w:val="20"/>
          <w:szCs w:val="20"/>
        </w:rPr>
      </w:pPr>
    </w:p>
    <w:tbl>
      <w:tblPr>
        <w:tblStyle w:val="TableGrid"/>
        <w:tblW w:w="12956" w:type="dxa"/>
        <w:tblLook w:val="04A0" w:firstRow="1" w:lastRow="0" w:firstColumn="1" w:lastColumn="0" w:noHBand="0" w:noVBand="1"/>
      </w:tblPr>
      <w:tblGrid>
        <w:gridCol w:w="2083"/>
        <w:gridCol w:w="2919"/>
        <w:gridCol w:w="2656"/>
        <w:gridCol w:w="1749"/>
        <w:gridCol w:w="3549"/>
      </w:tblGrid>
      <w:tr w:rsidR="00B201C0" w:rsidRPr="00EC037F" w14:paraId="3055C1AA" w14:textId="77777777" w:rsidTr="00086872">
        <w:trPr>
          <w:trHeight w:val="564"/>
        </w:trPr>
        <w:tc>
          <w:tcPr>
            <w:tcW w:w="0" w:type="auto"/>
            <w:shd w:val="clear" w:color="auto" w:fill="DAE9F7" w:themeFill="text2" w:themeFillTint="1A"/>
            <w:hideMark/>
          </w:tcPr>
          <w:p w14:paraId="172B39AA" w14:textId="77777777" w:rsidR="00B201C0" w:rsidRPr="00EC037F" w:rsidRDefault="00B201C0" w:rsidP="00183F02">
            <w:pPr>
              <w:jc w:val="center"/>
              <w:rPr>
                <w:b/>
                <w:bCs/>
                <w:sz w:val="20"/>
                <w:szCs w:val="20"/>
                <w:lang w:val="en-CA"/>
              </w:rPr>
            </w:pPr>
            <w:r w:rsidRPr="00EC037F">
              <w:rPr>
                <w:rStyle w:val="Strong"/>
                <w:rFonts w:eastAsiaTheme="majorEastAsia"/>
                <w:sz w:val="20"/>
                <w:szCs w:val="20"/>
                <w:lang w:val="en-CA"/>
              </w:rPr>
              <w:t>Category</w:t>
            </w:r>
          </w:p>
        </w:tc>
        <w:tc>
          <w:tcPr>
            <w:tcW w:w="0" w:type="auto"/>
            <w:shd w:val="clear" w:color="auto" w:fill="DAE9F7" w:themeFill="text2" w:themeFillTint="1A"/>
            <w:hideMark/>
          </w:tcPr>
          <w:p w14:paraId="704FFBA2" w14:textId="77777777" w:rsidR="00B201C0" w:rsidRPr="00EC037F" w:rsidRDefault="00B201C0" w:rsidP="00183F02">
            <w:pPr>
              <w:jc w:val="center"/>
              <w:rPr>
                <w:b/>
                <w:bCs/>
                <w:sz w:val="20"/>
                <w:szCs w:val="20"/>
                <w:lang w:val="en-CA"/>
              </w:rPr>
            </w:pPr>
            <w:r w:rsidRPr="00EC037F">
              <w:rPr>
                <w:rStyle w:val="Strong"/>
                <w:rFonts w:eastAsiaTheme="majorEastAsia"/>
                <w:sz w:val="20"/>
                <w:szCs w:val="20"/>
                <w:lang w:val="en-CA"/>
              </w:rPr>
              <w:t>Representative ICU Causes</w:t>
            </w:r>
          </w:p>
        </w:tc>
        <w:tc>
          <w:tcPr>
            <w:tcW w:w="0" w:type="auto"/>
            <w:shd w:val="clear" w:color="auto" w:fill="DAE9F7" w:themeFill="text2" w:themeFillTint="1A"/>
            <w:hideMark/>
          </w:tcPr>
          <w:p w14:paraId="47755DA1" w14:textId="77777777" w:rsidR="00B201C0" w:rsidRPr="00EC037F" w:rsidRDefault="00B201C0" w:rsidP="00183F02">
            <w:pPr>
              <w:jc w:val="center"/>
              <w:rPr>
                <w:b/>
                <w:bCs/>
                <w:sz w:val="20"/>
                <w:szCs w:val="20"/>
                <w:lang w:val="en-CA"/>
              </w:rPr>
            </w:pPr>
            <w:r w:rsidRPr="00EC037F">
              <w:rPr>
                <w:rStyle w:val="Strong"/>
                <w:rFonts w:eastAsiaTheme="majorEastAsia"/>
                <w:sz w:val="20"/>
                <w:szCs w:val="20"/>
                <w:lang w:val="en-CA"/>
              </w:rPr>
              <w:t>Dominant Mechanisms</w:t>
            </w:r>
          </w:p>
        </w:tc>
        <w:tc>
          <w:tcPr>
            <w:tcW w:w="0" w:type="auto"/>
            <w:shd w:val="clear" w:color="auto" w:fill="DAE9F7" w:themeFill="text2" w:themeFillTint="1A"/>
            <w:hideMark/>
          </w:tcPr>
          <w:p w14:paraId="7C95B2FD" w14:textId="77777777" w:rsidR="00B201C0" w:rsidRPr="00EC037F" w:rsidRDefault="00B201C0" w:rsidP="00183F02">
            <w:pPr>
              <w:jc w:val="center"/>
              <w:rPr>
                <w:b/>
                <w:bCs/>
                <w:sz w:val="20"/>
                <w:szCs w:val="20"/>
                <w:lang w:val="en-CA"/>
              </w:rPr>
            </w:pPr>
            <w:r w:rsidRPr="00EC037F">
              <w:rPr>
                <w:rStyle w:val="Strong"/>
                <w:rFonts w:eastAsiaTheme="majorEastAsia"/>
                <w:sz w:val="20"/>
                <w:szCs w:val="20"/>
                <w:lang w:val="en-CA"/>
              </w:rPr>
              <w:t>Typical Clinical Phenotypes</w:t>
            </w:r>
          </w:p>
        </w:tc>
        <w:tc>
          <w:tcPr>
            <w:tcW w:w="0" w:type="auto"/>
            <w:shd w:val="clear" w:color="auto" w:fill="DAE9F7" w:themeFill="text2" w:themeFillTint="1A"/>
            <w:hideMark/>
          </w:tcPr>
          <w:p w14:paraId="16009B62" w14:textId="77777777" w:rsidR="00B201C0" w:rsidRPr="00EC037F" w:rsidRDefault="00B201C0" w:rsidP="00183F02">
            <w:pPr>
              <w:jc w:val="center"/>
              <w:rPr>
                <w:b/>
                <w:bCs/>
                <w:sz w:val="20"/>
                <w:szCs w:val="20"/>
                <w:lang w:val="en-CA"/>
              </w:rPr>
            </w:pPr>
            <w:r w:rsidRPr="00EC037F">
              <w:rPr>
                <w:rStyle w:val="Strong"/>
                <w:rFonts w:eastAsiaTheme="majorEastAsia"/>
                <w:sz w:val="20"/>
                <w:szCs w:val="20"/>
                <w:lang w:val="en-CA"/>
              </w:rPr>
              <w:t>Preventive / Mitigation Strategies</w:t>
            </w:r>
          </w:p>
        </w:tc>
      </w:tr>
      <w:tr w:rsidR="00B201C0" w:rsidRPr="00EC037F" w14:paraId="7A21CC53" w14:textId="77777777" w:rsidTr="00183F02">
        <w:trPr>
          <w:trHeight w:val="1146"/>
        </w:trPr>
        <w:tc>
          <w:tcPr>
            <w:tcW w:w="0" w:type="auto"/>
            <w:hideMark/>
          </w:tcPr>
          <w:p w14:paraId="64F36009" w14:textId="70801FD4" w:rsidR="00B201C0" w:rsidRPr="00EC037F" w:rsidRDefault="00B201C0" w:rsidP="00183F02">
            <w:pPr>
              <w:rPr>
                <w:sz w:val="20"/>
                <w:szCs w:val="20"/>
                <w:lang w:val="en-CA"/>
              </w:rPr>
            </w:pPr>
            <w:r w:rsidRPr="00EC037F">
              <w:rPr>
                <w:rStyle w:val="Strong"/>
                <w:rFonts w:eastAsiaTheme="majorEastAsia"/>
                <w:sz w:val="20"/>
                <w:szCs w:val="20"/>
                <w:lang w:val="en-CA"/>
              </w:rPr>
              <w:t>Systemic infection/ inflammation</w:t>
            </w:r>
          </w:p>
        </w:tc>
        <w:tc>
          <w:tcPr>
            <w:tcW w:w="0" w:type="auto"/>
            <w:hideMark/>
          </w:tcPr>
          <w:p w14:paraId="67B82BD5" w14:textId="77777777" w:rsidR="00B201C0" w:rsidRPr="00EC037F" w:rsidRDefault="00B201C0" w:rsidP="00183F02">
            <w:pPr>
              <w:rPr>
                <w:sz w:val="20"/>
                <w:szCs w:val="20"/>
                <w:lang w:val="en-CA"/>
              </w:rPr>
            </w:pPr>
            <w:r w:rsidRPr="00EC037F">
              <w:rPr>
                <w:sz w:val="20"/>
                <w:szCs w:val="20"/>
                <w:lang w:val="en-CA"/>
              </w:rPr>
              <w:t>Sepsis, septic shock, pancreatitis</w:t>
            </w:r>
          </w:p>
        </w:tc>
        <w:tc>
          <w:tcPr>
            <w:tcW w:w="0" w:type="auto"/>
            <w:hideMark/>
          </w:tcPr>
          <w:p w14:paraId="1F76802B" w14:textId="77777777" w:rsidR="00B201C0" w:rsidRPr="00EC037F" w:rsidRDefault="00B201C0" w:rsidP="00183F02">
            <w:pPr>
              <w:rPr>
                <w:sz w:val="20"/>
                <w:szCs w:val="20"/>
                <w:lang w:val="en-CA"/>
              </w:rPr>
            </w:pPr>
            <w:r w:rsidRPr="00EC037F">
              <w:rPr>
                <w:sz w:val="20"/>
                <w:szCs w:val="20"/>
                <w:lang w:val="en-CA"/>
              </w:rPr>
              <w:t>Neuroinflammation, BBB disruption, impaired perfusion</w:t>
            </w:r>
          </w:p>
        </w:tc>
        <w:tc>
          <w:tcPr>
            <w:tcW w:w="0" w:type="auto"/>
            <w:hideMark/>
          </w:tcPr>
          <w:p w14:paraId="201FB9C8" w14:textId="77777777" w:rsidR="00B201C0" w:rsidRPr="00EC037F" w:rsidRDefault="00B201C0" w:rsidP="00183F02">
            <w:pPr>
              <w:jc w:val="center"/>
              <w:rPr>
                <w:sz w:val="20"/>
                <w:szCs w:val="20"/>
                <w:lang w:val="en-CA"/>
              </w:rPr>
            </w:pPr>
            <w:r w:rsidRPr="00EC037F">
              <w:rPr>
                <w:sz w:val="20"/>
                <w:szCs w:val="20"/>
                <w:lang w:val="en-CA"/>
              </w:rPr>
              <w:t>Delirium, coma, seizures</w:t>
            </w:r>
          </w:p>
        </w:tc>
        <w:tc>
          <w:tcPr>
            <w:tcW w:w="0" w:type="auto"/>
            <w:hideMark/>
          </w:tcPr>
          <w:p w14:paraId="7C26DE0E" w14:textId="77777777" w:rsidR="00B201C0" w:rsidRPr="00EC037F" w:rsidRDefault="00B201C0" w:rsidP="00183F02">
            <w:pPr>
              <w:rPr>
                <w:sz w:val="20"/>
                <w:szCs w:val="20"/>
                <w:lang w:val="en-CA"/>
              </w:rPr>
            </w:pPr>
            <w:r w:rsidRPr="00EC037F">
              <w:rPr>
                <w:sz w:val="20"/>
                <w:szCs w:val="20"/>
                <w:lang w:val="en-CA"/>
              </w:rPr>
              <w:t>Early sepsis recognition and treatment, infection source control, avoidance of hypotension and hypoxemia</w:t>
            </w:r>
          </w:p>
        </w:tc>
      </w:tr>
      <w:tr w:rsidR="00B201C0" w:rsidRPr="00EC037F" w14:paraId="586ADBD3" w14:textId="77777777" w:rsidTr="00086872">
        <w:trPr>
          <w:trHeight w:val="841"/>
        </w:trPr>
        <w:tc>
          <w:tcPr>
            <w:tcW w:w="0" w:type="auto"/>
            <w:shd w:val="clear" w:color="auto" w:fill="F2F2F2" w:themeFill="background1" w:themeFillShade="F2"/>
            <w:hideMark/>
          </w:tcPr>
          <w:p w14:paraId="7DA87520" w14:textId="7E51FFD3" w:rsidR="00B201C0" w:rsidRPr="00EC037F" w:rsidRDefault="00B201C0" w:rsidP="00183F02">
            <w:pPr>
              <w:rPr>
                <w:sz w:val="20"/>
                <w:szCs w:val="20"/>
                <w:lang w:val="en-CA"/>
              </w:rPr>
            </w:pPr>
            <w:r w:rsidRPr="00EC037F">
              <w:rPr>
                <w:rStyle w:val="Strong"/>
                <w:rFonts w:eastAsiaTheme="majorEastAsia"/>
                <w:sz w:val="20"/>
                <w:szCs w:val="20"/>
                <w:lang w:val="en-CA"/>
              </w:rPr>
              <w:t>Hypoxemia/ hypoxic stress</w:t>
            </w:r>
          </w:p>
        </w:tc>
        <w:tc>
          <w:tcPr>
            <w:tcW w:w="0" w:type="auto"/>
            <w:shd w:val="clear" w:color="auto" w:fill="F2F2F2" w:themeFill="background1" w:themeFillShade="F2"/>
            <w:hideMark/>
          </w:tcPr>
          <w:p w14:paraId="42A238E6" w14:textId="77777777" w:rsidR="00B201C0" w:rsidRPr="00EC037F" w:rsidRDefault="00B201C0" w:rsidP="00183F02">
            <w:pPr>
              <w:rPr>
                <w:sz w:val="20"/>
                <w:szCs w:val="20"/>
                <w:lang w:val="en-CA"/>
              </w:rPr>
            </w:pPr>
            <w:r w:rsidRPr="00EC037F">
              <w:rPr>
                <w:sz w:val="20"/>
                <w:szCs w:val="20"/>
                <w:lang w:val="en-CA"/>
              </w:rPr>
              <w:t>ARDS, respiratory failure, severe anemia</w:t>
            </w:r>
          </w:p>
        </w:tc>
        <w:tc>
          <w:tcPr>
            <w:tcW w:w="0" w:type="auto"/>
            <w:shd w:val="clear" w:color="auto" w:fill="F2F2F2" w:themeFill="background1" w:themeFillShade="F2"/>
            <w:hideMark/>
          </w:tcPr>
          <w:p w14:paraId="646D9529" w14:textId="77777777" w:rsidR="00B201C0" w:rsidRPr="00EC037F" w:rsidRDefault="00B201C0" w:rsidP="00183F02">
            <w:pPr>
              <w:rPr>
                <w:sz w:val="20"/>
                <w:szCs w:val="20"/>
                <w:lang w:val="en-CA"/>
              </w:rPr>
            </w:pPr>
            <w:r w:rsidRPr="00EC037F">
              <w:rPr>
                <w:sz w:val="20"/>
                <w:szCs w:val="20"/>
                <w:lang w:val="en-CA"/>
              </w:rPr>
              <w:t>Neuronal energy failure, oxidative stress</w:t>
            </w:r>
          </w:p>
        </w:tc>
        <w:tc>
          <w:tcPr>
            <w:tcW w:w="0" w:type="auto"/>
            <w:shd w:val="clear" w:color="auto" w:fill="F2F2F2" w:themeFill="background1" w:themeFillShade="F2"/>
            <w:hideMark/>
          </w:tcPr>
          <w:p w14:paraId="5B003C48" w14:textId="77777777" w:rsidR="00B201C0" w:rsidRPr="00EC037F" w:rsidRDefault="00B201C0" w:rsidP="00183F02">
            <w:pPr>
              <w:jc w:val="center"/>
              <w:rPr>
                <w:sz w:val="20"/>
                <w:szCs w:val="20"/>
                <w:lang w:val="en-CA"/>
              </w:rPr>
            </w:pPr>
            <w:r w:rsidRPr="00EC037F">
              <w:rPr>
                <w:sz w:val="20"/>
                <w:szCs w:val="20"/>
                <w:lang w:val="en-CA"/>
              </w:rPr>
              <w:t>Delirium, coma, myoclonus, seizures</w:t>
            </w:r>
          </w:p>
        </w:tc>
        <w:tc>
          <w:tcPr>
            <w:tcW w:w="0" w:type="auto"/>
            <w:shd w:val="clear" w:color="auto" w:fill="F2F2F2" w:themeFill="background1" w:themeFillShade="F2"/>
            <w:hideMark/>
          </w:tcPr>
          <w:p w14:paraId="33156FB2" w14:textId="77777777" w:rsidR="00B201C0" w:rsidRPr="00EC037F" w:rsidRDefault="00B201C0" w:rsidP="00183F02">
            <w:pPr>
              <w:rPr>
                <w:sz w:val="20"/>
                <w:szCs w:val="20"/>
                <w:lang w:val="en-CA"/>
              </w:rPr>
            </w:pPr>
            <w:r w:rsidRPr="00EC037F">
              <w:rPr>
                <w:sz w:val="20"/>
                <w:szCs w:val="20"/>
                <w:lang w:val="en-CA"/>
              </w:rPr>
              <w:t>Lung-protective ventilation, avoidance of severe hypoxemia, optimization of oxygen delivery</w:t>
            </w:r>
          </w:p>
        </w:tc>
      </w:tr>
      <w:tr w:rsidR="00B201C0" w:rsidRPr="00EC037F" w14:paraId="52835AA1" w14:textId="77777777" w:rsidTr="00183F02">
        <w:trPr>
          <w:trHeight w:val="1146"/>
        </w:trPr>
        <w:tc>
          <w:tcPr>
            <w:tcW w:w="0" w:type="auto"/>
            <w:hideMark/>
          </w:tcPr>
          <w:p w14:paraId="16801787" w14:textId="77777777" w:rsidR="00B201C0" w:rsidRPr="00EC037F" w:rsidRDefault="00B201C0" w:rsidP="00183F02">
            <w:pPr>
              <w:rPr>
                <w:sz w:val="20"/>
                <w:szCs w:val="20"/>
                <w:lang w:val="en-CA"/>
              </w:rPr>
            </w:pPr>
            <w:r w:rsidRPr="00EC037F">
              <w:rPr>
                <w:rStyle w:val="Strong"/>
                <w:rFonts w:eastAsiaTheme="majorEastAsia"/>
                <w:sz w:val="20"/>
                <w:szCs w:val="20"/>
                <w:lang w:val="en-CA"/>
              </w:rPr>
              <w:t>Hemodynamic instability</w:t>
            </w:r>
          </w:p>
        </w:tc>
        <w:tc>
          <w:tcPr>
            <w:tcW w:w="0" w:type="auto"/>
            <w:hideMark/>
          </w:tcPr>
          <w:p w14:paraId="4B1362C5" w14:textId="77777777" w:rsidR="00B201C0" w:rsidRPr="00EC037F" w:rsidRDefault="00B201C0" w:rsidP="00183F02">
            <w:pPr>
              <w:rPr>
                <w:sz w:val="20"/>
                <w:szCs w:val="20"/>
                <w:lang w:val="en-CA"/>
              </w:rPr>
            </w:pPr>
            <w:r w:rsidRPr="00EC037F">
              <w:rPr>
                <w:sz w:val="20"/>
                <w:szCs w:val="20"/>
                <w:lang w:val="en-CA"/>
              </w:rPr>
              <w:t>Shock, hypotension, vasoplegia</w:t>
            </w:r>
          </w:p>
        </w:tc>
        <w:tc>
          <w:tcPr>
            <w:tcW w:w="0" w:type="auto"/>
            <w:hideMark/>
          </w:tcPr>
          <w:p w14:paraId="41C0F968" w14:textId="77777777" w:rsidR="00B201C0" w:rsidRPr="00EC037F" w:rsidRDefault="00B201C0" w:rsidP="00183F02">
            <w:pPr>
              <w:rPr>
                <w:sz w:val="20"/>
                <w:szCs w:val="20"/>
                <w:lang w:val="en-CA"/>
              </w:rPr>
            </w:pPr>
            <w:r w:rsidRPr="00EC037F">
              <w:rPr>
                <w:sz w:val="20"/>
                <w:szCs w:val="20"/>
                <w:lang w:val="en-CA"/>
              </w:rPr>
              <w:t>Reduced cerebral blood flow, impaired autoregulation</w:t>
            </w:r>
          </w:p>
        </w:tc>
        <w:tc>
          <w:tcPr>
            <w:tcW w:w="0" w:type="auto"/>
            <w:hideMark/>
          </w:tcPr>
          <w:p w14:paraId="232CDC75" w14:textId="77777777" w:rsidR="00B201C0" w:rsidRPr="00EC037F" w:rsidRDefault="00B201C0" w:rsidP="00183F02">
            <w:pPr>
              <w:jc w:val="center"/>
              <w:rPr>
                <w:sz w:val="20"/>
                <w:szCs w:val="20"/>
                <w:lang w:val="en-CA"/>
              </w:rPr>
            </w:pPr>
            <w:r w:rsidRPr="00EC037F">
              <w:rPr>
                <w:sz w:val="20"/>
                <w:szCs w:val="20"/>
                <w:lang w:val="en-CA"/>
              </w:rPr>
              <w:t>Delirium, coma</w:t>
            </w:r>
          </w:p>
        </w:tc>
        <w:tc>
          <w:tcPr>
            <w:tcW w:w="0" w:type="auto"/>
            <w:hideMark/>
          </w:tcPr>
          <w:p w14:paraId="0B122789" w14:textId="77777777" w:rsidR="00B201C0" w:rsidRPr="00EC037F" w:rsidRDefault="00B201C0" w:rsidP="00183F02">
            <w:pPr>
              <w:rPr>
                <w:sz w:val="20"/>
                <w:szCs w:val="20"/>
                <w:lang w:val="en-CA"/>
              </w:rPr>
            </w:pPr>
            <w:r w:rsidRPr="00EC037F">
              <w:rPr>
                <w:sz w:val="20"/>
                <w:szCs w:val="20"/>
                <w:lang w:val="en-CA"/>
              </w:rPr>
              <w:t>Targeted hemodynamic support, avoidance of prolonged hypotension, individualized MAP goals</w:t>
            </w:r>
          </w:p>
        </w:tc>
      </w:tr>
      <w:tr w:rsidR="00B201C0" w:rsidRPr="00EC037F" w14:paraId="4AE5DC75" w14:textId="77777777" w:rsidTr="00086872">
        <w:trPr>
          <w:trHeight w:val="855"/>
        </w:trPr>
        <w:tc>
          <w:tcPr>
            <w:tcW w:w="0" w:type="auto"/>
            <w:shd w:val="clear" w:color="auto" w:fill="F2F2F2" w:themeFill="background1" w:themeFillShade="F2"/>
            <w:hideMark/>
          </w:tcPr>
          <w:p w14:paraId="1438C49B" w14:textId="77777777" w:rsidR="00B201C0" w:rsidRPr="00EC037F" w:rsidRDefault="00B201C0" w:rsidP="00183F02">
            <w:pPr>
              <w:rPr>
                <w:sz w:val="20"/>
                <w:szCs w:val="20"/>
                <w:lang w:val="en-CA"/>
              </w:rPr>
            </w:pPr>
            <w:r w:rsidRPr="00EC037F">
              <w:rPr>
                <w:rStyle w:val="Strong"/>
                <w:rFonts w:eastAsiaTheme="majorEastAsia"/>
                <w:sz w:val="20"/>
                <w:szCs w:val="20"/>
                <w:lang w:val="en-CA"/>
              </w:rPr>
              <w:t>Metabolic derangements</w:t>
            </w:r>
          </w:p>
        </w:tc>
        <w:tc>
          <w:tcPr>
            <w:tcW w:w="0" w:type="auto"/>
            <w:shd w:val="clear" w:color="auto" w:fill="F2F2F2" w:themeFill="background1" w:themeFillShade="F2"/>
            <w:hideMark/>
          </w:tcPr>
          <w:p w14:paraId="60DB3A49" w14:textId="77777777" w:rsidR="00B201C0" w:rsidRPr="00EC037F" w:rsidRDefault="00B201C0" w:rsidP="00183F02">
            <w:pPr>
              <w:rPr>
                <w:sz w:val="20"/>
                <w:szCs w:val="20"/>
                <w:lang w:val="en-CA"/>
              </w:rPr>
            </w:pPr>
            <w:r w:rsidRPr="00EC037F">
              <w:rPr>
                <w:sz w:val="20"/>
                <w:szCs w:val="20"/>
                <w:lang w:val="en-CA"/>
              </w:rPr>
              <w:t>Dysglycemia, electrolyte and acid–base disturbances</w:t>
            </w:r>
          </w:p>
        </w:tc>
        <w:tc>
          <w:tcPr>
            <w:tcW w:w="0" w:type="auto"/>
            <w:shd w:val="clear" w:color="auto" w:fill="F2F2F2" w:themeFill="background1" w:themeFillShade="F2"/>
            <w:hideMark/>
          </w:tcPr>
          <w:p w14:paraId="5557E367" w14:textId="77777777" w:rsidR="00B201C0" w:rsidRPr="00EC037F" w:rsidRDefault="00B201C0" w:rsidP="00183F02">
            <w:pPr>
              <w:rPr>
                <w:sz w:val="20"/>
                <w:szCs w:val="20"/>
                <w:lang w:val="en-CA"/>
              </w:rPr>
            </w:pPr>
            <w:r w:rsidRPr="00EC037F">
              <w:rPr>
                <w:sz w:val="20"/>
                <w:szCs w:val="20"/>
                <w:lang w:val="en-CA"/>
              </w:rPr>
              <w:t>Altered neuronal excitability, osmotic shifts</w:t>
            </w:r>
          </w:p>
        </w:tc>
        <w:tc>
          <w:tcPr>
            <w:tcW w:w="0" w:type="auto"/>
            <w:shd w:val="clear" w:color="auto" w:fill="F2F2F2" w:themeFill="background1" w:themeFillShade="F2"/>
            <w:hideMark/>
          </w:tcPr>
          <w:p w14:paraId="27BBBAF0" w14:textId="77777777" w:rsidR="00B201C0" w:rsidRPr="00EC037F" w:rsidRDefault="00B201C0" w:rsidP="00183F02">
            <w:pPr>
              <w:jc w:val="center"/>
              <w:rPr>
                <w:sz w:val="20"/>
                <w:szCs w:val="20"/>
                <w:lang w:val="en-CA"/>
              </w:rPr>
            </w:pPr>
            <w:r w:rsidRPr="00EC037F">
              <w:rPr>
                <w:sz w:val="20"/>
                <w:szCs w:val="20"/>
                <w:lang w:val="en-CA"/>
              </w:rPr>
              <w:t>Delirium, seizures, coma</w:t>
            </w:r>
          </w:p>
        </w:tc>
        <w:tc>
          <w:tcPr>
            <w:tcW w:w="0" w:type="auto"/>
            <w:shd w:val="clear" w:color="auto" w:fill="F2F2F2" w:themeFill="background1" w:themeFillShade="F2"/>
            <w:hideMark/>
          </w:tcPr>
          <w:p w14:paraId="67FF5ED4" w14:textId="77777777" w:rsidR="00B201C0" w:rsidRPr="00EC037F" w:rsidRDefault="00B201C0" w:rsidP="00183F02">
            <w:pPr>
              <w:rPr>
                <w:sz w:val="20"/>
                <w:szCs w:val="20"/>
                <w:lang w:val="en-CA"/>
              </w:rPr>
            </w:pPr>
            <w:r w:rsidRPr="00EC037F">
              <w:rPr>
                <w:sz w:val="20"/>
                <w:szCs w:val="20"/>
                <w:lang w:val="en-CA"/>
              </w:rPr>
              <w:t>Frequent metabolic monitoring, early correction of glucose and electrolyte abnormalities</w:t>
            </w:r>
          </w:p>
        </w:tc>
      </w:tr>
      <w:tr w:rsidR="00B201C0" w:rsidRPr="00EC037F" w14:paraId="6884A25C" w14:textId="77777777" w:rsidTr="00183F02">
        <w:trPr>
          <w:trHeight w:val="1130"/>
        </w:trPr>
        <w:tc>
          <w:tcPr>
            <w:tcW w:w="0" w:type="auto"/>
            <w:hideMark/>
          </w:tcPr>
          <w:p w14:paraId="6F474E7D" w14:textId="77777777" w:rsidR="00B201C0" w:rsidRPr="00EC037F" w:rsidRDefault="00B201C0" w:rsidP="00183F02">
            <w:pPr>
              <w:rPr>
                <w:sz w:val="20"/>
                <w:szCs w:val="20"/>
                <w:lang w:val="en-CA"/>
              </w:rPr>
            </w:pPr>
            <w:r w:rsidRPr="00EC037F">
              <w:rPr>
                <w:rStyle w:val="Strong"/>
                <w:rFonts w:eastAsiaTheme="majorEastAsia"/>
                <w:sz w:val="20"/>
                <w:szCs w:val="20"/>
                <w:lang w:val="en-CA"/>
              </w:rPr>
              <w:t>Organ failure–associated</w:t>
            </w:r>
          </w:p>
        </w:tc>
        <w:tc>
          <w:tcPr>
            <w:tcW w:w="0" w:type="auto"/>
            <w:hideMark/>
          </w:tcPr>
          <w:p w14:paraId="1D9B1762" w14:textId="77777777" w:rsidR="00B201C0" w:rsidRPr="00EC037F" w:rsidRDefault="00B201C0" w:rsidP="00183F02">
            <w:pPr>
              <w:rPr>
                <w:sz w:val="20"/>
                <w:szCs w:val="20"/>
                <w:lang w:val="en-CA"/>
              </w:rPr>
            </w:pPr>
            <w:r w:rsidRPr="00EC037F">
              <w:rPr>
                <w:sz w:val="20"/>
                <w:szCs w:val="20"/>
                <w:lang w:val="en-CA"/>
              </w:rPr>
              <w:t>Hepatic failure, renal failure, hyperammonemia</w:t>
            </w:r>
          </w:p>
        </w:tc>
        <w:tc>
          <w:tcPr>
            <w:tcW w:w="0" w:type="auto"/>
            <w:hideMark/>
          </w:tcPr>
          <w:p w14:paraId="61DCDBBF" w14:textId="77777777" w:rsidR="00B201C0" w:rsidRPr="00EC037F" w:rsidRDefault="00B201C0" w:rsidP="00183F02">
            <w:pPr>
              <w:rPr>
                <w:sz w:val="20"/>
                <w:szCs w:val="20"/>
                <w:lang w:val="en-CA"/>
              </w:rPr>
            </w:pPr>
            <w:r w:rsidRPr="00EC037F">
              <w:rPr>
                <w:sz w:val="20"/>
                <w:szCs w:val="20"/>
                <w:lang w:val="en-CA"/>
              </w:rPr>
              <w:t>Neurotoxin accumulation, neurotransmitter imbalance</w:t>
            </w:r>
          </w:p>
        </w:tc>
        <w:tc>
          <w:tcPr>
            <w:tcW w:w="0" w:type="auto"/>
            <w:hideMark/>
          </w:tcPr>
          <w:p w14:paraId="70E723B9" w14:textId="77777777" w:rsidR="00B201C0" w:rsidRPr="00EC037F" w:rsidRDefault="00B201C0" w:rsidP="00183F02">
            <w:pPr>
              <w:jc w:val="center"/>
              <w:rPr>
                <w:sz w:val="20"/>
                <w:szCs w:val="20"/>
                <w:lang w:val="en-CA"/>
              </w:rPr>
            </w:pPr>
            <w:r w:rsidRPr="00EC037F">
              <w:rPr>
                <w:sz w:val="20"/>
                <w:szCs w:val="20"/>
                <w:lang w:val="en-CA"/>
              </w:rPr>
              <w:t>Delirium, asterixis, coma</w:t>
            </w:r>
          </w:p>
        </w:tc>
        <w:tc>
          <w:tcPr>
            <w:tcW w:w="0" w:type="auto"/>
            <w:hideMark/>
          </w:tcPr>
          <w:p w14:paraId="6E525B47" w14:textId="77777777" w:rsidR="00B201C0" w:rsidRPr="00EC037F" w:rsidRDefault="00B201C0" w:rsidP="00183F02">
            <w:pPr>
              <w:rPr>
                <w:sz w:val="20"/>
                <w:szCs w:val="20"/>
                <w:lang w:val="en-CA"/>
              </w:rPr>
            </w:pPr>
            <w:r w:rsidRPr="00EC037F">
              <w:rPr>
                <w:sz w:val="20"/>
                <w:szCs w:val="20"/>
                <w:lang w:val="en-CA"/>
              </w:rPr>
              <w:t>Early recognition of organ dysfunction, renal replacement when indicated, ammonia-lowering strategies</w:t>
            </w:r>
          </w:p>
        </w:tc>
      </w:tr>
      <w:tr w:rsidR="00B201C0" w:rsidRPr="00EC037F" w14:paraId="711A53C3" w14:textId="77777777" w:rsidTr="00086872">
        <w:trPr>
          <w:trHeight w:val="1146"/>
        </w:trPr>
        <w:tc>
          <w:tcPr>
            <w:tcW w:w="0" w:type="auto"/>
            <w:shd w:val="clear" w:color="auto" w:fill="F2F2F2" w:themeFill="background1" w:themeFillShade="F2"/>
            <w:hideMark/>
          </w:tcPr>
          <w:p w14:paraId="43558F18" w14:textId="2AD02C94" w:rsidR="00B201C0" w:rsidRPr="00EC037F" w:rsidRDefault="00B201C0" w:rsidP="00183F02">
            <w:pPr>
              <w:rPr>
                <w:sz w:val="20"/>
                <w:szCs w:val="20"/>
                <w:lang w:val="en-CA"/>
              </w:rPr>
            </w:pPr>
            <w:r w:rsidRPr="00EC037F">
              <w:rPr>
                <w:rStyle w:val="Strong"/>
                <w:rFonts w:eastAsiaTheme="majorEastAsia"/>
                <w:sz w:val="20"/>
                <w:szCs w:val="20"/>
                <w:lang w:val="en-CA"/>
              </w:rPr>
              <w:t>Pharmacologic/ iatrogenic</w:t>
            </w:r>
          </w:p>
        </w:tc>
        <w:tc>
          <w:tcPr>
            <w:tcW w:w="0" w:type="auto"/>
            <w:shd w:val="clear" w:color="auto" w:fill="F2F2F2" w:themeFill="background1" w:themeFillShade="F2"/>
            <w:hideMark/>
          </w:tcPr>
          <w:p w14:paraId="445F663B" w14:textId="77777777" w:rsidR="00B201C0" w:rsidRPr="00EC037F" w:rsidRDefault="00B201C0" w:rsidP="00183F02">
            <w:pPr>
              <w:rPr>
                <w:sz w:val="20"/>
                <w:szCs w:val="20"/>
                <w:lang w:val="en-CA"/>
              </w:rPr>
            </w:pPr>
            <w:r w:rsidRPr="00EC037F">
              <w:rPr>
                <w:sz w:val="20"/>
                <w:szCs w:val="20"/>
                <w:lang w:val="en-CA"/>
              </w:rPr>
              <w:t>Sedatives, opioids, benzodiazepines, withdrawal, neurotoxicity: antibiotics</w:t>
            </w:r>
          </w:p>
        </w:tc>
        <w:tc>
          <w:tcPr>
            <w:tcW w:w="0" w:type="auto"/>
            <w:shd w:val="clear" w:color="auto" w:fill="F2F2F2" w:themeFill="background1" w:themeFillShade="F2"/>
            <w:hideMark/>
          </w:tcPr>
          <w:p w14:paraId="1AE1CF76" w14:textId="77777777" w:rsidR="00B201C0" w:rsidRPr="00EC037F" w:rsidRDefault="00B201C0" w:rsidP="00183F02">
            <w:pPr>
              <w:rPr>
                <w:sz w:val="20"/>
                <w:szCs w:val="20"/>
                <w:lang w:val="en-CA"/>
              </w:rPr>
            </w:pPr>
            <w:r w:rsidRPr="00EC037F">
              <w:rPr>
                <w:sz w:val="20"/>
                <w:szCs w:val="20"/>
                <w:lang w:val="en-CA"/>
              </w:rPr>
              <w:t>Cortical suppression or hyperexcitability</w:t>
            </w:r>
          </w:p>
        </w:tc>
        <w:tc>
          <w:tcPr>
            <w:tcW w:w="0" w:type="auto"/>
            <w:shd w:val="clear" w:color="auto" w:fill="F2F2F2" w:themeFill="background1" w:themeFillShade="F2"/>
            <w:hideMark/>
          </w:tcPr>
          <w:p w14:paraId="63E0962A" w14:textId="77777777" w:rsidR="00B201C0" w:rsidRPr="00EC037F" w:rsidRDefault="00B201C0" w:rsidP="00183F02">
            <w:pPr>
              <w:jc w:val="center"/>
              <w:rPr>
                <w:sz w:val="20"/>
                <w:szCs w:val="20"/>
                <w:lang w:val="en-CA"/>
              </w:rPr>
            </w:pPr>
            <w:r w:rsidRPr="00EC037F">
              <w:rPr>
                <w:sz w:val="20"/>
                <w:szCs w:val="20"/>
                <w:lang w:val="en-CA"/>
              </w:rPr>
              <w:t>Delirium, coma, seizures</w:t>
            </w:r>
          </w:p>
        </w:tc>
        <w:tc>
          <w:tcPr>
            <w:tcW w:w="0" w:type="auto"/>
            <w:shd w:val="clear" w:color="auto" w:fill="F2F2F2" w:themeFill="background1" w:themeFillShade="F2"/>
            <w:hideMark/>
          </w:tcPr>
          <w:p w14:paraId="39EDC138" w14:textId="77777777" w:rsidR="00B201C0" w:rsidRPr="00EC037F" w:rsidRDefault="00B201C0" w:rsidP="00183F02">
            <w:pPr>
              <w:rPr>
                <w:sz w:val="20"/>
                <w:szCs w:val="20"/>
                <w:lang w:val="en-CA"/>
              </w:rPr>
            </w:pPr>
            <w:r w:rsidRPr="00EC037F">
              <w:rPr>
                <w:sz w:val="20"/>
                <w:szCs w:val="20"/>
                <w:lang w:val="en-CA"/>
              </w:rPr>
              <w:t>Sedation minimization, analgesia-first strategies, daily sedation interruption, careful withdrawal management</w:t>
            </w:r>
          </w:p>
        </w:tc>
      </w:tr>
      <w:tr w:rsidR="00B201C0" w:rsidRPr="00EC037F" w14:paraId="6281A7E9" w14:textId="77777777" w:rsidTr="00183F02">
        <w:trPr>
          <w:trHeight w:val="841"/>
        </w:trPr>
        <w:tc>
          <w:tcPr>
            <w:tcW w:w="0" w:type="auto"/>
            <w:hideMark/>
          </w:tcPr>
          <w:p w14:paraId="1A0C588D" w14:textId="0F4AE50A" w:rsidR="00B201C0" w:rsidRPr="00EC037F" w:rsidRDefault="00B201C0" w:rsidP="00183F02">
            <w:pPr>
              <w:rPr>
                <w:sz w:val="20"/>
                <w:szCs w:val="20"/>
                <w:lang w:val="en-CA"/>
              </w:rPr>
            </w:pPr>
            <w:r w:rsidRPr="00EC037F">
              <w:rPr>
                <w:rStyle w:val="Strong"/>
                <w:rFonts w:eastAsiaTheme="majorEastAsia"/>
                <w:sz w:val="20"/>
                <w:szCs w:val="20"/>
                <w:lang w:val="en-CA"/>
              </w:rPr>
              <w:t>Immune/ inflammatory dysregulation</w:t>
            </w:r>
          </w:p>
        </w:tc>
        <w:tc>
          <w:tcPr>
            <w:tcW w:w="0" w:type="auto"/>
            <w:hideMark/>
          </w:tcPr>
          <w:p w14:paraId="66ADE4AC" w14:textId="77777777" w:rsidR="00B201C0" w:rsidRPr="00EC037F" w:rsidRDefault="00B201C0" w:rsidP="00183F02">
            <w:pPr>
              <w:rPr>
                <w:sz w:val="20"/>
                <w:szCs w:val="20"/>
                <w:lang w:val="en-CA"/>
              </w:rPr>
            </w:pPr>
            <w:r w:rsidRPr="00EC037F">
              <w:rPr>
                <w:sz w:val="20"/>
                <w:szCs w:val="20"/>
                <w:lang w:val="en-CA"/>
              </w:rPr>
              <w:t>Cytokine-mediated injury</w:t>
            </w:r>
          </w:p>
        </w:tc>
        <w:tc>
          <w:tcPr>
            <w:tcW w:w="0" w:type="auto"/>
            <w:hideMark/>
          </w:tcPr>
          <w:p w14:paraId="382A9751" w14:textId="77777777" w:rsidR="00B201C0" w:rsidRPr="00EC037F" w:rsidRDefault="00B201C0" w:rsidP="00183F02">
            <w:pPr>
              <w:rPr>
                <w:sz w:val="20"/>
                <w:szCs w:val="20"/>
                <w:lang w:val="en-CA"/>
              </w:rPr>
            </w:pPr>
            <w:r w:rsidRPr="00EC037F">
              <w:rPr>
                <w:sz w:val="20"/>
                <w:szCs w:val="20"/>
                <w:lang w:val="en-CA"/>
              </w:rPr>
              <w:t>Microglial activation, synaptic dysfunction</w:t>
            </w:r>
          </w:p>
        </w:tc>
        <w:tc>
          <w:tcPr>
            <w:tcW w:w="0" w:type="auto"/>
            <w:hideMark/>
          </w:tcPr>
          <w:p w14:paraId="54FBC96E" w14:textId="7D0F563E" w:rsidR="00B201C0" w:rsidRPr="00EC037F" w:rsidRDefault="00B201C0" w:rsidP="00183F02">
            <w:pPr>
              <w:jc w:val="center"/>
              <w:rPr>
                <w:sz w:val="20"/>
                <w:szCs w:val="20"/>
                <w:lang w:val="en-CA"/>
              </w:rPr>
            </w:pPr>
            <w:r w:rsidRPr="00EC037F">
              <w:rPr>
                <w:sz w:val="20"/>
                <w:szCs w:val="20"/>
                <w:lang w:val="en-CA"/>
              </w:rPr>
              <w:t>Delirium, seizures</w:t>
            </w:r>
          </w:p>
        </w:tc>
        <w:tc>
          <w:tcPr>
            <w:tcW w:w="0" w:type="auto"/>
            <w:hideMark/>
          </w:tcPr>
          <w:p w14:paraId="5A6B53FB" w14:textId="77777777" w:rsidR="00B201C0" w:rsidRPr="00EC037F" w:rsidRDefault="00B201C0" w:rsidP="00183F02">
            <w:pPr>
              <w:rPr>
                <w:sz w:val="20"/>
                <w:szCs w:val="20"/>
                <w:lang w:val="en-CA"/>
              </w:rPr>
            </w:pPr>
            <w:r w:rsidRPr="00EC037F">
              <w:rPr>
                <w:sz w:val="20"/>
                <w:szCs w:val="20"/>
                <w:lang w:val="en-CA"/>
              </w:rPr>
              <w:t>Control of systemic inflammation, avoidance of secondary insults, supportive neuroprotective care</w:t>
            </w:r>
          </w:p>
        </w:tc>
      </w:tr>
      <w:tr w:rsidR="00B201C0" w:rsidRPr="00EC037F" w14:paraId="72B16B38" w14:textId="77777777" w:rsidTr="00086872">
        <w:trPr>
          <w:trHeight w:val="855"/>
        </w:trPr>
        <w:tc>
          <w:tcPr>
            <w:tcW w:w="0" w:type="auto"/>
            <w:shd w:val="clear" w:color="auto" w:fill="F2F2F2" w:themeFill="background1" w:themeFillShade="F2"/>
            <w:hideMark/>
          </w:tcPr>
          <w:p w14:paraId="23138CC8" w14:textId="77777777" w:rsidR="00B201C0" w:rsidRPr="00EC037F" w:rsidRDefault="00B201C0" w:rsidP="00183F02">
            <w:pPr>
              <w:rPr>
                <w:sz w:val="20"/>
                <w:szCs w:val="20"/>
                <w:lang w:val="en-CA"/>
              </w:rPr>
            </w:pPr>
            <w:r w:rsidRPr="00EC037F">
              <w:rPr>
                <w:rStyle w:val="Strong"/>
                <w:rFonts w:eastAsiaTheme="majorEastAsia"/>
                <w:sz w:val="20"/>
                <w:szCs w:val="20"/>
                <w:lang w:val="en-CA"/>
              </w:rPr>
              <w:t>Endocrine disturbances</w:t>
            </w:r>
          </w:p>
        </w:tc>
        <w:tc>
          <w:tcPr>
            <w:tcW w:w="0" w:type="auto"/>
            <w:shd w:val="clear" w:color="auto" w:fill="F2F2F2" w:themeFill="background1" w:themeFillShade="F2"/>
            <w:hideMark/>
          </w:tcPr>
          <w:p w14:paraId="400CA727" w14:textId="77777777" w:rsidR="00B201C0" w:rsidRPr="00EC037F" w:rsidRDefault="00B201C0" w:rsidP="00183F02">
            <w:pPr>
              <w:rPr>
                <w:sz w:val="20"/>
                <w:szCs w:val="20"/>
                <w:lang w:val="en-CA"/>
              </w:rPr>
            </w:pPr>
            <w:r w:rsidRPr="00EC037F">
              <w:rPr>
                <w:sz w:val="20"/>
                <w:szCs w:val="20"/>
                <w:lang w:val="en-CA"/>
              </w:rPr>
              <w:t>Thyroid or adrenal dysfunction, hyperosmolar states</w:t>
            </w:r>
          </w:p>
        </w:tc>
        <w:tc>
          <w:tcPr>
            <w:tcW w:w="0" w:type="auto"/>
            <w:shd w:val="clear" w:color="auto" w:fill="F2F2F2" w:themeFill="background1" w:themeFillShade="F2"/>
            <w:hideMark/>
          </w:tcPr>
          <w:p w14:paraId="40755C7C" w14:textId="77777777" w:rsidR="00B201C0" w:rsidRPr="00EC037F" w:rsidRDefault="00B201C0" w:rsidP="00183F02">
            <w:pPr>
              <w:rPr>
                <w:sz w:val="20"/>
                <w:szCs w:val="20"/>
                <w:lang w:val="en-CA"/>
              </w:rPr>
            </w:pPr>
            <w:r w:rsidRPr="00EC037F">
              <w:rPr>
                <w:sz w:val="20"/>
                <w:szCs w:val="20"/>
                <w:lang w:val="en-CA"/>
              </w:rPr>
              <w:t>Metabolic dysregulation</w:t>
            </w:r>
          </w:p>
        </w:tc>
        <w:tc>
          <w:tcPr>
            <w:tcW w:w="0" w:type="auto"/>
            <w:shd w:val="clear" w:color="auto" w:fill="F2F2F2" w:themeFill="background1" w:themeFillShade="F2"/>
            <w:hideMark/>
          </w:tcPr>
          <w:p w14:paraId="7169C84D" w14:textId="77777777" w:rsidR="00B201C0" w:rsidRPr="00EC037F" w:rsidRDefault="00B201C0" w:rsidP="00183F02">
            <w:pPr>
              <w:jc w:val="center"/>
              <w:rPr>
                <w:sz w:val="20"/>
                <w:szCs w:val="20"/>
                <w:lang w:val="en-CA"/>
              </w:rPr>
            </w:pPr>
            <w:r w:rsidRPr="00EC037F">
              <w:rPr>
                <w:sz w:val="20"/>
                <w:szCs w:val="20"/>
                <w:lang w:val="en-CA"/>
              </w:rPr>
              <w:t>Delirium, coma</w:t>
            </w:r>
          </w:p>
        </w:tc>
        <w:tc>
          <w:tcPr>
            <w:tcW w:w="0" w:type="auto"/>
            <w:shd w:val="clear" w:color="auto" w:fill="F2F2F2" w:themeFill="background1" w:themeFillShade="F2"/>
            <w:hideMark/>
          </w:tcPr>
          <w:p w14:paraId="02362837" w14:textId="77777777" w:rsidR="00B201C0" w:rsidRPr="00EC037F" w:rsidRDefault="00B201C0" w:rsidP="00183F02">
            <w:pPr>
              <w:rPr>
                <w:sz w:val="20"/>
                <w:szCs w:val="20"/>
                <w:lang w:val="en-CA"/>
              </w:rPr>
            </w:pPr>
            <w:r w:rsidRPr="00EC037F">
              <w:rPr>
                <w:sz w:val="20"/>
                <w:szCs w:val="20"/>
                <w:lang w:val="en-CA"/>
              </w:rPr>
              <w:t>Early endocrine evaluation, hormone replacement when indicated</w:t>
            </w:r>
          </w:p>
        </w:tc>
      </w:tr>
      <w:tr w:rsidR="00B201C0" w:rsidRPr="00EC037F" w14:paraId="7A7AC63C" w14:textId="77777777" w:rsidTr="00183F02">
        <w:trPr>
          <w:trHeight w:val="855"/>
        </w:trPr>
        <w:tc>
          <w:tcPr>
            <w:tcW w:w="0" w:type="auto"/>
            <w:hideMark/>
          </w:tcPr>
          <w:p w14:paraId="1B6B27C1" w14:textId="474157BF" w:rsidR="00B201C0" w:rsidRPr="00EC037F" w:rsidRDefault="00B201C0" w:rsidP="00183F02">
            <w:pPr>
              <w:rPr>
                <w:sz w:val="20"/>
                <w:szCs w:val="20"/>
                <w:lang w:val="en-CA"/>
              </w:rPr>
            </w:pPr>
            <w:r w:rsidRPr="00EC037F">
              <w:rPr>
                <w:rStyle w:val="Strong"/>
                <w:rFonts w:eastAsiaTheme="majorEastAsia"/>
                <w:sz w:val="20"/>
                <w:szCs w:val="20"/>
                <w:lang w:val="en-CA"/>
              </w:rPr>
              <w:lastRenderedPageBreak/>
              <w:t>Environmental/ ICU-related stressors</w:t>
            </w:r>
          </w:p>
        </w:tc>
        <w:tc>
          <w:tcPr>
            <w:tcW w:w="0" w:type="auto"/>
            <w:hideMark/>
          </w:tcPr>
          <w:p w14:paraId="78E0CA70" w14:textId="77777777" w:rsidR="00B201C0" w:rsidRPr="00EC037F" w:rsidRDefault="00B201C0" w:rsidP="00183F02">
            <w:pPr>
              <w:rPr>
                <w:sz w:val="20"/>
                <w:szCs w:val="20"/>
                <w:lang w:val="en-CA"/>
              </w:rPr>
            </w:pPr>
            <w:r w:rsidRPr="00EC037F">
              <w:rPr>
                <w:sz w:val="20"/>
                <w:szCs w:val="20"/>
                <w:lang w:val="en-CA"/>
              </w:rPr>
              <w:t>Sleep disruption, immobility, isolation, pain, dyspnea, thirst</w:t>
            </w:r>
          </w:p>
        </w:tc>
        <w:tc>
          <w:tcPr>
            <w:tcW w:w="0" w:type="auto"/>
            <w:hideMark/>
          </w:tcPr>
          <w:p w14:paraId="62C314C9" w14:textId="77777777" w:rsidR="00B201C0" w:rsidRPr="00EC037F" w:rsidRDefault="00B201C0" w:rsidP="00183F02">
            <w:pPr>
              <w:rPr>
                <w:sz w:val="20"/>
                <w:szCs w:val="20"/>
                <w:lang w:val="en-CA"/>
              </w:rPr>
            </w:pPr>
            <w:r w:rsidRPr="00EC037F">
              <w:rPr>
                <w:sz w:val="20"/>
                <w:szCs w:val="20"/>
                <w:lang w:val="en-CA"/>
              </w:rPr>
              <w:t>Circadian and network dysfunction</w:t>
            </w:r>
          </w:p>
        </w:tc>
        <w:tc>
          <w:tcPr>
            <w:tcW w:w="0" w:type="auto"/>
            <w:hideMark/>
          </w:tcPr>
          <w:p w14:paraId="710144A6" w14:textId="77777777" w:rsidR="00B201C0" w:rsidRPr="00EC037F" w:rsidRDefault="00B201C0" w:rsidP="00183F02">
            <w:pPr>
              <w:jc w:val="center"/>
              <w:rPr>
                <w:sz w:val="20"/>
                <w:szCs w:val="20"/>
                <w:lang w:val="en-CA"/>
              </w:rPr>
            </w:pPr>
            <w:r w:rsidRPr="00EC037F">
              <w:rPr>
                <w:sz w:val="20"/>
                <w:szCs w:val="20"/>
                <w:lang w:val="en-CA"/>
              </w:rPr>
              <w:t>Delirium</w:t>
            </w:r>
          </w:p>
        </w:tc>
        <w:tc>
          <w:tcPr>
            <w:tcW w:w="0" w:type="auto"/>
            <w:hideMark/>
          </w:tcPr>
          <w:p w14:paraId="58B38825" w14:textId="77777777" w:rsidR="00B201C0" w:rsidRPr="00EC037F" w:rsidRDefault="00B201C0" w:rsidP="00183F02">
            <w:pPr>
              <w:rPr>
                <w:sz w:val="20"/>
                <w:szCs w:val="20"/>
                <w:lang w:val="en-CA"/>
              </w:rPr>
            </w:pPr>
            <w:r w:rsidRPr="00EC037F">
              <w:rPr>
                <w:sz w:val="20"/>
                <w:szCs w:val="20"/>
                <w:lang w:val="en-CA"/>
              </w:rPr>
              <w:t>Sleep promotion, early mobilization, reorientation, family engagement</w:t>
            </w:r>
          </w:p>
        </w:tc>
      </w:tr>
      <w:tr w:rsidR="00B201C0" w:rsidRPr="00EC037F" w14:paraId="3D6505C2" w14:textId="77777777" w:rsidTr="00086872">
        <w:trPr>
          <w:trHeight w:val="564"/>
        </w:trPr>
        <w:tc>
          <w:tcPr>
            <w:tcW w:w="0" w:type="auto"/>
            <w:shd w:val="clear" w:color="auto" w:fill="F2F2F2" w:themeFill="background1" w:themeFillShade="F2"/>
            <w:hideMark/>
          </w:tcPr>
          <w:p w14:paraId="5313E0FC" w14:textId="77777777" w:rsidR="00B201C0" w:rsidRPr="00EC037F" w:rsidRDefault="00B201C0" w:rsidP="00183F02">
            <w:pPr>
              <w:rPr>
                <w:sz w:val="20"/>
                <w:szCs w:val="20"/>
                <w:lang w:val="en-CA"/>
              </w:rPr>
            </w:pPr>
            <w:r w:rsidRPr="00EC037F">
              <w:rPr>
                <w:rStyle w:val="Strong"/>
                <w:rFonts w:eastAsiaTheme="majorEastAsia"/>
                <w:sz w:val="20"/>
                <w:szCs w:val="20"/>
                <w:lang w:val="en-CA"/>
              </w:rPr>
              <w:t>Seizure-related (secondary)</w:t>
            </w:r>
          </w:p>
        </w:tc>
        <w:tc>
          <w:tcPr>
            <w:tcW w:w="0" w:type="auto"/>
            <w:shd w:val="clear" w:color="auto" w:fill="F2F2F2" w:themeFill="background1" w:themeFillShade="F2"/>
            <w:hideMark/>
          </w:tcPr>
          <w:p w14:paraId="3CAB00AF" w14:textId="77777777" w:rsidR="00B201C0" w:rsidRPr="00EC037F" w:rsidRDefault="00B201C0" w:rsidP="00183F02">
            <w:pPr>
              <w:rPr>
                <w:sz w:val="20"/>
                <w:szCs w:val="20"/>
                <w:lang w:val="en-CA"/>
              </w:rPr>
            </w:pPr>
            <w:r w:rsidRPr="00EC037F">
              <w:rPr>
                <w:sz w:val="20"/>
                <w:szCs w:val="20"/>
                <w:lang w:val="en-CA"/>
              </w:rPr>
              <w:t>Metabolic- or drug-induced seizures</w:t>
            </w:r>
          </w:p>
        </w:tc>
        <w:tc>
          <w:tcPr>
            <w:tcW w:w="0" w:type="auto"/>
            <w:shd w:val="clear" w:color="auto" w:fill="F2F2F2" w:themeFill="background1" w:themeFillShade="F2"/>
            <w:hideMark/>
          </w:tcPr>
          <w:p w14:paraId="07460AF3" w14:textId="77777777" w:rsidR="00B201C0" w:rsidRPr="00EC037F" w:rsidRDefault="00B201C0" w:rsidP="00183F02">
            <w:pPr>
              <w:rPr>
                <w:sz w:val="20"/>
                <w:szCs w:val="20"/>
                <w:lang w:val="en-CA"/>
              </w:rPr>
            </w:pPr>
            <w:r w:rsidRPr="00EC037F">
              <w:rPr>
                <w:sz w:val="20"/>
                <w:szCs w:val="20"/>
                <w:lang w:val="en-CA"/>
              </w:rPr>
              <w:t>Cortical hyperexcitability</w:t>
            </w:r>
          </w:p>
        </w:tc>
        <w:tc>
          <w:tcPr>
            <w:tcW w:w="0" w:type="auto"/>
            <w:shd w:val="clear" w:color="auto" w:fill="F2F2F2" w:themeFill="background1" w:themeFillShade="F2"/>
            <w:hideMark/>
          </w:tcPr>
          <w:p w14:paraId="251EC9CC" w14:textId="77777777" w:rsidR="00B201C0" w:rsidRPr="00EC037F" w:rsidRDefault="00B201C0" w:rsidP="00183F02">
            <w:pPr>
              <w:jc w:val="center"/>
              <w:rPr>
                <w:sz w:val="20"/>
                <w:szCs w:val="20"/>
                <w:lang w:val="en-CA"/>
              </w:rPr>
            </w:pPr>
            <w:r w:rsidRPr="00EC037F">
              <w:rPr>
                <w:sz w:val="20"/>
                <w:szCs w:val="20"/>
                <w:lang w:val="en-CA"/>
              </w:rPr>
              <w:t>Delirium-like states, coma</w:t>
            </w:r>
          </w:p>
        </w:tc>
        <w:tc>
          <w:tcPr>
            <w:tcW w:w="0" w:type="auto"/>
            <w:shd w:val="clear" w:color="auto" w:fill="F2F2F2" w:themeFill="background1" w:themeFillShade="F2"/>
            <w:hideMark/>
          </w:tcPr>
          <w:p w14:paraId="29304F75" w14:textId="77777777" w:rsidR="00B201C0" w:rsidRPr="00EC037F" w:rsidRDefault="00B201C0" w:rsidP="00183F02">
            <w:pPr>
              <w:rPr>
                <w:sz w:val="20"/>
                <w:szCs w:val="20"/>
                <w:lang w:val="en-CA"/>
              </w:rPr>
            </w:pPr>
            <w:r w:rsidRPr="00EC037F">
              <w:rPr>
                <w:sz w:val="20"/>
                <w:szCs w:val="20"/>
                <w:lang w:val="en-CA"/>
              </w:rPr>
              <w:t>Prompt correction of triggers, EEG monitoring in high-risk patients</w:t>
            </w:r>
          </w:p>
        </w:tc>
      </w:tr>
    </w:tbl>
    <w:p w14:paraId="679ABD8A" w14:textId="77777777" w:rsidR="00B201C0" w:rsidRPr="00EC037F" w:rsidRDefault="00B201C0" w:rsidP="00183F02">
      <w:pPr>
        <w:outlineLvl w:val="2"/>
        <w:rPr>
          <w:b/>
          <w:bCs/>
          <w:color w:val="000000"/>
          <w:sz w:val="20"/>
          <w:szCs w:val="20"/>
        </w:rPr>
      </w:pPr>
    </w:p>
    <w:p w14:paraId="5AE144A5" w14:textId="4945766A" w:rsidR="00B139D5" w:rsidRDefault="000D2BD3" w:rsidP="00B139D5">
      <w:pPr>
        <w:rPr>
          <w:b/>
          <w:bCs/>
          <w:color w:val="000000"/>
          <w:sz w:val="20"/>
          <w:szCs w:val="20"/>
        </w:rPr>
      </w:pPr>
      <w:r w:rsidRPr="00EC037F">
        <w:rPr>
          <w:b/>
          <w:bCs/>
          <w:color w:val="000000"/>
          <w:sz w:val="20"/>
          <w:szCs w:val="20"/>
        </w:rPr>
        <w:br w:type="page"/>
      </w:r>
      <w:r w:rsidR="000159BE" w:rsidRPr="00EC037F">
        <w:rPr>
          <w:b/>
          <w:bCs/>
          <w:color w:val="000000"/>
          <w:sz w:val="20"/>
          <w:szCs w:val="20"/>
        </w:rPr>
        <w:lastRenderedPageBreak/>
        <w:t xml:space="preserve">Supplemental Table </w:t>
      </w:r>
      <w:r w:rsidR="00EC037F">
        <w:rPr>
          <w:b/>
          <w:bCs/>
          <w:color w:val="000000"/>
          <w:sz w:val="20"/>
          <w:szCs w:val="20"/>
        </w:rPr>
        <w:t>3</w:t>
      </w:r>
      <w:r w:rsidR="000159BE" w:rsidRPr="00EC037F">
        <w:rPr>
          <w:b/>
          <w:bCs/>
          <w:color w:val="000000"/>
          <w:sz w:val="20"/>
          <w:szCs w:val="20"/>
        </w:rPr>
        <w:t xml:space="preserve">. </w:t>
      </w:r>
      <w:r w:rsidR="00B139D5" w:rsidRPr="00B139D5">
        <w:rPr>
          <w:b/>
          <w:bCs/>
          <w:color w:val="000000"/>
          <w:sz w:val="20"/>
          <w:szCs w:val="20"/>
        </w:rPr>
        <w:t>Medical Research Council (MRC) sum score framework</w:t>
      </w:r>
    </w:p>
    <w:p w14:paraId="1119B0B1" w14:textId="77777777" w:rsidR="00B139D5" w:rsidRPr="00B139D5" w:rsidRDefault="00B139D5" w:rsidP="00B139D5">
      <w:pPr>
        <w:rPr>
          <w:b/>
          <w:bCs/>
          <w:color w:val="000000"/>
          <w:sz w:val="20"/>
          <w:szCs w:val="20"/>
        </w:rPr>
      </w:pPr>
    </w:p>
    <w:tbl>
      <w:tblPr>
        <w:tblStyle w:val="TableGrid"/>
        <w:tblW w:w="6627" w:type="dxa"/>
        <w:tblLook w:val="04A0" w:firstRow="1" w:lastRow="0" w:firstColumn="1" w:lastColumn="0" w:noHBand="0" w:noVBand="1"/>
      </w:tblPr>
      <w:tblGrid>
        <w:gridCol w:w="2478"/>
        <w:gridCol w:w="4149"/>
      </w:tblGrid>
      <w:tr w:rsidR="00B139D5" w:rsidRPr="00B139D5" w14:paraId="344C09DB" w14:textId="77777777" w:rsidTr="00B139D5">
        <w:trPr>
          <w:trHeight w:val="345"/>
        </w:trPr>
        <w:tc>
          <w:tcPr>
            <w:tcW w:w="0" w:type="auto"/>
            <w:shd w:val="clear" w:color="auto" w:fill="DAE9F7" w:themeFill="text2" w:themeFillTint="1A"/>
            <w:hideMark/>
          </w:tcPr>
          <w:p w14:paraId="0F135D10" w14:textId="77777777" w:rsidR="00B139D5" w:rsidRPr="00B139D5" w:rsidRDefault="00B139D5" w:rsidP="00B139D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139D5">
              <w:rPr>
                <w:b/>
                <w:bCs/>
                <w:color w:val="000000"/>
                <w:sz w:val="20"/>
                <w:szCs w:val="20"/>
              </w:rPr>
              <w:t>Score per muscle group</w:t>
            </w:r>
          </w:p>
        </w:tc>
        <w:tc>
          <w:tcPr>
            <w:tcW w:w="0" w:type="auto"/>
            <w:shd w:val="clear" w:color="auto" w:fill="DAE9F7" w:themeFill="text2" w:themeFillTint="1A"/>
            <w:hideMark/>
          </w:tcPr>
          <w:p w14:paraId="74E5F099" w14:textId="77777777" w:rsidR="00B139D5" w:rsidRPr="00B139D5" w:rsidRDefault="00B139D5" w:rsidP="00B139D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139D5">
              <w:rPr>
                <w:b/>
                <w:bCs/>
                <w:color w:val="000000"/>
                <w:sz w:val="20"/>
                <w:szCs w:val="20"/>
              </w:rPr>
              <w:t>Description</w:t>
            </w:r>
          </w:p>
        </w:tc>
      </w:tr>
      <w:tr w:rsidR="00B139D5" w:rsidRPr="00B139D5" w14:paraId="4C94EC7B" w14:textId="77777777" w:rsidTr="00B139D5">
        <w:trPr>
          <w:trHeight w:val="336"/>
        </w:trPr>
        <w:tc>
          <w:tcPr>
            <w:tcW w:w="0" w:type="auto"/>
            <w:hideMark/>
          </w:tcPr>
          <w:p w14:paraId="6422DC2A" w14:textId="77777777" w:rsidR="00B139D5" w:rsidRPr="00B139D5" w:rsidRDefault="00B139D5" w:rsidP="00B139D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139D5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hideMark/>
          </w:tcPr>
          <w:p w14:paraId="28652DA5" w14:textId="77777777" w:rsidR="00B139D5" w:rsidRPr="00B139D5" w:rsidRDefault="00B139D5" w:rsidP="00B139D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139D5">
              <w:rPr>
                <w:b/>
                <w:bCs/>
                <w:color w:val="000000"/>
                <w:sz w:val="20"/>
                <w:szCs w:val="20"/>
              </w:rPr>
              <w:t>No visible contraction</w:t>
            </w:r>
          </w:p>
        </w:tc>
      </w:tr>
      <w:tr w:rsidR="00B139D5" w:rsidRPr="00B139D5" w14:paraId="29B8DAB2" w14:textId="77777777" w:rsidTr="00B139D5">
        <w:trPr>
          <w:trHeight w:val="345"/>
        </w:trPr>
        <w:tc>
          <w:tcPr>
            <w:tcW w:w="0" w:type="auto"/>
            <w:shd w:val="clear" w:color="auto" w:fill="F2F2F2" w:themeFill="background1" w:themeFillShade="F2"/>
            <w:hideMark/>
          </w:tcPr>
          <w:p w14:paraId="084106D9" w14:textId="77777777" w:rsidR="00B139D5" w:rsidRPr="00B139D5" w:rsidRDefault="00B139D5" w:rsidP="00B139D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139D5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2F2F2" w:themeFill="background1" w:themeFillShade="F2"/>
            <w:hideMark/>
          </w:tcPr>
          <w:p w14:paraId="41B07658" w14:textId="77777777" w:rsidR="00B139D5" w:rsidRPr="00B139D5" w:rsidRDefault="00B139D5" w:rsidP="00B139D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139D5">
              <w:rPr>
                <w:b/>
                <w:bCs/>
                <w:color w:val="000000"/>
                <w:sz w:val="20"/>
                <w:szCs w:val="20"/>
              </w:rPr>
              <w:t>Flicker or trace contraction</w:t>
            </w:r>
          </w:p>
        </w:tc>
      </w:tr>
      <w:tr w:rsidR="00B139D5" w:rsidRPr="00B139D5" w14:paraId="1E55A729" w14:textId="77777777" w:rsidTr="00B139D5">
        <w:trPr>
          <w:trHeight w:val="345"/>
        </w:trPr>
        <w:tc>
          <w:tcPr>
            <w:tcW w:w="0" w:type="auto"/>
            <w:hideMark/>
          </w:tcPr>
          <w:p w14:paraId="33AAB881" w14:textId="77777777" w:rsidR="00B139D5" w:rsidRPr="00B139D5" w:rsidRDefault="00B139D5" w:rsidP="00B139D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139D5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3774FE89" w14:textId="77777777" w:rsidR="00B139D5" w:rsidRPr="00B139D5" w:rsidRDefault="00B139D5" w:rsidP="00B139D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139D5">
              <w:rPr>
                <w:b/>
                <w:bCs/>
                <w:color w:val="000000"/>
                <w:sz w:val="20"/>
                <w:szCs w:val="20"/>
              </w:rPr>
              <w:t>Active movement with gravity eliminated</w:t>
            </w:r>
          </w:p>
        </w:tc>
      </w:tr>
      <w:tr w:rsidR="00B139D5" w:rsidRPr="00B139D5" w14:paraId="3A95806E" w14:textId="77777777" w:rsidTr="00B139D5">
        <w:trPr>
          <w:trHeight w:val="336"/>
        </w:trPr>
        <w:tc>
          <w:tcPr>
            <w:tcW w:w="0" w:type="auto"/>
            <w:shd w:val="clear" w:color="auto" w:fill="F2F2F2" w:themeFill="background1" w:themeFillShade="F2"/>
            <w:hideMark/>
          </w:tcPr>
          <w:p w14:paraId="56FA9E1E" w14:textId="77777777" w:rsidR="00B139D5" w:rsidRPr="00B139D5" w:rsidRDefault="00B139D5" w:rsidP="00B139D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139D5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F2F2F2" w:themeFill="background1" w:themeFillShade="F2"/>
            <w:hideMark/>
          </w:tcPr>
          <w:p w14:paraId="6790D703" w14:textId="77777777" w:rsidR="00B139D5" w:rsidRPr="00B139D5" w:rsidRDefault="00B139D5" w:rsidP="00B139D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139D5">
              <w:rPr>
                <w:b/>
                <w:bCs/>
                <w:color w:val="000000"/>
                <w:sz w:val="20"/>
                <w:szCs w:val="20"/>
              </w:rPr>
              <w:t>Active movement against gravity</w:t>
            </w:r>
          </w:p>
        </w:tc>
      </w:tr>
      <w:tr w:rsidR="00B139D5" w:rsidRPr="00B139D5" w14:paraId="3BEEA58E" w14:textId="77777777" w:rsidTr="00B139D5">
        <w:trPr>
          <w:trHeight w:val="345"/>
        </w:trPr>
        <w:tc>
          <w:tcPr>
            <w:tcW w:w="0" w:type="auto"/>
            <w:hideMark/>
          </w:tcPr>
          <w:p w14:paraId="146CDCD9" w14:textId="77777777" w:rsidR="00B139D5" w:rsidRPr="00B139D5" w:rsidRDefault="00B139D5" w:rsidP="00B139D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139D5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14:paraId="2F611EFD" w14:textId="77777777" w:rsidR="00B139D5" w:rsidRPr="00B139D5" w:rsidRDefault="00B139D5" w:rsidP="00B139D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139D5">
              <w:rPr>
                <w:b/>
                <w:bCs/>
                <w:color w:val="000000"/>
                <w:sz w:val="20"/>
                <w:szCs w:val="20"/>
              </w:rPr>
              <w:t>Active movement against resistance</w:t>
            </w:r>
          </w:p>
        </w:tc>
      </w:tr>
      <w:tr w:rsidR="00B139D5" w:rsidRPr="00B139D5" w14:paraId="270300FF" w14:textId="77777777" w:rsidTr="00B139D5">
        <w:trPr>
          <w:trHeight w:val="336"/>
        </w:trPr>
        <w:tc>
          <w:tcPr>
            <w:tcW w:w="0" w:type="auto"/>
            <w:shd w:val="clear" w:color="auto" w:fill="F2F2F2" w:themeFill="background1" w:themeFillShade="F2"/>
            <w:hideMark/>
          </w:tcPr>
          <w:p w14:paraId="4D5203AA" w14:textId="77777777" w:rsidR="00B139D5" w:rsidRPr="00B139D5" w:rsidRDefault="00B139D5" w:rsidP="00B139D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139D5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F2F2F2" w:themeFill="background1" w:themeFillShade="F2"/>
            <w:hideMark/>
          </w:tcPr>
          <w:p w14:paraId="5E636ABF" w14:textId="77777777" w:rsidR="00B139D5" w:rsidRPr="00B139D5" w:rsidRDefault="00B139D5" w:rsidP="00B139D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139D5">
              <w:rPr>
                <w:b/>
                <w:bCs/>
                <w:color w:val="000000"/>
                <w:sz w:val="20"/>
                <w:szCs w:val="20"/>
              </w:rPr>
              <w:t>Normal strength</w:t>
            </w:r>
          </w:p>
        </w:tc>
      </w:tr>
    </w:tbl>
    <w:p w14:paraId="0B891A03" w14:textId="77777777" w:rsidR="00B139D5" w:rsidRDefault="00B139D5" w:rsidP="00B139D5">
      <w:pPr>
        <w:rPr>
          <w:b/>
          <w:bCs/>
          <w:color w:val="000000"/>
          <w:sz w:val="20"/>
          <w:szCs w:val="20"/>
        </w:rPr>
      </w:pPr>
    </w:p>
    <w:p w14:paraId="02C71D42" w14:textId="77777777" w:rsidR="00B139D5" w:rsidRDefault="00B139D5" w:rsidP="00B139D5">
      <w:pPr>
        <w:rPr>
          <w:b/>
          <w:bCs/>
          <w:color w:val="000000"/>
          <w:sz w:val="20"/>
          <w:szCs w:val="20"/>
        </w:rPr>
      </w:pPr>
      <w:r w:rsidRPr="00B139D5">
        <w:rPr>
          <w:b/>
          <w:bCs/>
          <w:color w:val="000000"/>
          <w:sz w:val="20"/>
          <w:szCs w:val="20"/>
        </w:rPr>
        <w:t>Total score: 0–60 (6 muscle groups bilaterally)</w:t>
      </w:r>
    </w:p>
    <w:p w14:paraId="394A07C9" w14:textId="219C431B" w:rsidR="00B139D5" w:rsidRPr="00B139D5" w:rsidRDefault="00B139D5" w:rsidP="00B139D5">
      <w:pPr>
        <w:rPr>
          <w:b/>
          <w:bCs/>
          <w:color w:val="000000"/>
          <w:sz w:val="20"/>
          <w:szCs w:val="20"/>
        </w:rPr>
      </w:pPr>
      <w:r w:rsidRPr="00B139D5">
        <w:rPr>
          <w:b/>
          <w:bCs/>
          <w:color w:val="000000"/>
          <w:sz w:val="20"/>
          <w:szCs w:val="20"/>
        </w:rPr>
        <w:br/>
        <w:t>Clinical interpretation:</w:t>
      </w:r>
    </w:p>
    <w:p w14:paraId="681978FE" w14:textId="77777777" w:rsidR="00B139D5" w:rsidRPr="00B139D5" w:rsidRDefault="00B139D5" w:rsidP="00B139D5">
      <w:pPr>
        <w:numPr>
          <w:ilvl w:val="0"/>
          <w:numId w:val="7"/>
        </w:numPr>
        <w:rPr>
          <w:b/>
          <w:bCs/>
          <w:color w:val="000000"/>
          <w:sz w:val="20"/>
          <w:szCs w:val="20"/>
        </w:rPr>
      </w:pPr>
      <w:r w:rsidRPr="00B139D5">
        <w:rPr>
          <w:b/>
          <w:bCs/>
          <w:color w:val="000000"/>
          <w:sz w:val="20"/>
          <w:szCs w:val="20"/>
        </w:rPr>
        <w:t>&lt;48 → ICU-acquired weakness</w:t>
      </w:r>
    </w:p>
    <w:p w14:paraId="34439359" w14:textId="77777777" w:rsidR="00B139D5" w:rsidRPr="00B139D5" w:rsidRDefault="00B139D5" w:rsidP="00B139D5">
      <w:pPr>
        <w:numPr>
          <w:ilvl w:val="0"/>
          <w:numId w:val="7"/>
        </w:numPr>
        <w:rPr>
          <w:b/>
          <w:bCs/>
          <w:color w:val="000000"/>
          <w:sz w:val="20"/>
          <w:szCs w:val="20"/>
        </w:rPr>
      </w:pPr>
      <w:r w:rsidRPr="00B139D5">
        <w:rPr>
          <w:b/>
          <w:bCs/>
          <w:color w:val="000000"/>
          <w:sz w:val="20"/>
          <w:szCs w:val="20"/>
        </w:rPr>
        <w:t>&lt;36 → severe weakness</w:t>
      </w:r>
    </w:p>
    <w:p w14:paraId="16E40F15" w14:textId="77777777" w:rsidR="00B139D5" w:rsidRDefault="00B139D5" w:rsidP="008D0550">
      <w:pPr>
        <w:rPr>
          <w:b/>
          <w:bCs/>
          <w:color w:val="000000"/>
          <w:sz w:val="20"/>
          <w:szCs w:val="20"/>
        </w:rPr>
      </w:pPr>
    </w:p>
    <w:p w14:paraId="530BDAE7" w14:textId="77777777" w:rsidR="00B139D5" w:rsidRDefault="00B139D5" w:rsidP="008D0550">
      <w:pPr>
        <w:rPr>
          <w:b/>
          <w:bCs/>
          <w:color w:val="000000"/>
          <w:sz w:val="20"/>
          <w:szCs w:val="20"/>
        </w:rPr>
      </w:pPr>
    </w:p>
    <w:p w14:paraId="224C5DE6" w14:textId="77777777" w:rsidR="00B139D5" w:rsidRDefault="00B139D5" w:rsidP="008D0550">
      <w:pPr>
        <w:rPr>
          <w:b/>
          <w:bCs/>
          <w:color w:val="000000"/>
          <w:sz w:val="20"/>
          <w:szCs w:val="20"/>
        </w:rPr>
      </w:pPr>
    </w:p>
    <w:p w14:paraId="784F5CBA" w14:textId="77777777" w:rsidR="00B139D5" w:rsidRDefault="00B139D5">
      <w:pPr>
        <w:spacing w:after="160" w:line="278" w:lineRule="auto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br w:type="page"/>
      </w:r>
    </w:p>
    <w:p w14:paraId="18B47DEA" w14:textId="37646253" w:rsidR="000159BE" w:rsidRPr="00EC037F" w:rsidRDefault="00B139D5" w:rsidP="008D0550">
      <w:pPr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lastRenderedPageBreak/>
        <w:t xml:space="preserve">Supplemental Table 4: </w:t>
      </w:r>
      <w:r w:rsidR="000159BE" w:rsidRPr="00EC037F">
        <w:rPr>
          <w:b/>
          <w:bCs/>
          <w:color w:val="000000"/>
          <w:sz w:val="20"/>
          <w:szCs w:val="20"/>
        </w:rPr>
        <w:t xml:space="preserve">Mechanism-Based Investigational Strategies Aligned </w:t>
      </w:r>
      <w:r w:rsidR="008D0550" w:rsidRPr="00EC037F">
        <w:rPr>
          <w:b/>
          <w:bCs/>
          <w:color w:val="000000"/>
          <w:sz w:val="20"/>
          <w:szCs w:val="20"/>
        </w:rPr>
        <w:t>with</w:t>
      </w:r>
      <w:r w:rsidR="000159BE" w:rsidRPr="00EC037F">
        <w:rPr>
          <w:b/>
          <w:bCs/>
          <w:color w:val="000000"/>
          <w:sz w:val="20"/>
          <w:szCs w:val="20"/>
        </w:rPr>
        <w:t xml:space="preserve"> Identified Gaps in Critical Illness–Associated Brain Injury</w:t>
      </w:r>
    </w:p>
    <w:p w14:paraId="1817F9C7" w14:textId="77777777" w:rsidR="00086872" w:rsidRPr="00EC037F" w:rsidRDefault="00086872" w:rsidP="008D0550">
      <w:pPr>
        <w:rPr>
          <w:b/>
          <w:bCs/>
          <w:color w:val="000000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94"/>
        <w:gridCol w:w="2996"/>
        <w:gridCol w:w="2121"/>
        <w:gridCol w:w="5639"/>
      </w:tblGrid>
      <w:tr w:rsidR="000159BE" w:rsidRPr="00EC037F" w14:paraId="25F572F0" w14:textId="77777777" w:rsidTr="00086872">
        <w:trPr>
          <w:trHeight w:val="522"/>
        </w:trPr>
        <w:tc>
          <w:tcPr>
            <w:tcW w:w="0" w:type="auto"/>
            <w:shd w:val="clear" w:color="auto" w:fill="DAE9F7" w:themeFill="text2" w:themeFillTint="1A"/>
            <w:hideMark/>
          </w:tcPr>
          <w:p w14:paraId="5F4F429D" w14:textId="77777777" w:rsidR="000159BE" w:rsidRPr="00EC037F" w:rsidRDefault="000159BE">
            <w:pPr>
              <w:jc w:val="center"/>
              <w:rPr>
                <w:b/>
                <w:bCs/>
                <w:sz w:val="20"/>
                <w:szCs w:val="20"/>
                <w:lang w:val="en-CA"/>
              </w:rPr>
            </w:pPr>
            <w:r w:rsidRPr="00EC037F">
              <w:rPr>
                <w:b/>
                <w:bCs/>
                <w:sz w:val="20"/>
                <w:szCs w:val="20"/>
                <w:lang w:val="en-CA"/>
              </w:rPr>
              <w:t>Pathobiological Domain</w:t>
            </w:r>
          </w:p>
        </w:tc>
        <w:tc>
          <w:tcPr>
            <w:tcW w:w="0" w:type="auto"/>
            <w:shd w:val="clear" w:color="auto" w:fill="DAE9F7" w:themeFill="text2" w:themeFillTint="1A"/>
            <w:hideMark/>
          </w:tcPr>
          <w:p w14:paraId="7EBB5B3F" w14:textId="77777777" w:rsidR="000159BE" w:rsidRPr="00EC037F" w:rsidRDefault="000159BE">
            <w:pPr>
              <w:jc w:val="center"/>
              <w:rPr>
                <w:b/>
                <w:bCs/>
                <w:sz w:val="20"/>
                <w:szCs w:val="20"/>
                <w:lang w:val="en-CA"/>
              </w:rPr>
            </w:pPr>
            <w:r w:rsidRPr="00EC037F">
              <w:rPr>
                <w:b/>
                <w:bCs/>
                <w:sz w:val="20"/>
                <w:szCs w:val="20"/>
                <w:lang w:val="en-CA"/>
              </w:rPr>
              <w:t>Evidence-Based Gap Identified in This Review</w:t>
            </w:r>
          </w:p>
        </w:tc>
        <w:tc>
          <w:tcPr>
            <w:tcW w:w="0" w:type="auto"/>
            <w:shd w:val="clear" w:color="auto" w:fill="DAE9F7" w:themeFill="text2" w:themeFillTint="1A"/>
            <w:hideMark/>
          </w:tcPr>
          <w:p w14:paraId="74A87466" w14:textId="77777777" w:rsidR="000159BE" w:rsidRPr="00EC037F" w:rsidRDefault="000159BE">
            <w:pPr>
              <w:jc w:val="center"/>
              <w:rPr>
                <w:b/>
                <w:bCs/>
                <w:sz w:val="20"/>
                <w:szCs w:val="20"/>
                <w:lang w:val="en-CA"/>
              </w:rPr>
            </w:pPr>
            <w:r w:rsidRPr="00EC037F">
              <w:rPr>
                <w:b/>
                <w:bCs/>
                <w:sz w:val="20"/>
                <w:szCs w:val="20"/>
                <w:lang w:val="en-CA"/>
              </w:rPr>
              <w:t>Investigational or Emerging Strategy</w:t>
            </w:r>
          </w:p>
        </w:tc>
        <w:tc>
          <w:tcPr>
            <w:tcW w:w="0" w:type="auto"/>
            <w:shd w:val="clear" w:color="auto" w:fill="DAE9F7" w:themeFill="text2" w:themeFillTint="1A"/>
            <w:hideMark/>
          </w:tcPr>
          <w:p w14:paraId="7D865846" w14:textId="77777777" w:rsidR="000159BE" w:rsidRPr="00EC037F" w:rsidRDefault="000159BE">
            <w:pPr>
              <w:jc w:val="center"/>
              <w:rPr>
                <w:b/>
                <w:bCs/>
                <w:sz w:val="20"/>
                <w:szCs w:val="20"/>
                <w:lang w:val="en-CA"/>
              </w:rPr>
            </w:pPr>
            <w:r w:rsidRPr="00EC037F">
              <w:rPr>
                <w:b/>
                <w:bCs/>
                <w:sz w:val="20"/>
                <w:szCs w:val="20"/>
                <w:lang w:val="en-CA"/>
              </w:rPr>
              <w:t>Rationale and Current Stage of Evidence</w:t>
            </w:r>
          </w:p>
        </w:tc>
      </w:tr>
      <w:tr w:rsidR="000159BE" w:rsidRPr="00EC037F" w14:paraId="325842B8" w14:textId="77777777" w:rsidTr="008D0550">
        <w:tc>
          <w:tcPr>
            <w:tcW w:w="0" w:type="auto"/>
            <w:hideMark/>
          </w:tcPr>
          <w:p w14:paraId="54471E41" w14:textId="77777777" w:rsidR="000159BE" w:rsidRPr="00EC037F" w:rsidRDefault="000159BE">
            <w:pPr>
              <w:rPr>
                <w:sz w:val="20"/>
                <w:szCs w:val="20"/>
                <w:lang w:val="en-CA"/>
              </w:rPr>
            </w:pPr>
            <w:r w:rsidRPr="00EC037F">
              <w:rPr>
                <w:sz w:val="20"/>
                <w:szCs w:val="20"/>
                <w:lang w:val="en-CA"/>
              </w:rPr>
              <w:t>Cerebral Perfusion Failure and Impaired Autoregulation</w:t>
            </w:r>
          </w:p>
        </w:tc>
        <w:tc>
          <w:tcPr>
            <w:tcW w:w="0" w:type="auto"/>
            <w:hideMark/>
          </w:tcPr>
          <w:p w14:paraId="47607EE0" w14:textId="77777777" w:rsidR="000159BE" w:rsidRPr="00EC037F" w:rsidRDefault="000159BE">
            <w:pPr>
              <w:rPr>
                <w:sz w:val="20"/>
                <w:szCs w:val="20"/>
                <w:lang w:val="en-CA"/>
              </w:rPr>
            </w:pPr>
            <w:r w:rsidRPr="00EC037F">
              <w:rPr>
                <w:sz w:val="20"/>
                <w:szCs w:val="20"/>
                <w:lang w:val="en-CA"/>
              </w:rPr>
              <w:t>Uncertainty regarding optimal perfusion targets in systemic critical illness; heterogeneity in susceptibility to hypoperfusion and hyperperfusion</w:t>
            </w:r>
          </w:p>
        </w:tc>
        <w:tc>
          <w:tcPr>
            <w:tcW w:w="0" w:type="auto"/>
            <w:hideMark/>
          </w:tcPr>
          <w:p w14:paraId="5BF03A5B" w14:textId="77777777" w:rsidR="000159BE" w:rsidRPr="00EC037F" w:rsidRDefault="000159BE">
            <w:pPr>
              <w:rPr>
                <w:sz w:val="20"/>
                <w:szCs w:val="20"/>
                <w:lang w:val="en-CA"/>
              </w:rPr>
            </w:pPr>
            <w:r w:rsidRPr="00EC037F">
              <w:rPr>
                <w:sz w:val="20"/>
                <w:szCs w:val="20"/>
                <w:lang w:val="en-CA"/>
              </w:rPr>
              <w:t>Autoregulation-guided hemodynamic management</w:t>
            </w:r>
          </w:p>
        </w:tc>
        <w:tc>
          <w:tcPr>
            <w:tcW w:w="0" w:type="auto"/>
            <w:hideMark/>
          </w:tcPr>
          <w:p w14:paraId="29FB8CE0" w14:textId="77777777" w:rsidR="000159BE" w:rsidRPr="00EC037F" w:rsidRDefault="000159BE">
            <w:pPr>
              <w:rPr>
                <w:sz w:val="20"/>
                <w:szCs w:val="20"/>
                <w:lang w:val="en-CA"/>
              </w:rPr>
            </w:pPr>
            <w:r w:rsidRPr="00EC037F">
              <w:rPr>
                <w:sz w:val="20"/>
                <w:szCs w:val="20"/>
                <w:lang w:val="en-CA"/>
              </w:rPr>
              <w:t>Neuromonitoring-guided MAP titration using transcranial Doppler or near-infrared spectroscopy to derive individualized perfusion targets; CO₂ reactivity–guided ventilatory strategies; nitric oxide–mediated microvascular modulation. Early physiologic and translational studies; limited outcome-driven trials.</w:t>
            </w:r>
          </w:p>
        </w:tc>
      </w:tr>
      <w:tr w:rsidR="000159BE" w:rsidRPr="00EC037F" w14:paraId="2213026E" w14:textId="77777777" w:rsidTr="00086872">
        <w:tc>
          <w:tcPr>
            <w:tcW w:w="0" w:type="auto"/>
            <w:shd w:val="clear" w:color="auto" w:fill="F2F2F2" w:themeFill="background1" w:themeFillShade="F2"/>
            <w:hideMark/>
          </w:tcPr>
          <w:p w14:paraId="7F046269" w14:textId="77777777" w:rsidR="000159BE" w:rsidRPr="00EC037F" w:rsidRDefault="000159BE">
            <w:pPr>
              <w:rPr>
                <w:sz w:val="20"/>
                <w:szCs w:val="20"/>
                <w:lang w:val="en-CA"/>
              </w:rPr>
            </w:pPr>
            <w:r w:rsidRPr="00EC037F">
              <w:rPr>
                <w:sz w:val="20"/>
                <w:szCs w:val="20"/>
                <w:lang w:val="en-CA"/>
              </w:rPr>
              <w:t>Neuroinflammation and Immune Dysregulation</w:t>
            </w:r>
          </w:p>
        </w:tc>
        <w:tc>
          <w:tcPr>
            <w:tcW w:w="0" w:type="auto"/>
            <w:shd w:val="clear" w:color="auto" w:fill="F2F2F2" w:themeFill="background1" w:themeFillShade="F2"/>
            <w:hideMark/>
          </w:tcPr>
          <w:p w14:paraId="6640409E" w14:textId="77777777" w:rsidR="000159BE" w:rsidRPr="00EC037F" w:rsidRDefault="000159BE">
            <w:pPr>
              <w:rPr>
                <w:sz w:val="20"/>
                <w:szCs w:val="20"/>
                <w:lang w:val="en-CA"/>
              </w:rPr>
            </w:pPr>
            <w:r w:rsidRPr="00EC037F">
              <w:rPr>
                <w:sz w:val="20"/>
                <w:szCs w:val="20"/>
                <w:lang w:val="en-CA"/>
              </w:rPr>
              <w:t>Incomplete understanding of which inflammatory phenotypes confer highest neurologic risk; lack of targeted anti-inflammatory neuroprotective therapies</w:t>
            </w:r>
          </w:p>
        </w:tc>
        <w:tc>
          <w:tcPr>
            <w:tcW w:w="0" w:type="auto"/>
            <w:shd w:val="clear" w:color="auto" w:fill="F2F2F2" w:themeFill="background1" w:themeFillShade="F2"/>
            <w:hideMark/>
          </w:tcPr>
          <w:p w14:paraId="49FBCB95" w14:textId="77777777" w:rsidR="000159BE" w:rsidRPr="00EC037F" w:rsidRDefault="000159BE">
            <w:pPr>
              <w:rPr>
                <w:sz w:val="20"/>
                <w:szCs w:val="20"/>
                <w:lang w:val="en-CA"/>
              </w:rPr>
            </w:pPr>
            <w:r w:rsidRPr="00EC037F">
              <w:rPr>
                <w:sz w:val="20"/>
                <w:szCs w:val="20"/>
                <w:lang w:val="en-CA"/>
              </w:rPr>
              <w:t>Microglial and cytokine pathway modulation</w:t>
            </w:r>
          </w:p>
        </w:tc>
        <w:tc>
          <w:tcPr>
            <w:tcW w:w="0" w:type="auto"/>
            <w:shd w:val="clear" w:color="auto" w:fill="F2F2F2" w:themeFill="background1" w:themeFillShade="F2"/>
            <w:hideMark/>
          </w:tcPr>
          <w:p w14:paraId="5BBDF954" w14:textId="77777777" w:rsidR="000159BE" w:rsidRPr="00EC037F" w:rsidRDefault="000159BE">
            <w:pPr>
              <w:rPr>
                <w:sz w:val="20"/>
                <w:szCs w:val="20"/>
                <w:lang w:val="en-CA"/>
              </w:rPr>
            </w:pPr>
            <w:r w:rsidRPr="00EC037F">
              <w:rPr>
                <w:sz w:val="20"/>
                <w:szCs w:val="20"/>
                <w:lang w:val="en-CA"/>
              </w:rPr>
              <w:t>Biomarker-guided cytokine targeting such as IL-1 receptor antagonism (e.g., anakinra) in hyperinflammatory sepsis phenotypes. Early-phase and phenotype-enriched investigations; need for neurologic endpoints.</w:t>
            </w:r>
          </w:p>
        </w:tc>
      </w:tr>
      <w:tr w:rsidR="000159BE" w:rsidRPr="00EC037F" w14:paraId="032085F4" w14:textId="77777777" w:rsidTr="008D0550">
        <w:tc>
          <w:tcPr>
            <w:tcW w:w="0" w:type="auto"/>
            <w:hideMark/>
          </w:tcPr>
          <w:p w14:paraId="4E50F38D" w14:textId="77777777" w:rsidR="000159BE" w:rsidRPr="00EC037F" w:rsidRDefault="000159BE">
            <w:pPr>
              <w:rPr>
                <w:sz w:val="20"/>
                <w:szCs w:val="20"/>
                <w:lang w:val="en-CA"/>
              </w:rPr>
            </w:pPr>
            <w:r w:rsidRPr="00EC037F">
              <w:rPr>
                <w:sz w:val="20"/>
                <w:szCs w:val="20"/>
                <w:lang w:val="en-CA"/>
              </w:rPr>
              <w:t>Neurovascular and Blood–Brain Barrier Dysfunction</w:t>
            </w:r>
          </w:p>
        </w:tc>
        <w:tc>
          <w:tcPr>
            <w:tcW w:w="0" w:type="auto"/>
            <w:hideMark/>
          </w:tcPr>
          <w:p w14:paraId="129C4DE7" w14:textId="77777777" w:rsidR="000159BE" w:rsidRPr="00EC037F" w:rsidRDefault="000159BE">
            <w:pPr>
              <w:rPr>
                <w:sz w:val="20"/>
                <w:szCs w:val="20"/>
                <w:lang w:val="en-CA"/>
              </w:rPr>
            </w:pPr>
            <w:r w:rsidRPr="00EC037F">
              <w:rPr>
                <w:sz w:val="20"/>
                <w:szCs w:val="20"/>
                <w:lang w:val="en-CA"/>
              </w:rPr>
              <w:t>Limited ability to identify and treat endothelial dysfunction contributing to cerebral edema and microvascular injury</w:t>
            </w:r>
          </w:p>
        </w:tc>
        <w:tc>
          <w:tcPr>
            <w:tcW w:w="0" w:type="auto"/>
            <w:hideMark/>
          </w:tcPr>
          <w:p w14:paraId="11655D0E" w14:textId="77777777" w:rsidR="000159BE" w:rsidRPr="00EC037F" w:rsidRDefault="000159BE">
            <w:pPr>
              <w:rPr>
                <w:sz w:val="20"/>
                <w:szCs w:val="20"/>
                <w:lang w:val="en-CA"/>
              </w:rPr>
            </w:pPr>
            <w:r w:rsidRPr="00EC037F">
              <w:rPr>
                <w:sz w:val="20"/>
                <w:szCs w:val="20"/>
                <w:lang w:val="en-CA"/>
              </w:rPr>
              <w:t>Endothelial stabilization strategies</w:t>
            </w:r>
          </w:p>
        </w:tc>
        <w:tc>
          <w:tcPr>
            <w:tcW w:w="0" w:type="auto"/>
            <w:hideMark/>
          </w:tcPr>
          <w:p w14:paraId="78AF9628" w14:textId="77777777" w:rsidR="000159BE" w:rsidRPr="00EC037F" w:rsidRDefault="000159BE">
            <w:pPr>
              <w:rPr>
                <w:sz w:val="20"/>
                <w:szCs w:val="20"/>
                <w:lang w:val="en-CA"/>
              </w:rPr>
            </w:pPr>
            <w:r w:rsidRPr="00EC037F">
              <w:rPr>
                <w:sz w:val="20"/>
                <w:szCs w:val="20"/>
                <w:lang w:val="en-CA"/>
              </w:rPr>
              <w:t xml:space="preserve">Modulation of the Angiopoietin-2/Tie2 axis (e.g., Tie2 agonists such as </w:t>
            </w:r>
            <w:proofErr w:type="spellStart"/>
            <w:r w:rsidRPr="00EC037F">
              <w:rPr>
                <w:sz w:val="20"/>
                <w:szCs w:val="20"/>
                <w:lang w:val="en-CA"/>
              </w:rPr>
              <w:t>vasculotide</w:t>
            </w:r>
            <w:proofErr w:type="spellEnd"/>
            <w:r w:rsidRPr="00EC037F">
              <w:rPr>
                <w:sz w:val="20"/>
                <w:szCs w:val="20"/>
                <w:lang w:val="en-CA"/>
              </w:rPr>
              <w:t>, Ang2-binding/Tie2-activating antibodies); targeting tight junction and NF-</w:t>
            </w:r>
            <w:proofErr w:type="spellStart"/>
            <w:r w:rsidRPr="00EC037F">
              <w:rPr>
                <w:sz w:val="20"/>
                <w:szCs w:val="20"/>
                <w:lang w:val="en-CA"/>
              </w:rPr>
              <w:t>κB</w:t>
            </w:r>
            <w:proofErr w:type="spellEnd"/>
            <w:r w:rsidRPr="00EC037F">
              <w:rPr>
                <w:sz w:val="20"/>
                <w:szCs w:val="20"/>
                <w:lang w:val="en-CA"/>
              </w:rPr>
              <w:t>–mediated endothelial inflammatory signaling. Predominantly preclinical and early translational evidence.</w:t>
            </w:r>
          </w:p>
        </w:tc>
      </w:tr>
      <w:tr w:rsidR="000159BE" w:rsidRPr="00EC037F" w14:paraId="36A64FB7" w14:textId="77777777" w:rsidTr="00086872">
        <w:tc>
          <w:tcPr>
            <w:tcW w:w="0" w:type="auto"/>
            <w:shd w:val="clear" w:color="auto" w:fill="F2F2F2" w:themeFill="background1" w:themeFillShade="F2"/>
            <w:hideMark/>
          </w:tcPr>
          <w:p w14:paraId="11BF9A37" w14:textId="77777777" w:rsidR="000159BE" w:rsidRPr="00EC037F" w:rsidRDefault="000159BE">
            <w:pPr>
              <w:rPr>
                <w:sz w:val="20"/>
                <w:szCs w:val="20"/>
                <w:lang w:val="en-CA"/>
              </w:rPr>
            </w:pPr>
            <w:r w:rsidRPr="00EC037F">
              <w:rPr>
                <w:sz w:val="20"/>
                <w:szCs w:val="20"/>
                <w:lang w:val="en-CA"/>
              </w:rPr>
              <w:t>Metabolic and Bioenergetic Failure</w:t>
            </w:r>
          </w:p>
        </w:tc>
        <w:tc>
          <w:tcPr>
            <w:tcW w:w="0" w:type="auto"/>
            <w:shd w:val="clear" w:color="auto" w:fill="F2F2F2" w:themeFill="background1" w:themeFillShade="F2"/>
            <w:hideMark/>
          </w:tcPr>
          <w:p w14:paraId="7E8BE8C6" w14:textId="77777777" w:rsidR="000159BE" w:rsidRPr="00EC037F" w:rsidRDefault="000159BE">
            <w:pPr>
              <w:rPr>
                <w:sz w:val="20"/>
                <w:szCs w:val="20"/>
                <w:lang w:val="en-CA"/>
              </w:rPr>
            </w:pPr>
            <w:r w:rsidRPr="00EC037F">
              <w:rPr>
                <w:sz w:val="20"/>
                <w:szCs w:val="20"/>
                <w:lang w:val="en-CA"/>
              </w:rPr>
              <w:t>Uncertain contribution of mitochondrial dysfunction to long-term cognitive outcomes; absence of metabolism-targeted neuroprotection</w:t>
            </w:r>
          </w:p>
        </w:tc>
        <w:tc>
          <w:tcPr>
            <w:tcW w:w="0" w:type="auto"/>
            <w:shd w:val="clear" w:color="auto" w:fill="F2F2F2" w:themeFill="background1" w:themeFillShade="F2"/>
            <w:hideMark/>
          </w:tcPr>
          <w:p w14:paraId="586DFEFF" w14:textId="77777777" w:rsidR="000159BE" w:rsidRPr="00EC037F" w:rsidRDefault="000159BE">
            <w:pPr>
              <w:rPr>
                <w:sz w:val="20"/>
                <w:szCs w:val="20"/>
                <w:lang w:val="en-CA"/>
              </w:rPr>
            </w:pPr>
            <w:r w:rsidRPr="00EC037F">
              <w:rPr>
                <w:sz w:val="20"/>
                <w:szCs w:val="20"/>
                <w:lang w:val="en-CA"/>
              </w:rPr>
              <w:t>Mitochondrial support and metabolic modulation</w:t>
            </w:r>
          </w:p>
        </w:tc>
        <w:tc>
          <w:tcPr>
            <w:tcW w:w="0" w:type="auto"/>
            <w:shd w:val="clear" w:color="auto" w:fill="F2F2F2" w:themeFill="background1" w:themeFillShade="F2"/>
            <w:hideMark/>
          </w:tcPr>
          <w:p w14:paraId="0EDC5B46" w14:textId="77777777" w:rsidR="000159BE" w:rsidRPr="00EC037F" w:rsidRDefault="000159BE">
            <w:pPr>
              <w:rPr>
                <w:sz w:val="20"/>
                <w:szCs w:val="20"/>
                <w:lang w:val="en-CA"/>
              </w:rPr>
            </w:pPr>
            <w:r w:rsidRPr="00EC037F">
              <w:rPr>
                <w:sz w:val="20"/>
                <w:szCs w:val="20"/>
                <w:lang w:val="en-CA"/>
              </w:rPr>
              <w:t xml:space="preserve">Mitochondria-targeted agents such as </w:t>
            </w:r>
            <w:proofErr w:type="spellStart"/>
            <w:r w:rsidRPr="00EC037F">
              <w:rPr>
                <w:sz w:val="20"/>
                <w:szCs w:val="20"/>
                <w:lang w:val="en-CA"/>
              </w:rPr>
              <w:t>elamipretide</w:t>
            </w:r>
            <w:proofErr w:type="spellEnd"/>
            <w:r w:rsidRPr="00EC037F">
              <w:rPr>
                <w:sz w:val="20"/>
                <w:szCs w:val="20"/>
                <w:lang w:val="en-CA"/>
              </w:rPr>
              <w:t xml:space="preserve"> (SS-31); metabolic substrate modulation including ketone-based strategies; precision nutrition approaches. Early translational and small clinical studies; mechanistic endpoints predominate.</w:t>
            </w:r>
          </w:p>
        </w:tc>
      </w:tr>
      <w:tr w:rsidR="000159BE" w:rsidRPr="00EC037F" w14:paraId="102CA40C" w14:textId="77777777" w:rsidTr="008D0550">
        <w:tc>
          <w:tcPr>
            <w:tcW w:w="0" w:type="auto"/>
            <w:hideMark/>
          </w:tcPr>
          <w:p w14:paraId="254CFDAB" w14:textId="77777777" w:rsidR="000159BE" w:rsidRPr="00EC037F" w:rsidRDefault="000159BE">
            <w:pPr>
              <w:rPr>
                <w:sz w:val="20"/>
                <w:szCs w:val="20"/>
                <w:lang w:val="en-CA"/>
              </w:rPr>
            </w:pPr>
            <w:r w:rsidRPr="00EC037F">
              <w:rPr>
                <w:sz w:val="20"/>
                <w:szCs w:val="20"/>
                <w:lang w:val="en-CA"/>
              </w:rPr>
              <w:t>Neurotransmitter and Network Dysfunction</w:t>
            </w:r>
          </w:p>
        </w:tc>
        <w:tc>
          <w:tcPr>
            <w:tcW w:w="0" w:type="auto"/>
            <w:hideMark/>
          </w:tcPr>
          <w:p w14:paraId="15AC48F7" w14:textId="77777777" w:rsidR="000159BE" w:rsidRPr="00EC037F" w:rsidRDefault="000159BE">
            <w:pPr>
              <w:rPr>
                <w:sz w:val="20"/>
                <w:szCs w:val="20"/>
                <w:lang w:val="en-CA"/>
              </w:rPr>
            </w:pPr>
            <w:r w:rsidRPr="00EC037F">
              <w:rPr>
                <w:sz w:val="20"/>
                <w:szCs w:val="20"/>
                <w:lang w:val="en-CA"/>
              </w:rPr>
              <w:t>Persistent delirium and cognitive impairment without targeted network-level therapies; unclear optimal sedation paradigms for brain protection</w:t>
            </w:r>
          </w:p>
        </w:tc>
        <w:tc>
          <w:tcPr>
            <w:tcW w:w="0" w:type="auto"/>
            <w:hideMark/>
          </w:tcPr>
          <w:p w14:paraId="0D77D5EB" w14:textId="77777777" w:rsidR="000159BE" w:rsidRPr="00EC037F" w:rsidRDefault="000159BE">
            <w:pPr>
              <w:rPr>
                <w:sz w:val="20"/>
                <w:szCs w:val="20"/>
                <w:lang w:val="en-CA"/>
              </w:rPr>
            </w:pPr>
            <w:r w:rsidRPr="00EC037F">
              <w:rPr>
                <w:sz w:val="20"/>
                <w:szCs w:val="20"/>
                <w:lang w:val="en-CA"/>
              </w:rPr>
              <w:t>Network-based neuromodulation and cognition-targeted strategies</w:t>
            </w:r>
          </w:p>
        </w:tc>
        <w:tc>
          <w:tcPr>
            <w:tcW w:w="0" w:type="auto"/>
            <w:hideMark/>
          </w:tcPr>
          <w:p w14:paraId="495655F6" w14:textId="71D5468B" w:rsidR="000159BE" w:rsidRPr="00EC037F" w:rsidRDefault="000159BE">
            <w:pPr>
              <w:rPr>
                <w:sz w:val="20"/>
                <w:szCs w:val="20"/>
                <w:lang w:val="en-CA"/>
              </w:rPr>
            </w:pPr>
            <w:r w:rsidRPr="00EC037F">
              <w:rPr>
                <w:sz w:val="20"/>
                <w:szCs w:val="20"/>
                <w:lang w:val="en-CA"/>
              </w:rPr>
              <w:t>EEG-guided sedation titration; non</w:t>
            </w:r>
            <w:r w:rsidR="00154F00">
              <w:rPr>
                <w:sz w:val="20"/>
                <w:szCs w:val="20"/>
                <w:lang w:val="en-CA"/>
              </w:rPr>
              <w:t>-</w:t>
            </w:r>
            <w:r w:rsidRPr="00EC037F">
              <w:rPr>
                <w:sz w:val="20"/>
                <w:szCs w:val="20"/>
                <w:lang w:val="en-CA"/>
              </w:rPr>
              <w:t>invasive neuromodulation such as transcutaneous vagus nerve stimulation targeting autonomic and inflammatory pathways; exploratory use of psychostimulants and cholinergic agents (e.g., methylphenidate, modafinil, donepezil) for post-ICU cognitive impairment. Early-phase feasibility and pilot trials; limited long-term outcome data.</w:t>
            </w:r>
          </w:p>
        </w:tc>
      </w:tr>
    </w:tbl>
    <w:p w14:paraId="7D47E002" w14:textId="77777777" w:rsidR="000159BE" w:rsidRPr="00EC037F" w:rsidRDefault="000159BE" w:rsidP="00183F02">
      <w:pPr>
        <w:rPr>
          <w:sz w:val="20"/>
          <w:szCs w:val="20"/>
        </w:rPr>
      </w:pPr>
    </w:p>
    <w:p w14:paraId="7FD9F02B" w14:textId="77777777" w:rsidR="008D0550" w:rsidRPr="00EC037F" w:rsidRDefault="008D0550" w:rsidP="00183F02">
      <w:pPr>
        <w:rPr>
          <w:sz w:val="22"/>
          <w:szCs w:val="22"/>
        </w:rPr>
      </w:pPr>
    </w:p>
    <w:p w14:paraId="29E99DC7" w14:textId="77777777" w:rsidR="00EC037F" w:rsidRPr="00EC037F" w:rsidRDefault="00EC037F" w:rsidP="00183F02">
      <w:pPr>
        <w:rPr>
          <w:sz w:val="22"/>
          <w:szCs w:val="22"/>
        </w:rPr>
      </w:pPr>
    </w:p>
    <w:p w14:paraId="734A9226" w14:textId="5B122BE0" w:rsidR="00EC037F" w:rsidRPr="00EC037F" w:rsidRDefault="00EC037F" w:rsidP="00183F02">
      <w:pPr>
        <w:rPr>
          <w:b/>
          <w:bCs/>
          <w:sz w:val="22"/>
          <w:szCs w:val="22"/>
        </w:rPr>
      </w:pPr>
      <w:r w:rsidRPr="00EC037F">
        <w:rPr>
          <w:b/>
          <w:bCs/>
          <w:sz w:val="22"/>
          <w:szCs w:val="22"/>
        </w:rPr>
        <w:t>References</w:t>
      </w:r>
    </w:p>
    <w:p w14:paraId="23E241EB" w14:textId="77777777" w:rsidR="00EC037F" w:rsidRPr="00586D6F" w:rsidRDefault="00EC037F" w:rsidP="00EC037F">
      <w:pPr>
        <w:pStyle w:val="EndNoteBibliography"/>
        <w:ind w:left="720" w:hanging="720"/>
        <w:rPr>
          <w:noProof/>
          <w:sz w:val="20"/>
          <w:szCs w:val="20"/>
          <w:lang w:val="en-CA"/>
        </w:rPr>
      </w:pPr>
      <w:r w:rsidRPr="00586D6F">
        <w:rPr>
          <w:sz w:val="20"/>
          <w:szCs w:val="20"/>
          <w:lang w:val="en-CA"/>
        </w:rPr>
        <w:fldChar w:fldCharType="begin"/>
      </w:r>
      <w:r w:rsidRPr="00586D6F">
        <w:rPr>
          <w:sz w:val="20"/>
          <w:szCs w:val="20"/>
          <w:lang w:val="en-CA"/>
        </w:rPr>
        <w:instrText xml:space="preserve"> ADDIN EN.REFLIST </w:instrText>
      </w:r>
      <w:r w:rsidRPr="00586D6F">
        <w:rPr>
          <w:sz w:val="20"/>
          <w:szCs w:val="20"/>
          <w:lang w:val="en-CA"/>
        </w:rPr>
        <w:fldChar w:fldCharType="separate"/>
      </w:r>
      <w:r w:rsidRPr="00586D6F">
        <w:rPr>
          <w:noProof/>
          <w:sz w:val="20"/>
          <w:szCs w:val="20"/>
          <w:lang w:val="en-CA"/>
        </w:rPr>
        <w:t>1.</w:t>
      </w:r>
      <w:r w:rsidRPr="00586D6F">
        <w:rPr>
          <w:noProof/>
          <w:sz w:val="20"/>
          <w:szCs w:val="20"/>
          <w:lang w:val="en-CA"/>
        </w:rPr>
        <w:tab/>
        <w:t>Oldham MA, Holloway RG. Delirium disorder: Integrating delirium and acute encephalopathy. Neurology 2020;95(4):173-178. (In eng). DOI: 10.1212/wnl.0000000000009949.</w:t>
      </w:r>
    </w:p>
    <w:p w14:paraId="322B5E6E" w14:textId="77777777" w:rsidR="00EC037F" w:rsidRPr="00586D6F" w:rsidRDefault="00EC037F" w:rsidP="00EC037F">
      <w:pPr>
        <w:pStyle w:val="EndNoteBibliography"/>
        <w:ind w:left="720" w:hanging="720"/>
        <w:rPr>
          <w:noProof/>
          <w:sz w:val="20"/>
          <w:szCs w:val="20"/>
          <w:lang w:val="en-CA"/>
        </w:rPr>
      </w:pPr>
      <w:r w:rsidRPr="00586D6F">
        <w:rPr>
          <w:noProof/>
          <w:sz w:val="20"/>
          <w:szCs w:val="20"/>
          <w:lang w:val="en-CA"/>
        </w:rPr>
        <w:t>2.</w:t>
      </w:r>
      <w:r w:rsidRPr="00586D6F">
        <w:rPr>
          <w:noProof/>
          <w:sz w:val="20"/>
          <w:szCs w:val="20"/>
          <w:lang w:val="en-CA"/>
        </w:rPr>
        <w:tab/>
        <w:t>Slooter AJC, Otte WM, Devlin JW, et al. Updated nomenclature of delirium and acute encephalopathy: statement of ten Societies. Intensive Care Med 2020;46(5):1020-1022. (In eng). DOI: 10.1007/s00134-019-05907-4.</w:t>
      </w:r>
    </w:p>
    <w:p w14:paraId="0C21F4A4" w14:textId="77777777" w:rsidR="00EC037F" w:rsidRPr="00586D6F" w:rsidRDefault="00EC037F" w:rsidP="00EC037F">
      <w:pPr>
        <w:pStyle w:val="EndNoteBibliography"/>
        <w:ind w:left="720" w:hanging="720"/>
        <w:rPr>
          <w:noProof/>
          <w:sz w:val="20"/>
          <w:szCs w:val="20"/>
          <w:lang w:val="en-CA"/>
        </w:rPr>
      </w:pPr>
      <w:r w:rsidRPr="00586D6F">
        <w:rPr>
          <w:noProof/>
          <w:sz w:val="20"/>
          <w:szCs w:val="20"/>
          <w:lang w:val="en-CA"/>
        </w:rPr>
        <w:lastRenderedPageBreak/>
        <w:t>3.</w:t>
      </w:r>
      <w:r w:rsidRPr="00586D6F">
        <w:rPr>
          <w:noProof/>
          <w:sz w:val="20"/>
          <w:szCs w:val="20"/>
          <w:lang w:val="en-CA"/>
        </w:rPr>
        <w:tab/>
        <w:t>Helbok R, Rass V, Beghi E, et al. The Curing Coma Campaign International Survey on Coma Epidemiology, Evaluation, and Therapy (COME TOGETHER). Neurocrit Care 2022;37(1):47-59. (In eng). DOI: 10.1007/s12028-021-01425-8.</w:t>
      </w:r>
    </w:p>
    <w:p w14:paraId="240A2899" w14:textId="77777777" w:rsidR="00EC037F" w:rsidRPr="00586D6F" w:rsidRDefault="00EC037F" w:rsidP="00EC037F">
      <w:pPr>
        <w:pStyle w:val="EndNoteBibliography"/>
        <w:ind w:left="720" w:hanging="720"/>
        <w:rPr>
          <w:noProof/>
          <w:sz w:val="20"/>
          <w:szCs w:val="20"/>
          <w:lang w:val="en-CA"/>
        </w:rPr>
      </w:pPr>
      <w:r w:rsidRPr="00586D6F">
        <w:rPr>
          <w:noProof/>
          <w:sz w:val="20"/>
          <w:szCs w:val="20"/>
          <w:lang w:val="en-CA"/>
        </w:rPr>
        <w:t>4.</w:t>
      </w:r>
      <w:r w:rsidRPr="00586D6F">
        <w:rPr>
          <w:noProof/>
          <w:sz w:val="20"/>
          <w:szCs w:val="20"/>
          <w:lang w:val="en-CA"/>
        </w:rPr>
        <w:tab/>
        <w:t>Diagnostic and statistical manual of mental disorders. 5th ed: American Psychiatric Association, 2013.</w:t>
      </w:r>
    </w:p>
    <w:p w14:paraId="53784AA2" w14:textId="0DB2EBBB" w:rsidR="00EC037F" w:rsidRPr="00EC037F" w:rsidRDefault="00EC037F" w:rsidP="00183F02">
      <w:pPr>
        <w:rPr>
          <w:sz w:val="20"/>
          <w:szCs w:val="20"/>
        </w:rPr>
      </w:pPr>
      <w:r w:rsidRPr="00586D6F">
        <w:rPr>
          <w:sz w:val="20"/>
          <w:szCs w:val="20"/>
        </w:rPr>
        <w:fldChar w:fldCharType="end"/>
      </w:r>
    </w:p>
    <w:sectPr w:rsidR="00EC037F" w:rsidRPr="00EC037F" w:rsidSect="0033473C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Book">
    <w:altName w:val="Corbel"/>
    <w:charset w:val="00"/>
    <w:family w:val="auto"/>
    <w:pitch w:val="variable"/>
    <w:sig w:usb0="00000001" w:usb1="5000204A" w:usb2="00000000" w:usb3="00000000" w:csb0="0000009B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108CB"/>
    <w:multiLevelType w:val="hybridMultilevel"/>
    <w:tmpl w:val="F59283E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943A4"/>
    <w:multiLevelType w:val="multilevel"/>
    <w:tmpl w:val="79F66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C2399D"/>
    <w:multiLevelType w:val="multilevel"/>
    <w:tmpl w:val="D706C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8A7734"/>
    <w:multiLevelType w:val="multilevel"/>
    <w:tmpl w:val="BCB85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111236"/>
    <w:multiLevelType w:val="hybridMultilevel"/>
    <w:tmpl w:val="ABD48AC8"/>
    <w:lvl w:ilvl="0" w:tplc="60D8D6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0047D8"/>
    <w:multiLevelType w:val="hybridMultilevel"/>
    <w:tmpl w:val="6F629006"/>
    <w:lvl w:ilvl="0" w:tplc="AC224318">
      <w:start w:val="6"/>
      <w:numFmt w:val="bullet"/>
      <w:lvlText w:val="-"/>
      <w:lvlJc w:val="left"/>
      <w:pPr>
        <w:ind w:left="720" w:hanging="360"/>
      </w:pPr>
      <w:rPr>
        <w:rFonts w:ascii="Avenir Book" w:eastAsia="Times New Roman" w:hAnsi="Avenir Book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BE51A9"/>
    <w:multiLevelType w:val="hybridMultilevel"/>
    <w:tmpl w:val="95349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ew England J Medicin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rfvpeaw1fzx0ze0s5f5zfd80erfdrxvrrdd&quot;&gt;neuro complications in ICU Library&lt;record-ids&gt;&lt;item&gt;106&lt;/item&gt;&lt;item&gt;107&lt;/item&gt;&lt;item&gt;110&lt;/item&gt;&lt;item&gt;111&lt;/item&gt;&lt;/record-ids&gt;&lt;/item&gt;&lt;/Libraries&gt;"/>
  </w:docVars>
  <w:rsids>
    <w:rsidRoot w:val="00B201C0"/>
    <w:rsid w:val="000072BD"/>
    <w:rsid w:val="000159BE"/>
    <w:rsid w:val="00025142"/>
    <w:rsid w:val="00086872"/>
    <w:rsid w:val="000C273E"/>
    <w:rsid w:val="000C5D06"/>
    <w:rsid w:val="000D2BD3"/>
    <w:rsid w:val="001030BC"/>
    <w:rsid w:val="00154F00"/>
    <w:rsid w:val="00167F94"/>
    <w:rsid w:val="00183F02"/>
    <w:rsid w:val="00246CA9"/>
    <w:rsid w:val="002D2C37"/>
    <w:rsid w:val="00305508"/>
    <w:rsid w:val="0033473C"/>
    <w:rsid w:val="003B17FF"/>
    <w:rsid w:val="003D1DB3"/>
    <w:rsid w:val="004A637A"/>
    <w:rsid w:val="004F0AFF"/>
    <w:rsid w:val="00501320"/>
    <w:rsid w:val="005105D0"/>
    <w:rsid w:val="0051384B"/>
    <w:rsid w:val="00514C75"/>
    <w:rsid w:val="00547E88"/>
    <w:rsid w:val="00586D6F"/>
    <w:rsid w:val="005B0B33"/>
    <w:rsid w:val="005B6066"/>
    <w:rsid w:val="00622208"/>
    <w:rsid w:val="0062253C"/>
    <w:rsid w:val="0063369D"/>
    <w:rsid w:val="00636A0E"/>
    <w:rsid w:val="0064525D"/>
    <w:rsid w:val="006A20D7"/>
    <w:rsid w:val="006A2DEF"/>
    <w:rsid w:val="00702551"/>
    <w:rsid w:val="007662F2"/>
    <w:rsid w:val="00797651"/>
    <w:rsid w:val="007E6F60"/>
    <w:rsid w:val="00801D8F"/>
    <w:rsid w:val="00815BBB"/>
    <w:rsid w:val="00821FAB"/>
    <w:rsid w:val="00850DFD"/>
    <w:rsid w:val="008714E3"/>
    <w:rsid w:val="00887622"/>
    <w:rsid w:val="00897A68"/>
    <w:rsid w:val="008D0550"/>
    <w:rsid w:val="008E5BEA"/>
    <w:rsid w:val="00910AD5"/>
    <w:rsid w:val="0092028E"/>
    <w:rsid w:val="009638E6"/>
    <w:rsid w:val="00974594"/>
    <w:rsid w:val="009969BB"/>
    <w:rsid w:val="009F5238"/>
    <w:rsid w:val="00A75978"/>
    <w:rsid w:val="00A80A4F"/>
    <w:rsid w:val="00A91642"/>
    <w:rsid w:val="00A925EB"/>
    <w:rsid w:val="00B139D5"/>
    <w:rsid w:val="00B201C0"/>
    <w:rsid w:val="00B410FF"/>
    <w:rsid w:val="00B54172"/>
    <w:rsid w:val="00B6407A"/>
    <w:rsid w:val="00BB1BF7"/>
    <w:rsid w:val="00BD3F25"/>
    <w:rsid w:val="00C01A92"/>
    <w:rsid w:val="00C11AA1"/>
    <w:rsid w:val="00C1464B"/>
    <w:rsid w:val="00C65C0F"/>
    <w:rsid w:val="00C81DC4"/>
    <w:rsid w:val="00CB2BB9"/>
    <w:rsid w:val="00CC28F0"/>
    <w:rsid w:val="00CD6AD4"/>
    <w:rsid w:val="00CD6E3E"/>
    <w:rsid w:val="00CD7F7A"/>
    <w:rsid w:val="00CF00B5"/>
    <w:rsid w:val="00D32278"/>
    <w:rsid w:val="00D3281C"/>
    <w:rsid w:val="00D73153"/>
    <w:rsid w:val="00DA4589"/>
    <w:rsid w:val="00DC6FC2"/>
    <w:rsid w:val="00E351FC"/>
    <w:rsid w:val="00E41297"/>
    <w:rsid w:val="00E52451"/>
    <w:rsid w:val="00EA0354"/>
    <w:rsid w:val="00EC037F"/>
    <w:rsid w:val="00EF779B"/>
    <w:rsid w:val="00F5170C"/>
    <w:rsid w:val="00F61D25"/>
    <w:rsid w:val="00FA15FA"/>
    <w:rsid w:val="00FC205C"/>
    <w:rsid w:val="00FF5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BB714"/>
  <w15:chartTrackingRefBased/>
  <w15:docId w15:val="{C83E36F3-A42C-A342-A903-BB6B8DEAB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B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01C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01C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201C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01C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01C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01C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01C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01C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01C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01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01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201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01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01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01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01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01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01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01C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201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01C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201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01C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201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01C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201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01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01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01C0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B201C0"/>
    <w:rPr>
      <w:b/>
      <w:bCs/>
    </w:rPr>
  </w:style>
  <w:style w:type="table" w:styleId="TableGrid">
    <w:name w:val="Table Grid"/>
    <w:basedOn w:val="TableNormal"/>
    <w:uiPriority w:val="39"/>
    <w:rsid w:val="00B201C0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B410FF"/>
  </w:style>
  <w:style w:type="paragraph" w:styleId="NormalWeb">
    <w:name w:val="Normal (Web)"/>
    <w:basedOn w:val="Normal"/>
    <w:uiPriority w:val="99"/>
    <w:unhideWhenUsed/>
    <w:rsid w:val="000159BE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EC03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C03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C037F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Emphasis">
    <w:name w:val="Emphasis"/>
    <w:basedOn w:val="DefaultParagraphFont"/>
    <w:uiPriority w:val="20"/>
    <w:qFormat/>
    <w:rsid w:val="00EC037F"/>
    <w:rPr>
      <w:i/>
      <w:iCs/>
    </w:rPr>
  </w:style>
  <w:style w:type="paragraph" w:customStyle="1" w:styleId="EndNoteBibliographyTitle">
    <w:name w:val="EndNote Bibliography Title"/>
    <w:basedOn w:val="Normal"/>
    <w:link w:val="EndNoteBibliographyTitleChar"/>
    <w:rsid w:val="00EC037F"/>
    <w:pPr>
      <w:jc w:val="center"/>
    </w:pPr>
    <w:rPr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C037F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EC037F"/>
    <w:rPr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EC037F"/>
    <w:rPr>
      <w:rFonts w:ascii="Times New Roman" w:eastAsia="Times New Roman" w:hAnsi="Times New Roman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1845</Words>
  <Characters>10520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mccredie</dc:creator>
  <cp:keywords/>
  <dc:description/>
  <cp:lastModifiedBy>Pushpakala S</cp:lastModifiedBy>
  <cp:revision>4</cp:revision>
  <dcterms:created xsi:type="dcterms:W3CDTF">2026-04-13T23:30:00Z</dcterms:created>
  <dcterms:modified xsi:type="dcterms:W3CDTF">2026-05-23T08:22:00Z</dcterms:modified>
</cp:coreProperties>
</file>