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5538" w:rsidRPr="001D5538" w:rsidRDefault="00B16DEE" w:rsidP="001D5538">
      <w:pPr>
        <w:pStyle w:val="Heading2"/>
        <w:rPr>
          <w:lang w:val="en-GB"/>
        </w:rPr>
      </w:pPr>
      <w:r>
        <w:rPr>
          <w:lang w:val="en-GB"/>
        </w:rPr>
        <w:t>Details</w:t>
      </w:r>
      <w:r w:rsidR="001D5538" w:rsidRPr="001D5538">
        <w:rPr>
          <w:lang w:val="en-GB"/>
        </w:rPr>
        <w:t xml:space="preserve"> of the musculoskeletal model</w:t>
      </w:r>
    </w:p>
    <w:p w:rsidR="00CF3EFC" w:rsidRDefault="00CF3EFC" w:rsidP="00F72170">
      <w:pPr>
        <w:rPr>
          <w:lang w:val="en-GB"/>
        </w:rPr>
      </w:pPr>
      <w:r w:rsidRPr="00CF3EFC">
        <w:rPr>
          <w:lang w:val="en-GB"/>
        </w:rPr>
        <w:t xml:space="preserve">The model used in this study was built upon </w:t>
      </w:r>
      <w:r w:rsidR="00253F8B">
        <w:rPr>
          <w:lang w:val="en-GB"/>
        </w:rPr>
        <w:t xml:space="preserve">a previously validated model of cruciate-retaining total knee arthroplasty model </w:t>
      </w:r>
      <w:r w:rsidR="00726CBD">
        <w:rPr>
          <w:lang w:val="en-GB"/>
        </w:rPr>
        <w:fldChar w:fldCharType="begin" w:fldLock="1"/>
      </w:r>
      <w:r w:rsidR="000475F7">
        <w:rPr>
          <w:lang w:val="en-GB"/>
        </w:rPr>
        <w:instrText>ADDIN CSL_CITATION { "citationItems" : [ { "id" : "ITEM-1", "itemData" : { "DOI" : "10.1115/1.4029258", "ISSN" : "1528-8951", "PMID" : "25429519", "abstract" : "Musculoskeletal (MS) models should be able to integrate patient-specific MS architecture and undergo thorough validation prior to their introduction into clinical practice. We present a methodology to develop subject-specific models able to simultaneously predict muscle, ligament, and knee joint contact forces along with secondary knee kinematics. The MS architecture of a generic cadaver-based model was scaled using an advanced morphing technique to the subject-specific morphology of a patient implanted with an instrumented total knee arthroplasty (TKA) available in the fifth \"grand challenge competition to predict in vivo knee loads\" dataset. We implemented two separate knee models, one employing traditional hinge constraints, which was solved using an inverse dynamics technique, and another one using an 11-degree-of-freedom (DOF) representation of the tibiofemoral (TF) and patellofemoral (PF) joints, which was solved using a combined inverse dynamic and quasi-static analysis, called force-dependent kinematics (FDK). TF joint forces for one gait and one right-turn trial and secondary knee kinematics for one unloaded leg-swing trial were predicted and evaluated using experimental data available in the grand challenge dataset. Total compressive TF contact forces were predicted by both hinge and FDK knee models with a root-mean-square error (RMSE) and a coefficient of determination (R2) smaller than 0.3 body weight (BW) and equal to 0.9 in the gait trial simulation and smaller than 0.4 BW and larger than 0.8 in the right-turn trial simulation, respectively. Total, medial, and lateral TF joint contact force predictions were highly similar, regardless of the type of knee model used. Medial (respectively lateral) TF forces were over- (respectively, under-) predicted with a magnitude error of M &lt; 0.2 (respectively &gt; -0.4) in the gait trial, and under- (respectively, over-) predicted with a magnitude error of M &gt; -0.4 (respectively &lt; 0.3) in the right-turn trial. Secondary knee kinematics from the unloaded leg-swing trial were overall better approximated using the FDK model (average Sprague and Geers' combined error C = 0.06) than when using a hinged knee model (C = 0.34). The proposed modeling approach allows detailed subject-specific scaling and personalization and does not contain any nonphysiological parameters. This modeling framework has potential applications in aiding the clinical decision-making in orthopedics procedures and as a tool for virtual impl\u2026", "author" : [ { "dropping-particle" : "", "family" : "Marra", "given" : "Marco A", "non-dropping-particle" : "", "parse-names" : false, "suffix" : "" }, { "dropping-particle" : "", "family" : "Vanheule", "given" : "Valentine", "non-dropping-particle" : "", "parse-names" : false, "suffix" : "" }, { "dropping-particle" : "", "family" : "Fluit", "given" : "Ren\u00e9", "non-dropping-particle" : "", "parse-names" : false, "suffix" : "" }, { "dropping-particle" : "", "family" : "Koopman", "given" : "Bart H F J M", "non-dropping-particle" : "", "parse-names" : false, "suffix" : "" }, { "dropping-particle" : "", "family" : "Rasmussen", "given" : "John", "non-dropping-particle" : "", "parse-names" : false, "suffix" : "" }, { "dropping-particle" : "", "family" : "Verdonschot", "given" : "Nico", "non-dropping-particle" : "", "parse-names" : false, "suffix" : "" }, { "dropping-particle" : "", "family" : "Andersen", "given" : "Michael S", "non-dropping-particle" : "", "parse-names" : false, "suffix" : "" } ], "container-title" : "Journal of biomechanical engineering", "id" : "ITEM-1", "issue" : "2", "issued" : { "date-parts" : [ [ "2015", "2", "1" ] ] }, "page" : "020904", "title" : "A subject-specific musculoskeletal modeling framework to predict in vivo mechanics of total knee arthroplasty.", "type" : "article-journal", "volume" : "137" }, "uris" : [ "http://www.mendeley.com/documents/?uuid=96b8c7a6-23f0-4fbb-ba7e-ad6840503b4d" ] } ], "mendeley" : { "formattedCitation" : "[4]", "plainTextFormattedCitation" : "[4]", "previouslyFormattedCitation" : "[4]" }, "properties" : { "noteIndex" : 0 }, "schema" : "https://github.com/citation-style-language/schema/raw/master/csl-citation.json" }</w:instrText>
      </w:r>
      <w:r w:rsidR="00726CBD">
        <w:rPr>
          <w:lang w:val="en-GB"/>
        </w:rPr>
        <w:fldChar w:fldCharType="separate"/>
      </w:r>
      <w:r w:rsidR="00253F8B" w:rsidRPr="00253F8B">
        <w:rPr>
          <w:noProof/>
          <w:lang w:val="en-GB"/>
        </w:rPr>
        <w:t>[4]</w:t>
      </w:r>
      <w:r w:rsidR="00726CBD">
        <w:rPr>
          <w:lang w:val="en-GB"/>
        </w:rPr>
        <w:fldChar w:fldCharType="end"/>
      </w:r>
      <w:r w:rsidR="00253F8B">
        <w:rPr>
          <w:lang w:val="en-GB"/>
        </w:rPr>
        <w:t xml:space="preserve">. This model was based on </w:t>
      </w:r>
      <w:r w:rsidRPr="00CF3EFC">
        <w:rPr>
          <w:lang w:val="en-GB"/>
        </w:rPr>
        <w:t xml:space="preserve">the </w:t>
      </w:r>
      <w:proofErr w:type="spellStart"/>
      <w:r w:rsidRPr="00CF3EFC">
        <w:rPr>
          <w:lang w:val="en-GB"/>
        </w:rPr>
        <w:t>T</w:t>
      </w:r>
      <w:r>
        <w:rPr>
          <w:lang w:val="en-GB"/>
        </w:rPr>
        <w:t>wente</w:t>
      </w:r>
      <w:proofErr w:type="spellEnd"/>
      <w:r>
        <w:rPr>
          <w:lang w:val="en-GB"/>
        </w:rPr>
        <w:t xml:space="preserve"> Lower Extremity Model 2.0 </w:t>
      </w:r>
      <w:r w:rsidR="00726CBD">
        <w:rPr>
          <w:lang w:val="en-GB"/>
        </w:rPr>
        <w:fldChar w:fldCharType="begin" w:fldLock="1"/>
      </w:r>
      <w:r w:rsidR="000475F7">
        <w:rPr>
          <w:lang w:val="en-GB"/>
        </w:rPr>
        <w:instrText>ADDIN CSL_CITATION { "citationItems" : [ { "id" : "ITEM-1", "itemData" : { "DOI" : "10.1016/j.jbiomech.2014.12.034", "ISSN" : "00219290", "author" : [ { "dropping-particle" : "", "family" : "Carbone", "given" : "V.", "non-dropping-particle" : "", "parse-names" : false, "suffix" : "" }, { "dropping-particle" : "", "family" : "Fluit", "given" : "R.", "non-dropping-particle" : "", "parse-names" : false, "suffix" : "" }, { "dropping-particle" : "", "family" : "Pellikaan", "given" : "P.", "non-dropping-particle" : "", "parse-names" : false, "suffix" : "" }, { "dropping-particle" : "", "family" : "Krogt", "given" : "M.M.", "non-dropping-particle" : "van der", "parse-names" : false, "suffix" : "" }, { "dropping-particle" : "", "family" : "Janssen", "given" : "D.", "non-dropping-particle" : "", "parse-names" : false, "suffix" : "" }, { "dropping-particle" : "", "family" : "Damsgaard", "given" : "M.", "non-dropping-particle" : "", "parse-names" : false, "suffix" : "" }, { "dropping-particle" : "", "family" : "Vigneron", "given" : "L.", "non-dropping-particle" : "", "parse-names" : false, "suffix" : "" }, { "dropping-particle" : "", "family" : "Feilkas", "given" : "T.", "non-dropping-particle" : "", "parse-names" : false, "suffix" : "" }, { "dropping-particle" : "", "family" : "Koopman", "given" : "H.F.J.M.", "non-dropping-particle" : "", "parse-names" : false, "suffix" : "" }, { "dropping-particle" : "", "family" : "Verdonschot", "given" : "N.", "non-dropping-particle" : "", "parse-names" : false, "suffix" : "" } ], "container-title" : "Journal of Biomechanics", "id" : "ITEM-1", "issue" : "5", "issued" : { "date-parts" : [ [ "2015" ] ] }, "page" : "734-741", "publisher" : "Elsevier", "title" : "TLEM 2.0 \u2013 A comprehensive musculoskeletal geometry dataset for subject-specific modeling of lower extremity", "type" : "article-journal", "volume" : "48" }, "uris" : [ "http://www.mendeley.com/documents/?uuid=cdaff896-c12e-47aa-88d6-7b4023935bf7" ] } ], "mendeley" : { "formattedCitation" : "[2]", "plainTextFormattedCitation" : "[2]", "previouslyFormattedCitation" : "[2]" }, "properties" : { "noteIndex" : 0 }, "schema" : "https://github.com/citation-style-language/schema/raw/master/csl-citation.json" }</w:instrText>
      </w:r>
      <w:r w:rsidR="00726CBD">
        <w:rPr>
          <w:lang w:val="en-GB"/>
        </w:rPr>
        <w:fldChar w:fldCharType="separate"/>
      </w:r>
      <w:r w:rsidR="00253F8B" w:rsidRPr="00253F8B">
        <w:rPr>
          <w:noProof/>
          <w:lang w:val="en-GB"/>
        </w:rPr>
        <w:t>[2]</w:t>
      </w:r>
      <w:r w:rsidR="00726CBD">
        <w:rPr>
          <w:lang w:val="en-GB"/>
        </w:rPr>
        <w:fldChar w:fldCharType="end"/>
      </w:r>
      <w:r w:rsidRPr="00CF3EFC">
        <w:rPr>
          <w:lang w:val="en-GB"/>
        </w:rPr>
        <w:t xml:space="preserve">, </w:t>
      </w:r>
      <w:r w:rsidR="00253F8B">
        <w:rPr>
          <w:lang w:val="en-GB"/>
        </w:rPr>
        <w:t xml:space="preserve">and </w:t>
      </w:r>
      <w:r w:rsidRPr="00CF3EFC">
        <w:rPr>
          <w:lang w:val="en-GB"/>
        </w:rPr>
        <w:t>included</w:t>
      </w:r>
      <w:r>
        <w:rPr>
          <w:lang w:val="en-GB"/>
        </w:rPr>
        <w:t>:</w:t>
      </w:r>
      <w:r w:rsidRPr="00CF3EFC">
        <w:rPr>
          <w:lang w:val="en-GB"/>
        </w:rPr>
        <w:t xml:space="preserve"> head, trunk, two arms and two legs, connected by idealised joints. The </w:t>
      </w:r>
      <w:r>
        <w:rPr>
          <w:lang w:val="en-GB"/>
        </w:rPr>
        <w:t xml:space="preserve">bones of the </w:t>
      </w:r>
      <w:r w:rsidRPr="00CF3EFC">
        <w:rPr>
          <w:lang w:val="en-GB"/>
        </w:rPr>
        <w:t xml:space="preserve">lower extremities were </w:t>
      </w:r>
      <w:r>
        <w:rPr>
          <w:lang w:val="en-GB"/>
        </w:rPr>
        <w:t xml:space="preserve">non-linearly </w:t>
      </w:r>
      <w:r w:rsidRPr="00CF3EFC">
        <w:rPr>
          <w:lang w:val="en-GB"/>
        </w:rPr>
        <w:t xml:space="preserve">scaled to </w:t>
      </w:r>
      <w:r>
        <w:rPr>
          <w:lang w:val="en-GB"/>
        </w:rPr>
        <w:t>match those</w:t>
      </w:r>
      <w:r w:rsidRPr="00CF3EFC">
        <w:rPr>
          <w:lang w:val="en-GB"/>
        </w:rPr>
        <w:t xml:space="preserve"> </w:t>
      </w:r>
      <w:r>
        <w:rPr>
          <w:lang w:val="en-GB"/>
        </w:rPr>
        <w:t>of the patient, using morphing techniques</w:t>
      </w:r>
      <w:r w:rsidRPr="00CF3EFC">
        <w:rPr>
          <w:lang w:val="en-GB"/>
        </w:rPr>
        <w:t xml:space="preserve">. Three-dimensional models of the CR-TKA implant were incorporated into the patient’s left knee. </w:t>
      </w:r>
      <w:r>
        <w:rPr>
          <w:lang w:val="en-GB"/>
        </w:rPr>
        <w:t>Time histories of r</w:t>
      </w:r>
      <w:r w:rsidRPr="00CF3EFC">
        <w:rPr>
          <w:lang w:val="en-GB"/>
        </w:rPr>
        <w:t>eflective skin marker trajectories were used as input to derive the kinematics of the idealised joint degrees</w:t>
      </w:r>
      <w:r>
        <w:rPr>
          <w:lang w:val="en-GB"/>
        </w:rPr>
        <w:t xml:space="preserve"> </w:t>
      </w:r>
      <w:r w:rsidRPr="00CF3EFC">
        <w:rPr>
          <w:lang w:val="en-GB"/>
        </w:rPr>
        <w:t>of</w:t>
      </w:r>
      <w:r>
        <w:rPr>
          <w:lang w:val="en-GB"/>
        </w:rPr>
        <w:t xml:space="preserve"> </w:t>
      </w:r>
      <w:r w:rsidRPr="00CF3EFC">
        <w:rPr>
          <w:lang w:val="en-GB"/>
        </w:rPr>
        <w:t xml:space="preserve">freedom, using a motion optimization algorithm [2]. Subsequently, the </w:t>
      </w:r>
      <w:r>
        <w:rPr>
          <w:lang w:val="en-GB"/>
        </w:rPr>
        <w:t xml:space="preserve">tibiofemoral </w:t>
      </w:r>
      <w:r w:rsidRPr="00CF3EFC">
        <w:rPr>
          <w:lang w:val="en-GB"/>
        </w:rPr>
        <w:t xml:space="preserve">and </w:t>
      </w:r>
      <w:r>
        <w:rPr>
          <w:lang w:val="en-GB"/>
        </w:rPr>
        <w:t>patellofemoral joint</w:t>
      </w:r>
      <w:r w:rsidRPr="00CF3EFC">
        <w:rPr>
          <w:lang w:val="en-GB"/>
        </w:rPr>
        <w:t xml:space="preserve"> constraints were removed, and ligaments and articular surface contacts </w:t>
      </w:r>
      <w:r>
        <w:rPr>
          <w:lang w:val="en-GB"/>
        </w:rPr>
        <w:t xml:space="preserve">were </w:t>
      </w:r>
      <w:r w:rsidRPr="00CF3EFC">
        <w:rPr>
          <w:lang w:val="en-GB"/>
        </w:rPr>
        <w:t xml:space="preserve">introduced to provide </w:t>
      </w:r>
      <w:r>
        <w:rPr>
          <w:lang w:val="en-GB"/>
        </w:rPr>
        <w:t xml:space="preserve">elastic </w:t>
      </w:r>
      <w:r w:rsidRPr="00CF3EFC">
        <w:rPr>
          <w:lang w:val="en-GB"/>
        </w:rPr>
        <w:t xml:space="preserve">stiffness </w:t>
      </w:r>
      <w:r>
        <w:rPr>
          <w:lang w:val="en-GB"/>
        </w:rPr>
        <w:t xml:space="preserve">to </w:t>
      </w:r>
      <w:r w:rsidRPr="00CF3EFC">
        <w:rPr>
          <w:lang w:val="en-GB"/>
        </w:rPr>
        <w:t xml:space="preserve">the unconstrained joints. </w:t>
      </w:r>
      <w:r>
        <w:rPr>
          <w:lang w:val="en-GB"/>
        </w:rPr>
        <w:t xml:space="preserve">Experimental </w:t>
      </w:r>
      <w:r w:rsidRPr="00CF3EFC">
        <w:rPr>
          <w:lang w:val="en-GB"/>
        </w:rPr>
        <w:t xml:space="preserve">ground reaction forces </w:t>
      </w:r>
      <w:r w:rsidR="00253F8B">
        <w:rPr>
          <w:lang w:val="en-GB"/>
        </w:rPr>
        <w:t xml:space="preserve">and optimized joint kinematics </w:t>
      </w:r>
      <w:r w:rsidRPr="00CF3EFC">
        <w:rPr>
          <w:lang w:val="en-GB"/>
        </w:rPr>
        <w:t xml:space="preserve">were input to </w:t>
      </w:r>
      <w:r w:rsidR="00253F8B">
        <w:rPr>
          <w:lang w:val="en-GB"/>
        </w:rPr>
        <w:t xml:space="preserve">a </w:t>
      </w:r>
      <w:r>
        <w:rPr>
          <w:lang w:val="en-GB"/>
        </w:rPr>
        <w:t>model</w:t>
      </w:r>
      <w:r w:rsidR="00253F8B">
        <w:rPr>
          <w:lang w:val="en-GB"/>
        </w:rPr>
        <w:t xml:space="preserve"> equipped with </w:t>
      </w:r>
      <w:r w:rsidRPr="00CF3EFC">
        <w:rPr>
          <w:lang w:val="en-GB"/>
        </w:rPr>
        <w:t>166 Hill-type muscle-tendon elements.</w:t>
      </w:r>
      <w:r w:rsidR="00253F8B">
        <w:rPr>
          <w:lang w:val="en-GB"/>
        </w:rPr>
        <w:t xml:space="preserve"> Muscle and ligament forces, </w:t>
      </w:r>
      <w:r w:rsidRPr="00CF3EFC">
        <w:rPr>
          <w:lang w:val="en-GB"/>
        </w:rPr>
        <w:t xml:space="preserve">articular contact forces </w:t>
      </w:r>
      <w:r w:rsidR="00253F8B">
        <w:rPr>
          <w:lang w:val="en-GB"/>
        </w:rPr>
        <w:t xml:space="preserve">and secondary knee kinematics </w:t>
      </w:r>
      <w:r w:rsidRPr="00CF3EFC">
        <w:rPr>
          <w:lang w:val="en-GB"/>
        </w:rPr>
        <w:t>were solved simultaneously using</w:t>
      </w:r>
      <w:r>
        <w:rPr>
          <w:lang w:val="en-GB"/>
        </w:rPr>
        <w:t xml:space="preserve"> </w:t>
      </w:r>
      <w:r w:rsidR="00253F8B">
        <w:rPr>
          <w:lang w:val="en-GB"/>
        </w:rPr>
        <w:t xml:space="preserve">force-dependent kinematics </w:t>
      </w:r>
      <w:r w:rsidR="00726CBD">
        <w:rPr>
          <w:lang w:val="en-GB"/>
        </w:rPr>
        <w:fldChar w:fldCharType="begin" w:fldLock="1"/>
      </w:r>
      <w:r w:rsidR="000475F7">
        <w:rPr>
          <w:lang w:val="en-GB"/>
        </w:rPr>
        <w:instrText>ADDIN CSL_CITATION { "citationItems" : [ { "id" : "ITEM-1", "itemData" : { "DOI" : "10.1115/1.4037100", "ISSN" : "1528-8951", "PMID" : "28639682", "abstract" : "Knowledge of the muscle, ligament, and joint forces is important when planning orthopedic surgeries. Since these quantities cannot be measured in vivo under normal circumstances, the best alternative is to estimate them using musculoskeletal models. These models typically assume idealized joints, which are sufficient for general investigations but insufficient if the joint in focus is far from an idealized joint. The purpose of this study was to provide the mathematical details of a novel musculoskeletal modeling approach, called force-dependent kinematics (FDK), capable of simultaneously computing muscle, ligament, and joint forces as well as internal joint displacements governed by contact surfaces and ligament structures. The method was implemented into the anybody modeling system and used to develop a subject-specific mandible model, which was compared to a point-on-plane (POP) model and validated against joint kinematics measured with a custom-built brace during unloaded emulated chewing, open and close, and protrusion movements. Generally, both joint models estimated the joint kinematics well with the POP model performing slightly better (root-mean-square-deviation (RMSD) of less than 0.75 mm for the POP model and 1.7 mm for the FDK model). However, substantial differences were observed when comparing the estimated joint forces (RMSD up to 24.7 N), demonstrating the dependency on the joint model. Although the presented mandible model still contains room for improvements, this study shows the capabilities of the FDK methodology for creating joint models that take the geometry and joint elasticity into account.", "author" : [ { "dropping-particle" : "", "family" : "Skipper Andersen", "given" : "Michael", "non-dropping-particle" : "", "parse-names" : false, "suffix" : "" }, { "dropping-particle" : "", "family" : "Zee", "given" : "Mark", "non-dropping-particle" : "de", "parse-names" : false, "suffix" : "" }, { "dropping-particle" : "", "family" : "Damsgaard", "given" : "Michael", "non-dropping-particle" : "", "parse-names" : false, "suffix" : "" }, { "dropping-particle" : "", "family" : "Nolte", "given" : "Daniel", "non-dropping-particle" : "", "parse-names" : false, "suffix" : "" }, { "dropping-particle" : "", "family" : "Rasmussen", "given" : "John", "non-dropping-particle" : "", "parse-names" : false, "suffix" : "" } ], "container-title" : "Journal of biomechanical engineering", "id" : "ITEM-1", "issue" : "9", "issued" : { "date-parts" : [ [ "2017", "9", "1" ] ] }, "page" : "091001", "title" : "Introduction to Force-Dependent Kinematics: Theory and Application to Mandible Modeling.", "type" : "article-journal", "volume" : "139" }, "uris" : [ "http://www.mendeley.com/documents/?uuid=7720050b-2212-36de-8ae5-abf4f789c196" ] } ], "mendeley" : { "formattedCitation" : "[5]", "plainTextFormattedCitation" : "[5]", "previouslyFormattedCitation" : "[5]" }, "properties" : { "noteIndex" : 0 }, "schema" : "https://github.com/citation-style-language/schema/raw/master/csl-citation.json" }</w:instrText>
      </w:r>
      <w:r w:rsidR="00726CBD">
        <w:rPr>
          <w:lang w:val="en-GB"/>
        </w:rPr>
        <w:fldChar w:fldCharType="separate"/>
      </w:r>
      <w:r w:rsidR="00253F8B" w:rsidRPr="00253F8B">
        <w:rPr>
          <w:noProof/>
          <w:lang w:val="en-GB"/>
        </w:rPr>
        <w:t>[5]</w:t>
      </w:r>
      <w:r w:rsidR="00726CBD">
        <w:rPr>
          <w:lang w:val="en-GB"/>
        </w:rPr>
        <w:fldChar w:fldCharType="end"/>
      </w:r>
      <w:r w:rsidRPr="00CF3EFC">
        <w:rPr>
          <w:lang w:val="en-GB"/>
        </w:rPr>
        <w:t xml:space="preserve">. Some variations were introduced with respect to our previously published model: the patellar ligament (PL) was modelled as three non-linear elastic springs with large stiffness, in place of a rigid rod; the lateral </w:t>
      </w:r>
      <w:r w:rsidR="00253F8B">
        <w:rPr>
          <w:lang w:val="en-GB"/>
        </w:rPr>
        <w:t xml:space="preserve">patellofemoral </w:t>
      </w:r>
      <w:r w:rsidRPr="00CF3EFC">
        <w:rPr>
          <w:lang w:val="en-GB"/>
        </w:rPr>
        <w:t xml:space="preserve">ligament bundles were removed to save computation time, since they </w:t>
      </w:r>
      <w:r w:rsidR="00253F8B">
        <w:rPr>
          <w:lang w:val="en-GB"/>
        </w:rPr>
        <w:t xml:space="preserve">remained </w:t>
      </w:r>
      <w:r w:rsidRPr="00CF3EFC">
        <w:rPr>
          <w:lang w:val="en-GB"/>
        </w:rPr>
        <w:t xml:space="preserve">slack throughout a series of trial </w:t>
      </w:r>
      <w:r w:rsidR="00253F8B">
        <w:rPr>
          <w:lang w:val="en-GB"/>
        </w:rPr>
        <w:t>simulations</w:t>
      </w:r>
      <w:r w:rsidRPr="00CF3EFC">
        <w:rPr>
          <w:lang w:val="en-GB"/>
        </w:rPr>
        <w:t xml:space="preserve">; the path of the muscle </w:t>
      </w:r>
      <w:r w:rsidRPr="00253F8B">
        <w:rPr>
          <w:i/>
          <w:lang w:val="en-GB"/>
        </w:rPr>
        <w:t>vastus medialis</w:t>
      </w:r>
      <w:r w:rsidRPr="00CF3EFC">
        <w:rPr>
          <w:lang w:val="en-GB"/>
        </w:rPr>
        <w:t xml:space="preserve"> was further </w:t>
      </w:r>
      <w:r w:rsidR="00253F8B">
        <w:rPr>
          <w:lang w:val="en-GB"/>
        </w:rPr>
        <w:t xml:space="preserve">wrapped around an </w:t>
      </w:r>
      <w:r w:rsidRPr="00CF3EFC">
        <w:rPr>
          <w:lang w:val="en-GB"/>
        </w:rPr>
        <w:t xml:space="preserve">ellipsoidal wrapping object, to account for the obliquity of the fascicles at its patellar insertion </w:t>
      </w:r>
      <w:r w:rsidR="00726CBD">
        <w:rPr>
          <w:lang w:val="en-GB"/>
        </w:rPr>
        <w:fldChar w:fldCharType="begin" w:fldLock="1"/>
      </w:r>
      <w:r w:rsidR="000475F7">
        <w:rPr>
          <w:lang w:val="en-GB"/>
        </w:rPr>
        <w:instrText>ADDIN CSL_CITATION { "citationItems" : [ { "id" : "ITEM-1", "itemData" : { "DOI" : "10.1002/ca.22413", "ISSN" : "08973806", "author" : [ { "dropping-particle" : "", "family" : "Engelina", "given" : "S.", "non-dropping-particle" : "", "parse-names" : false, "suffix" : "" }, { "dropping-particle" : "", "family" : "Antonios", "given" : "T.", "non-dropping-particle" : "", "parse-names" : false, "suffix" : "" }, { "dropping-particle" : "", "family" : "Robertson", "given" : "C.J.", "non-dropping-particle" : "", "parse-names" : false, "suffix" : "" }, { "dropping-particle" : "", "family" : "Killingback", "given" : "A.", "non-dropping-particle" : "", "parse-names" : false, "suffix" : "" }, { "dropping-particle" : "", "family" : "Adds", "given" : "P.J.", "non-dropping-particle" : "", "parse-names" : false, "suffix" : "" } ], "container-title" : "Clinical Anatomy", "id" : "ITEM-1", "issue" : "7", "issued" : { "date-parts" : [ [ "2014", "10" ] ] }, "page" : "1076-1084", "title" : "Ultrasound investigation of vastus medialis oblique muscle architecture: An in vivo study", "type" : "article-journal", "volume" : "27" }, "uris" : [ "http://www.mendeley.com/documents/?uuid=68b11679-d176-4735-b2ee-17fc0ff13af1" ] }, { "id" : "ITEM-2", "itemData" : { "DOI" : "10.1002/ca.980060302", "ISSN" : "0897-3806", "author" : [ { "dropping-particle" : "", "family" : "Bennett", "given" : "William F.", "non-dropping-particle" : "", "parse-names" : false, "suffix" : "" }, { "dropping-particle" : "", "family" : "Doherty", "given" : "Neville", "non-dropping-particle" : "", "parse-names" : false, "suffix" : "" }, { "dropping-particle" : "", "family" : "Hallisey", "given" : "Michael J.", "non-dropping-particle" : "", "parse-names" : false, "suffix" : "" }, { "dropping-particle" : "", "family" : "Fulkerson", "given" : "John P.", "non-dropping-particle" : "", "parse-names" : false, "suffix" : "" } ], "container-title" : "Clinical Anatomy", "id" : "ITEM-2", "issue" : "3", "issued" : { "date-parts" : [ [ "1993" ] ] }, "page" : "129-134", "title" : "Insertion orientation of terminal vastus lateralis obliquus and vastus medialis obliquus muscle fibers in human knees", "type" : "article-journal", "volume" : "6" }, "uris" : [ "http://www.mendeley.com/documents/?uuid=a2eecef4-df50-4c10-9c09-6bb509412948" ] } ], "mendeley" : { "formattedCitation" : "[1, 3]", "plainTextFormattedCitation" : "[1, 3]", "previouslyFormattedCitation" : "[1, 3]" }, "properties" : { "noteIndex" : 0 }, "schema" : "https://github.com/citation-style-language/schema/raw/master/csl-citation.json" }</w:instrText>
      </w:r>
      <w:r w:rsidR="00726CBD">
        <w:rPr>
          <w:lang w:val="en-GB"/>
        </w:rPr>
        <w:fldChar w:fldCharType="separate"/>
      </w:r>
      <w:r w:rsidR="00253F8B" w:rsidRPr="00253F8B">
        <w:rPr>
          <w:noProof/>
          <w:lang w:val="en-GB"/>
        </w:rPr>
        <w:t>[1, 3]</w:t>
      </w:r>
      <w:r w:rsidR="00726CBD">
        <w:rPr>
          <w:lang w:val="en-GB"/>
        </w:rPr>
        <w:fldChar w:fldCharType="end"/>
      </w:r>
      <w:r w:rsidRPr="00CF3EFC">
        <w:rPr>
          <w:lang w:val="en-GB"/>
        </w:rPr>
        <w:t>.</w:t>
      </w:r>
      <w:r>
        <w:rPr>
          <w:lang w:val="en-GB"/>
        </w:rPr>
        <w:br w:type="page"/>
      </w:r>
    </w:p>
    <w:p w:rsidR="00CF3EFC" w:rsidRDefault="000475F7" w:rsidP="00CF3EFC">
      <w:pPr>
        <w:pStyle w:val="Heading1"/>
        <w:rPr>
          <w:lang w:val="en-GB"/>
        </w:rPr>
      </w:pPr>
      <w:r>
        <w:rPr>
          <w:lang w:val="en-GB"/>
        </w:rPr>
        <w:lastRenderedPageBreak/>
        <w:t>References</w:t>
      </w:r>
    </w:p>
    <w:p w:rsidR="00F72170" w:rsidRPr="00F72170" w:rsidRDefault="00726CBD" w:rsidP="00F72170">
      <w:pPr>
        <w:widowControl w:val="0"/>
        <w:autoSpaceDE w:val="0"/>
        <w:autoSpaceDN w:val="0"/>
        <w:adjustRightInd w:val="0"/>
        <w:ind w:left="640" w:hanging="640"/>
        <w:rPr>
          <w:rFonts w:ascii="Cambria" w:hAnsi="Cambria" w:cs="Times New Roman"/>
          <w:noProof/>
          <w:szCs w:val="24"/>
        </w:rPr>
      </w:pPr>
      <w:r>
        <w:rPr>
          <w:lang w:val="en-GB"/>
        </w:rPr>
        <w:fldChar w:fldCharType="begin" w:fldLock="1"/>
      </w:r>
      <w:r w:rsidR="00CF3EFC">
        <w:rPr>
          <w:lang w:val="en-GB"/>
        </w:rPr>
        <w:instrText xml:space="preserve">ADDIN Mendeley Bibliography CSL_BIBLIOGRAPHY </w:instrText>
      </w:r>
      <w:r>
        <w:rPr>
          <w:lang w:val="en-GB"/>
        </w:rPr>
        <w:fldChar w:fldCharType="separate"/>
      </w:r>
      <w:r w:rsidR="00F72170" w:rsidRPr="00F72170">
        <w:rPr>
          <w:rFonts w:ascii="Cambria" w:hAnsi="Cambria" w:cs="Times New Roman"/>
          <w:noProof/>
          <w:szCs w:val="24"/>
        </w:rPr>
        <w:t xml:space="preserve">1. </w:t>
      </w:r>
      <w:r w:rsidR="00F72170" w:rsidRPr="00F72170">
        <w:rPr>
          <w:rFonts w:ascii="Cambria" w:hAnsi="Cambria" w:cs="Times New Roman"/>
          <w:noProof/>
          <w:szCs w:val="24"/>
        </w:rPr>
        <w:tab/>
        <w:t>Bennett WF, Doherty N, Hallisey MJ, Fulkerson JP (1993) Insertion orientation of terminal vastus lateralis obliquus and vastus medialis obliquus muscle fibers in human knees. Clin Anat 6:129–134</w:t>
      </w:r>
    </w:p>
    <w:p w:rsidR="00F72170" w:rsidRPr="00F72170" w:rsidRDefault="00F72170" w:rsidP="00F72170">
      <w:pPr>
        <w:widowControl w:val="0"/>
        <w:autoSpaceDE w:val="0"/>
        <w:autoSpaceDN w:val="0"/>
        <w:adjustRightInd w:val="0"/>
        <w:ind w:left="640" w:hanging="640"/>
        <w:rPr>
          <w:rFonts w:ascii="Cambria" w:hAnsi="Cambria" w:cs="Times New Roman"/>
          <w:noProof/>
          <w:szCs w:val="24"/>
        </w:rPr>
      </w:pPr>
      <w:r w:rsidRPr="00F72170">
        <w:rPr>
          <w:rFonts w:ascii="Cambria" w:hAnsi="Cambria" w:cs="Times New Roman"/>
          <w:noProof/>
          <w:szCs w:val="24"/>
        </w:rPr>
        <w:t xml:space="preserve">2. </w:t>
      </w:r>
      <w:r w:rsidRPr="00F72170">
        <w:rPr>
          <w:rFonts w:ascii="Cambria" w:hAnsi="Cambria" w:cs="Times New Roman"/>
          <w:noProof/>
          <w:szCs w:val="24"/>
        </w:rPr>
        <w:tab/>
        <w:t>Carbone V, Fluit R, Pellikaan P, van der Krogt MM, Janssen D, Damsgaard M, Vigneron L, Feilkas T, Koopman HFJM, Verdonschot N (2015) TLEM 2.0 – A comprehensive musculoskeletal geometry dataset for subject-specific modeling of lower extremity. J Biomech Elsevier 48:734–741</w:t>
      </w:r>
    </w:p>
    <w:p w:rsidR="00F72170" w:rsidRPr="00F72170" w:rsidRDefault="00F72170" w:rsidP="00F72170">
      <w:pPr>
        <w:widowControl w:val="0"/>
        <w:autoSpaceDE w:val="0"/>
        <w:autoSpaceDN w:val="0"/>
        <w:adjustRightInd w:val="0"/>
        <w:ind w:left="640" w:hanging="640"/>
        <w:rPr>
          <w:rFonts w:ascii="Cambria" w:hAnsi="Cambria" w:cs="Times New Roman"/>
          <w:noProof/>
          <w:szCs w:val="24"/>
        </w:rPr>
      </w:pPr>
      <w:r w:rsidRPr="00F72170">
        <w:rPr>
          <w:rFonts w:ascii="Cambria" w:hAnsi="Cambria" w:cs="Times New Roman"/>
          <w:noProof/>
          <w:szCs w:val="24"/>
        </w:rPr>
        <w:t xml:space="preserve">3. </w:t>
      </w:r>
      <w:r w:rsidRPr="00F72170">
        <w:rPr>
          <w:rFonts w:ascii="Cambria" w:hAnsi="Cambria" w:cs="Times New Roman"/>
          <w:noProof/>
          <w:szCs w:val="24"/>
        </w:rPr>
        <w:tab/>
        <w:t>Engelina S, Antonios T, Robertson CJ, Killingback A, Adds PJ (2014) Ultrasound investigation of vastus medialis oblique muscle architecture: An in vivo study. Clin Anat 27:1076–1084</w:t>
      </w:r>
    </w:p>
    <w:p w:rsidR="00F72170" w:rsidRPr="00F72170" w:rsidRDefault="00F72170" w:rsidP="00F72170">
      <w:pPr>
        <w:widowControl w:val="0"/>
        <w:autoSpaceDE w:val="0"/>
        <w:autoSpaceDN w:val="0"/>
        <w:adjustRightInd w:val="0"/>
        <w:ind w:left="640" w:hanging="640"/>
        <w:rPr>
          <w:rFonts w:ascii="Cambria" w:hAnsi="Cambria" w:cs="Times New Roman"/>
          <w:noProof/>
          <w:szCs w:val="24"/>
        </w:rPr>
      </w:pPr>
      <w:r w:rsidRPr="00F72170">
        <w:rPr>
          <w:rFonts w:ascii="Cambria" w:hAnsi="Cambria" w:cs="Times New Roman"/>
          <w:noProof/>
          <w:szCs w:val="24"/>
        </w:rPr>
        <w:t xml:space="preserve">4. </w:t>
      </w:r>
      <w:r w:rsidRPr="00F72170">
        <w:rPr>
          <w:rFonts w:ascii="Cambria" w:hAnsi="Cambria" w:cs="Times New Roman"/>
          <w:noProof/>
          <w:szCs w:val="24"/>
        </w:rPr>
        <w:tab/>
        <w:t>Marra MA, Vanheule V, Fluit R, Koopman BHFJM, Rasmussen J, Verdonschot N, Andersen MS (2015) A subject-specific musculoskeletal modeling framework to predict in vivo mechanics of total knee arthroplasty. J Biomech Eng 137:20904</w:t>
      </w:r>
    </w:p>
    <w:p w:rsidR="006343EE" w:rsidRPr="006343EE" w:rsidRDefault="00F72170" w:rsidP="00F72170">
      <w:pPr>
        <w:widowControl w:val="0"/>
        <w:autoSpaceDE w:val="0"/>
        <w:autoSpaceDN w:val="0"/>
        <w:adjustRightInd w:val="0"/>
        <w:ind w:left="640" w:hanging="640"/>
        <w:rPr>
          <w:lang w:val="en-GB"/>
        </w:rPr>
      </w:pPr>
      <w:r w:rsidRPr="00F72170">
        <w:rPr>
          <w:rFonts w:ascii="Cambria" w:hAnsi="Cambria" w:cs="Times New Roman"/>
          <w:noProof/>
          <w:szCs w:val="24"/>
        </w:rPr>
        <w:t xml:space="preserve">5. </w:t>
      </w:r>
      <w:r w:rsidRPr="00F72170">
        <w:rPr>
          <w:rFonts w:ascii="Cambria" w:hAnsi="Cambria" w:cs="Times New Roman"/>
          <w:noProof/>
          <w:szCs w:val="24"/>
        </w:rPr>
        <w:tab/>
        <w:t>Skipper Andersen M, de Zee M, Damsgaard M, Nolte D, Rasmussen J (2017) Introduction to Force-Dependent Kinematics: Theory and Application to Mandible Modeling. J Biomech Eng 139:91001</w:t>
      </w:r>
      <w:r w:rsidR="00726CBD">
        <w:rPr>
          <w:lang w:val="en-GB"/>
        </w:rPr>
        <w:fldChar w:fldCharType="end"/>
      </w:r>
    </w:p>
    <w:sectPr w:rsidR="006343EE" w:rsidRPr="006343EE" w:rsidSect="00CB713A">
      <w:headerReference w:type="default" r:id="rId7"/>
      <w:pgSz w:w="12240" w:h="15840"/>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3EFC" w:rsidRDefault="00CF3EFC" w:rsidP="009C201F">
      <w:pPr>
        <w:spacing w:after="0" w:line="240" w:lineRule="auto"/>
      </w:pPr>
      <w:r>
        <w:separator/>
      </w:r>
    </w:p>
  </w:endnote>
  <w:endnote w:type="continuationSeparator" w:id="0">
    <w:p w:rsidR="00CF3EFC" w:rsidRDefault="00CF3EFC" w:rsidP="009C20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3EFC" w:rsidRDefault="00CF3EFC" w:rsidP="009C201F">
      <w:pPr>
        <w:spacing w:after="0" w:line="240" w:lineRule="auto"/>
      </w:pPr>
      <w:r>
        <w:separator/>
      </w:r>
    </w:p>
  </w:footnote>
  <w:footnote w:type="continuationSeparator" w:id="0">
    <w:p w:rsidR="00CF3EFC" w:rsidRDefault="00CF3EFC" w:rsidP="009C20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EFC" w:rsidRDefault="00CF3EFC">
    <w:pPr>
      <w:pStyle w:val="Header"/>
    </w:pPr>
    <w:r w:rsidRPr="009C201F">
      <w:t>Knee Surgery, Sports Traumatology, Arthroscopy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
  <w:rsids>
    <w:rsidRoot w:val="00C76F6D"/>
    <w:rsid w:val="00001857"/>
    <w:rsid w:val="00002912"/>
    <w:rsid w:val="00010816"/>
    <w:rsid w:val="00013879"/>
    <w:rsid w:val="00021C8B"/>
    <w:rsid w:val="00024DD6"/>
    <w:rsid w:val="00025D8B"/>
    <w:rsid w:val="0004281C"/>
    <w:rsid w:val="000475F7"/>
    <w:rsid w:val="000526DE"/>
    <w:rsid w:val="00054938"/>
    <w:rsid w:val="00061464"/>
    <w:rsid w:val="000641C0"/>
    <w:rsid w:val="0006504E"/>
    <w:rsid w:val="00074926"/>
    <w:rsid w:val="00082FA5"/>
    <w:rsid w:val="000832F6"/>
    <w:rsid w:val="000A109B"/>
    <w:rsid w:val="00105D24"/>
    <w:rsid w:val="0010792D"/>
    <w:rsid w:val="001130FC"/>
    <w:rsid w:val="001266DA"/>
    <w:rsid w:val="00126F51"/>
    <w:rsid w:val="001314D8"/>
    <w:rsid w:val="001474E5"/>
    <w:rsid w:val="00153DB4"/>
    <w:rsid w:val="0017004D"/>
    <w:rsid w:val="00187D71"/>
    <w:rsid w:val="001A1E67"/>
    <w:rsid w:val="001A3019"/>
    <w:rsid w:val="001B45AD"/>
    <w:rsid w:val="001C1183"/>
    <w:rsid w:val="001D5182"/>
    <w:rsid w:val="001D5538"/>
    <w:rsid w:val="0020321F"/>
    <w:rsid w:val="00207221"/>
    <w:rsid w:val="002110CB"/>
    <w:rsid w:val="00213C0C"/>
    <w:rsid w:val="00242B79"/>
    <w:rsid w:val="00243A28"/>
    <w:rsid w:val="00253F8B"/>
    <w:rsid w:val="0026071B"/>
    <w:rsid w:val="00280A66"/>
    <w:rsid w:val="00283D07"/>
    <w:rsid w:val="00286EA9"/>
    <w:rsid w:val="002A2DC7"/>
    <w:rsid w:val="002B0F3B"/>
    <w:rsid w:val="002B4211"/>
    <w:rsid w:val="002B791F"/>
    <w:rsid w:val="002E55E0"/>
    <w:rsid w:val="00305CDC"/>
    <w:rsid w:val="00322AD0"/>
    <w:rsid w:val="003253B6"/>
    <w:rsid w:val="00327C5B"/>
    <w:rsid w:val="00340238"/>
    <w:rsid w:val="00352679"/>
    <w:rsid w:val="00392A14"/>
    <w:rsid w:val="0039608A"/>
    <w:rsid w:val="003A2C46"/>
    <w:rsid w:val="003B685C"/>
    <w:rsid w:val="003B6D96"/>
    <w:rsid w:val="003D33DE"/>
    <w:rsid w:val="003D677C"/>
    <w:rsid w:val="003E6D48"/>
    <w:rsid w:val="003F0316"/>
    <w:rsid w:val="003F1997"/>
    <w:rsid w:val="00401B9A"/>
    <w:rsid w:val="00404DB7"/>
    <w:rsid w:val="004075F2"/>
    <w:rsid w:val="004175A5"/>
    <w:rsid w:val="00424001"/>
    <w:rsid w:val="00433593"/>
    <w:rsid w:val="00444A3D"/>
    <w:rsid w:val="004513CB"/>
    <w:rsid w:val="0046160F"/>
    <w:rsid w:val="00461B2A"/>
    <w:rsid w:val="00471857"/>
    <w:rsid w:val="00472E21"/>
    <w:rsid w:val="004751F5"/>
    <w:rsid w:val="00475FB7"/>
    <w:rsid w:val="00480908"/>
    <w:rsid w:val="00486FBE"/>
    <w:rsid w:val="004D10FC"/>
    <w:rsid w:val="004E0917"/>
    <w:rsid w:val="00500FE4"/>
    <w:rsid w:val="00503D3B"/>
    <w:rsid w:val="00514781"/>
    <w:rsid w:val="00526FD4"/>
    <w:rsid w:val="005321A3"/>
    <w:rsid w:val="00540D08"/>
    <w:rsid w:val="00546DDB"/>
    <w:rsid w:val="00551872"/>
    <w:rsid w:val="00552F2D"/>
    <w:rsid w:val="005535DA"/>
    <w:rsid w:val="00557EEB"/>
    <w:rsid w:val="00567147"/>
    <w:rsid w:val="00580E80"/>
    <w:rsid w:val="005A267E"/>
    <w:rsid w:val="005C2DA2"/>
    <w:rsid w:val="005C7136"/>
    <w:rsid w:val="005E46E7"/>
    <w:rsid w:val="005F2726"/>
    <w:rsid w:val="0060212B"/>
    <w:rsid w:val="00607FB9"/>
    <w:rsid w:val="006176CF"/>
    <w:rsid w:val="006343EE"/>
    <w:rsid w:val="0066469A"/>
    <w:rsid w:val="0066625C"/>
    <w:rsid w:val="00680E99"/>
    <w:rsid w:val="00681B7D"/>
    <w:rsid w:val="00690455"/>
    <w:rsid w:val="006A6FB1"/>
    <w:rsid w:val="006C717C"/>
    <w:rsid w:val="006F3741"/>
    <w:rsid w:val="00704FC1"/>
    <w:rsid w:val="00726CBD"/>
    <w:rsid w:val="007306DA"/>
    <w:rsid w:val="00750920"/>
    <w:rsid w:val="007530BE"/>
    <w:rsid w:val="00765518"/>
    <w:rsid w:val="00790C7C"/>
    <w:rsid w:val="007A22DD"/>
    <w:rsid w:val="007A7852"/>
    <w:rsid w:val="007B3B3E"/>
    <w:rsid w:val="007C1525"/>
    <w:rsid w:val="007D44DA"/>
    <w:rsid w:val="007E4507"/>
    <w:rsid w:val="008157BC"/>
    <w:rsid w:val="008165C7"/>
    <w:rsid w:val="008A520E"/>
    <w:rsid w:val="008B4D19"/>
    <w:rsid w:val="008B64B4"/>
    <w:rsid w:val="008B71E8"/>
    <w:rsid w:val="008B735B"/>
    <w:rsid w:val="008D234B"/>
    <w:rsid w:val="00904A3A"/>
    <w:rsid w:val="00910682"/>
    <w:rsid w:val="00910AB5"/>
    <w:rsid w:val="00911B20"/>
    <w:rsid w:val="0091526F"/>
    <w:rsid w:val="009228C5"/>
    <w:rsid w:val="00931C7F"/>
    <w:rsid w:val="0098125A"/>
    <w:rsid w:val="009931FF"/>
    <w:rsid w:val="009B7442"/>
    <w:rsid w:val="009C201F"/>
    <w:rsid w:val="009D0DAD"/>
    <w:rsid w:val="009E3AD4"/>
    <w:rsid w:val="00A072BA"/>
    <w:rsid w:val="00A079DD"/>
    <w:rsid w:val="00A11D1C"/>
    <w:rsid w:val="00A1321D"/>
    <w:rsid w:val="00A17CC7"/>
    <w:rsid w:val="00A2295B"/>
    <w:rsid w:val="00A2642A"/>
    <w:rsid w:val="00A31E17"/>
    <w:rsid w:val="00A32220"/>
    <w:rsid w:val="00A41632"/>
    <w:rsid w:val="00A41AB7"/>
    <w:rsid w:val="00A51C93"/>
    <w:rsid w:val="00A537E6"/>
    <w:rsid w:val="00A624E7"/>
    <w:rsid w:val="00A7437F"/>
    <w:rsid w:val="00A90EC2"/>
    <w:rsid w:val="00A95367"/>
    <w:rsid w:val="00AB6F91"/>
    <w:rsid w:val="00AD2471"/>
    <w:rsid w:val="00AD4C7B"/>
    <w:rsid w:val="00AE7947"/>
    <w:rsid w:val="00B16DEE"/>
    <w:rsid w:val="00B2030C"/>
    <w:rsid w:val="00B25420"/>
    <w:rsid w:val="00B31536"/>
    <w:rsid w:val="00B344D3"/>
    <w:rsid w:val="00B43478"/>
    <w:rsid w:val="00B457EA"/>
    <w:rsid w:val="00B45BE3"/>
    <w:rsid w:val="00B51E90"/>
    <w:rsid w:val="00B63DB0"/>
    <w:rsid w:val="00B67F96"/>
    <w:rsid w:val="00B736C1"/>
    <w:rsid w:val="00B77E95"/>
    <w:rsid w:val="00B85835"/>
    <w:rsid w:val="00BC729E"/>
    <w:rsid w:val="00BD17EB"/>
    <w:rsid w:val="00BE640D"/>
    <w:rsid w:val="00BF2549"/>
    <w:rsid w:val="00BF5067"/>
    <w:rsid w:val="00BF5B90"/>
    <w:rsid w:val="00C24612"/>
    <w:rsid w:val="00C41AE8"/>
    <w:rsid w:val="00C44911"/>
    <w:rsid w:val="00C45062"/>
    <w:rsid w:val="00C518F4"/>
    <w:rsid w:val="00C542B4"/>
    <w:rsid w:val="00C5702B"/>
    <w:rsid w:val="00C64A01"/>
    <w:rsid w:val="00C743DA"/>
    <w:rsid w:val="00C76F6D"/>
    <w:rsid w:val="00CA4004"/>
    <w:rsid w:val="00CB117B"/>
    <w:rsid w:val="00CB68BF"/>
    <w:rsid w:val="00CB713A"/>
    <w:rsid w:val="00CF3EFC"/>
    <w:rsid w:val="00D03AC5"/>
    <w:rsid w:val="00D06531"/>
    <w:rsid w:val="00D23D2B"/>
    <w:rsid w:val="00D615A7"/>
    <w:rsid w:val="00D70934"/>
    <w:rsid w:val="00D736BA"/>
    <w:rsid w:val="00D82B84"/>
    <w:rsid w:val="00D86C04"/>
    <w:rsid w:val="00D97611"/>
    <w:rsid w:val="00DA011D"/>
    <w:rsid w:val="00DA0F49"/>
    <w:rsid w:val="00DA1B61"/>
    <w:rsid w:val="00DA69BC"/>
    <w:rsid w:val="00DA6C8B"/>
    <w:rsid w:val="00DA6D6A"/>
    <w:rsid w:val="00DB32F6"/>
    <w:rsid w:val="00DC1E85"/>
    <w:rsid w:val="00DD2319"/>
    <w:rsid w:val="00DF3BFB"/>
    <w:rsid w:val="00E019E6"/>
    <w:rsid w:val="00E03D72"/>
    <w:rsid w:val="00E216A5"/>
    <w:rsid w:val="00E52141"/>
    <w:rsid w:val="00E74AD9"/>
    <w:rsid w:val="00E92D6C"/>
    <w:rsid w:val="00E9505A"/>
    <w:rsid w:val="00EC7BF8"/>
    <w:rsid w:val="00ED2BC8"/>
    <w:rsid w:val="00ED3A13"/>
    <w:rsid w:val="00EF5E97"/>
    <w:rsid w:val="00F2350C"/>
    <w:rsid w:val="00F352D5"/>
    <w:rsid w:val="00F509B0"/>
    <w:rsid w:val="00F5134E"/>
    <w:rsid w:val="00F62D66"/>
    <w:rsid w:val="00F64D67"/>
    <w:rsid w:val="00F72170"/>
    <w:rsid w:val="00F90B6D"/>
    <w:rsid w:val="00F92A26"/>
    <w:rsid w:val="00FA7503"/>
    <w:rsid w:val="00FB3D5D"/>
    <w:rsid w:val="00FF068B"/>
    <w:rsid w:val="00FF3D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40" w:line="480" w:lineRule="auto"/>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F6D"/>
  </w:style>
  <w:style w:type="paragraph" w:styleId="Heading1">
    <w:name w:val="heading 1"/>
    <w:basedOn w:val="Normal"/>
    <w:next w:val="Normal"/>
    <w:link w:val="Heading1Char"/>
    <w:uiPriority w:val="9"/>
    <w:qFormat/>
    <w:rsid w:val="00C76F6D"/>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Heading2">
    <w:name w:val="heading 2"/>
    <w:basedOn w:val="Normal"/>
    <w:next w:val="Normal"/>
    <w:link w:val="Heading2Char"/>
    <w:uiPriority w:val="9"/>
    <w:unhideWhenUsed/>
    <w:qFormat/>
    <w:rsid w:val="00C76F6D"/>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C76F6D"/>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C76F6D"/>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Heading5">
    <w:name w:val="heading 5"/>
    <w:basedOn w:val="Normal"/>
    <w:next w:val="Normal"/>
    <w:link w:val="Heading5Char"/>
    <w:uiPriority w:val="9"/>
    <w:unhideWhenUsed/>
    <w:qFormat/>
    <w:rsid w:val="00C76F6D"/>
    <w:pPr>
      <w:spacing w:before="280" w:after="0" w:line="360" w:lineRule="auto"/>
      <w:ind w:firstLine="0"/>
      <w:outlineLvl w:val="4"/>
    </w:pPr>
    <w:rPr>
      <w:rFonts w:asciiTheme="majorHAnsi" w:eastAsiaTheme="majorEastAsia" w:hAnsiTheme="majorHAnsi" w:cstheme="majorBidi"/>
      <w:b/>
      <w:bCs/>
      <w:i/>
      <w:iCs/>
    </w:rPr>
  </w:style>
  <w:style w:type="paragraph" w:styleId="Heading6">
    <w:name w:val="heading 6"/>
    <w:basedOn w:val="Normal"/>
    <w:next w:val="Normal"/>
    <w:link w:val="Heading6Char"/>
    <w:uiPriority w:val="9"/>
    <w:unhideWhenUsed/>
    <w:qFormat/>
    <w:rsid w:val="00C76F6D"/>
    <w:pPr>
      <w:spacing w:before="280" w:after="80" w:line="360" w:lineRule="auto"/>
      <w:ind w:firstLine="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unhideWhenUsed/>
    <w:qFormat/>
    <w:rsid w:val="00C76F6D"/>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Heading8">
    <w:name w:val="heading 8"/>
    <w:basedOn w:val="Normal"/>
    <w:next w:val="Normal"/>
    <w:link w:val="Heading8Char"/>
    <w:uiPriority w:val="9"/>
    <w:unhideWhenUsed/>
    <w:qFormat/>
    <w:rsid w:val="00C76F6D"/>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unhideWhenUsed/>
    <w:qFormat/>
    <w:rsid w:val="00C76F6D"/>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6F6D"/>
    <w:rPr>
      <w:rFonts w:asciiTheme="majorHAnsi" w:eastAsiaTheme="majorEastAsia" w:hAnsiTheme="majorHAnsi" w:cstheme="majorBidi"/>
      <w:b/>
      <w:bCs/>
      <w:i/>
      <w:iCs/>
      <w:sz w:val="32"/>
      <w:szCs w:val="32"/>
    </w:rPr>
  </w:style>
  <w:style w:type="character" w:customStyle="1" w:styleId="Heading2Char">
    <w:name w:val="Heading 2 Char"/>
    <w:basedOn w:val="DefaultParagraphFont"/>
    <w:link w:val="Heading2"/>
    <w:uiPriority w:val="9"/>
    <w:rsid w:val="00C76F6D"/>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C76F6D"/>
    <w:rPr>
      <w:rFonts w:asciiTheme="majorHAnsi" w:eastAsiaTheme="majorEastAsia" w:hAnsiTheme="majorHAnsi" w:cstheme="majorBidi"/>
      <w:b/>
      <w:bCs/>
      <w:i/>
      <w:iCs/>
      <w:sz w:val="26"/>
      <w:szCs w:val="26"/>
    </w:rPr>
  </w:style>
  <w:style w:type="character" w:customStyle="1" w:styleId="Heading4Char">
    <w:name w:val="Heading 4 Char"/>
    <w:basedOn w:val="DefaultParagraphFont"/>
    <w:link w:val="Heading4"/>
    <w:uiPriority w:val="9"/>
    <w:rsid w:val="00C76F6D"/>
    <w:rPr>
      <w:rFonts w:asciiTheme="majorHAnsi" w:eastAsiaTheme="majorEastAsia" w:hAnsiTheme="majorHAnsi" w:cstheme="majorBidi"/>
      <w:b/>
      <w:bCs/>
      <w:i/>
      <w:iCs/>
      <w:sz w:val="24"/>
      <w:szCs w:val="24"/>
    </w:rPr>
  </w:style>
  <w:style w:type="character" w:customStyle="1" w:styleId="Heading5Char">
    <w:name w:val="Heading 5 Char"/>
    <w:basedOn w:val="DefaultParagraphFont"/>
    <w:link w:val="Heading5"/>
    <w:uiPriority w:val="9"/>
    <w:rsid w:val="00C76F6D"/>
    <w:rPr>
      <w:rFonts w:asciiTheme="majorHAnsi" w:eastAsiaTheme="majorEastAsia" w:hAnsiTheme="majorHAnsi" w:cstheme="majorBidi"/>
      <w:b/>
      <w:bCs/>
      <w:i/>
      <w:iCs/>
    </w:rPr>
  </w:style>
  <w:style w:type="character" w:customStyle="1" w:styleId="Heading6Char">
    <w:name w:val="Heading 6 Char"/>
    <w:basedOn w:val="DefaultParagraphFont"/>
    <w:link w:val="Heading6"/>
    <w:uiPriority w:val="9"/>
    <w:rsid w:val="00C76F6D"/>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rsid w:val="00C76F6D"/>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rsid w:val="00C76F6D"/>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rsid w:val="00C76F6D"/>
    <w:rPr>
      <w:rFonts w:asciiTheme="majorHAnsi" w:eastAsiaTheme="majorEastAsia" w:hAnsiTheme="majorHAnsi" w:cstheme="majorBidi"/>
      <w:i/>
      <w:iCs/>
      <w:sz w:val="18"/>
      <w:szCs w:val="18"/>
    </w:rPr>
  </w:style>
  <w:style w:type="paragraph" w:styleId="Caption">
    <w:name w:val="caption"/>
    <w:basedOn w:val="Normal"/>
    <w:next w:val="Normal"/>
    <w:uiPriority w:val="35"/>
    <w:semiHidden/>
    <w:unhideWhenUsed/>
    <w:qFormat/>
    <w:rsid w:val="00C76F6D"/>
    <w:rPr>
      <w:b/>
      <w:bCs/>
      <w:sz w:val="18"/>
      <w:szCs w:val="18"/>
    </w:rPr>
  </w:style>
  <w:style w:type="paragraph" w:styleId="Title">
    <w:name w:val="Title"/>
    <w:basedOn w:val="Normal"/>
    <w:next w:val="Normal"/>
    <w:link w:val="TitleChar"/>
    <w:uiPriority w:val="10"/>
    <w:qFormat/>
    <w:rsid w:val="00C76F6D"/>
    <w:pPr>
      <w:spacing w:line="240" w:lineRule="auto"/>
      <w:ind w:firstLine="0"/>
    </w:pPr>
    <w:rPr>
      <w:rFonts w:asciiTheme="majorHAnsi" w:eastAsiaTheme="majorEastAsia" w:hAnsiTheme="majorHAnsi" w:cstheme="majorBidi"/>
      <w:b/>
      <w:bCs/>
      <w:i/>
      <w:iCs/>
      <w:spacing w:val="10"/>
      <w:sz w:val="60"/>
      <w:szCs w:val="60"/>
    </w:rPr>
  </w:style>
  <w:style w:type="character" w:customStyle="1" w:styleId="TitleChar">
    <w:name w:val="Title Char"/>
    <w:basedOn w:val="DefaultParagraphFont"/>
    <w:link w:val="Title"/>
    <w:uiPriority w:val="10"/>
    <w:rsid w:val="00C76F6D"/>
    <w:rPr>
      <w:rFonts w:asciiTheme="majorHAnsi" w:eastAsiaTheme="majorEastAsia" w:hAnsiTheme="majorHAnsi" w:cstheme="majorBidi"/>
      <w:b/>
      <w:bCs/>
      <w:i/>
      <w:iCs/>
      <w:spacing w:val="10"/>
      <w:sz w:val="60"/>
      <w:szCs w:val="60"/>
    </w:rPr>
  </w:style>
  <w:style w:type="paragraph" w:styleId="Subtitle">
    <w:name w:val="Subtitle"/>
    <w:basedOn w:val="Normal"/>
    <w:next w:val="Normal"/>
    <w:link w:val="SubtitleChar"/>
    <w:uiPriority w:val="11"/>
    <w:qFormat/>
    <w:rsid w:val="00C76F6D"/>
    <w:pPr>
      <w:spacing w:after="320"/>
      <w:jc w:val="right"/>
    </w:pPr>
    <w:rPr>
      <w:i/>
      <w:iCs/>
      <w:color w:val="808080" w:themeColor="text1" w:themeTint="7F"/>
      <w:spacing w:val="10"/>
      <w:sz w:val="24"/>
      <w:szCs w:val="24"/>
    </w:rPr>
  </w:style>
  <w:style w:type="character" w:customStyle="1" w:styleId="SubtitleChar">
    <w:name w:val="Subtitle Char"/>
    <w:basedOn w:val="DefaultParagraphFont"/>
    <w:link w:val="Subtitle"/>
    <w:uiPriority w:val="11"/>
    <w:rsid w:val="00C76F6D"/>
    <w:rPr>
      <w:i/>
      <w:iCs/>
      <w:color w:val="808080" w:themeColor="text1" w:themeTint="7F"/>
      <w:spacing w:val="10"/>
      <w:sz w:val="24"/>
      <w:szCs w:val="24"/>
    </w:rPr>
  </w:style>
  <w:style w:type="character" w:styleId="Strong">
    <w:name w:val="Strong"/>
    <w:basedOn w:val="DefaultParagraphFont"/>
    <w:uiPriority w:val="22"/>
    <w:qFormat/>
    <w:rsid w:val="00C76F6D"/>
    <w:rPr>
      <w:b/>
      <w:bCs/>
      <w:spacing w:val="0"/>
    </w:rPr>
  </w:style>
  <w:style w:type="character" w:styleId="Emphasis">
    <w:name w:val="Emphasis"/>
    <w:uiPriority w:val="20"/>
    <w:qFormat/>
    <w:rsid w:val="00C76F6D"/>
    <w:rPr>
      <w:b/>
      <w:bCs/>
      <w:i/>
      <w:iCs/>
      <w:color w:val="auto"/>
    </w:rPr>
  </w:style>
  <w:style w:type="paragraph" w:styleId="NoSpacing">
    <w:name w:val="No Spacing"/>
    <w:basedOn w:val="Normal"/>
    <w:uiPriority w:val="1"/>
    <w:qFormat/>
    <w:rsid w:val="00C76F6D"/>
    <w:pPr>
      <w:spacing w:after="0" w:line="240" w:lineRule="auto"/>
      <w:ind w:firstLine="0"/>
    </w:pPr>
  </w:style>
  <w:style w:type="paragraph" w:styleId="ListParagraph">
    <w:name w:val="List Paragraph"/>
    <w:basedOn w:val="Normal"/>
    <w:uiPriority w:val="34"/>
    <w:qFormat/>
    <w:rsid w:val="00C76F6D"/>
    <w:pPr>
      <w:ind w:left="720"/>
      <w:contextualSpacing/>
    </w:pPr>
  </w:style>
  <w:style w:type="paragraph" w:styleId="Quote">
    <w:name w:val="Quote"/>
    <w:basedOn w:val="Normal"/>
    <w:next w:val="Normal"/>
    <w:link w:val="QuoteChar"/>
    <w:uiPriority w:val="29"/>
    <w:qFormat/>
    <w:rsid w:val="00C76F6D"/>
    <w:rPr>
      <w:color w:val="5A5A5A" w:themeColor="text1" w:themeTint="A5"/>
    </w:rPr>
  </w:style>
  <w:style w:type="character" w:customStyle="1" w:styleId="QuoteChar">
    <w:name w:val="Quote Char"/>
    <w:basedOn w:val="DefaultParagraphFont"/>
    <w:link w:val="Quote"/>
    <w:uiPriority w:val="29"/>
    <w:rsid w:val="00C76F6D"/>
    <w:rPr>
      <w:rFonts w:asciiTheme="minorHAnsi"/>
      <w:color w:val="5A5A5A" w:themeColor="text1" w:themeTint="A5"/>
    </w:rPr>
  </w:style>
  <w:style w:type="paragraph" w:styleId="IntenseQuote">
    <w:name w:val="Intense Quote"/>
    <w:basedOn w:val="Normal"/>
    <w:next w:val="Normal"/>
    <w:link w:val="IntenseQuoteChar"/>
    <w:uiPriority w:val="30"/>
    <w:qFormat/>
    <w:rsid w:val="00C76F6D"/>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IntenseQuoteChar">
    <w:name w:val="Intense Quote Char"/>
    <w:basedOn w:val="DefaultParagraphFont"/>
    <w:link w:val="IntenseQuote"/>
    <w:uiPriority w:val="30"/>
    <w:rsid w:val="00C76F6D"/>
    <w:rPr>
      <w:rFonts w:asciiTheme="majorHAnsi" w:eastAsiaTheme="majorEastAsia" w:hAnsiTheme="majorHAnsi" w:cstheme="majorBidi"/>
      <w:i/>
      <w:iCs/>
      <w:sz w:val="20"/>
      <w:szCs w:val="20"/>
    </w:rPr>
  </w:style>
  <w:style w:type="character" w:styleId="SubtleEmphasis">
    <w:name w:val="Subtle Emphasis"/>
    <w:uiPriority w:val="19"/>
    <w:qFormat/>
    <w:rsid w:val="00C76F6D"/>
    <w:rPr>
      <w:i/>
      <w:iCs/>
      <w:color w:val="5A5A5A" w:themeColor="text1" w:themeTint="A5"/>
    </w:rPr>
  </w:style>
  <w:style w:type="character" w:styleId="IntenseEmphasis">
    <w:name w:val="Intense Emphasis"/>
    <w:uiPriority w:val="21"/>
    <w:qFormat/>
    <w:rsid w:val="00C76F6D"/>
    <w:rPr>
      <w:b/>
      <w:bCs/>
      <w:i/>
      <w:iCs/>
      <w:color w:val="auto"/>
      <w:u w:val="single"/>
    </w:rPr>
  </w:style>
  <w:style w:type="character" w:styleId="SubtleReference">
    <w:name w:val="Subtle Reference"/>
    <w:uiPriority w:val="31"/>
    <w:qFormat/>
    <w:rsid w:val="00C76F6D"/>
    <w:rPr>
      <w:smallCaps/>
    </w:rPr>
  </w:style>
  <w:style w:type="character" w:styleId="IntenseReference">
    <w:name w:val="Intense Reference"/>
    <w:uiPriority w:val="32"/>
    <w:qFormat/>
    <w:rsid w:val="00C76F6D"/>
    <w:rPr>
      <w:b/>
      <w:bCs/>
      <w:smallCaps/>
      <w:color w:val="auto"/>
    </w:rPr>
  </w:style>
  <w:style w:type="character" w:styleId="BookTitle">
    <w:name w:val="Book Title"/>
    <w:uiPriority w:val="33"/>
    <w:qFormat/>
    <w:rsid w:val="00C76F6D"/>
    <w:rPr>
      <w:rFonts w:asciiTheme="majorHAnsi" w:eastAsiaTheme="majorEastAsia" w:hAnsiTheme="majorHAnsi" w:cstheme="majorBidi"/>
      <w:b/>
      <w:bCs/>
      <w:smallCaps/>
      <w:color w:val="auto"/>
      <w:u w:val="single"/>
    </w:rPr>
  </w:style>
  <w:style w:type="paragraph" w:styleId="TOCHeading">
    <w:name w:val="TOC Heading"/>
    <w:basedOn w:val="Heading1"/>
    <w:next w:val="Normal"/>
    <w:uiPriority w:val="39"/>
    <w:semiHidden/>
    <w:unhideWhenUsed/>
    <w:qFormat/>
    <w:rsid w:val="00C76F6D"/>
    <w:pPr>
      <w:outlineLvl w:val="9"/>
    </w:pPr>
  </w:style>
  <w:style w:type="paragraph" w:styleId="FootnoteText">
    <w:name w:val="footnote text"/>
    <w:basedOn w:val="Normal"/>
    <w:link w:val="FootnoteTextChar"/>
    <w:uiPriority w:val="99"/>
    <w:semiHidden/>
    <w:unhideWhenUsed/>
    <w:rsid w:val="009C20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201F"/>
    <w:rPr>
      <w:sz w:val="20"/>
      <w:szCs w:val="20"/>
    </w:rPr>
  </w:style>
  <w:style w:type="character" w:styleId="FootnoteReference">
    <w:name w:val="footnote reference"/>
    <w:basedOn w:val="DefaultParagraphFont"/>
    <w:uiPriority w:val="99"/>
    <w:semiHidden/>
    <w:unhideWhenUsed/>
    <w:rsid w:val="009C201F"/>
    <w:rPr>
      <w:vertAlign w:val="superscript"/>
    </w:rPr>
  </w:style>
  <w:style w:type="paragraph" w:styleId="Header">
    <w:name w:val="header"/>
    <w:basedOn w:val="Normal"/>
    <w:link w:val="HeaderChar"/>
    <w:uiPriority w:val="99"/>
    <w:semiHidden/>
    <w:unhideWhenUsed/>
    <w:rsid w:val="009C201F"/>
    <w:pPr>
      <w:tabs>
        <w:tab w:val="center" w:pos="4703"/>
        <w:tab w:val="right" w:pos="9406"/>
      </w:tabs>
      <w:spacing w:after="0" w:line="240" w:lineRule="auto"/>
    </w:pPr>
  </w:style>
  <w:style w:type="character" w:customStyle="1" w:styleId="HeaderChar">
    <w:name w:val="Header Char"/>
    <w:basedOn w:val="DefaultParagraphFont"/>
    <w:link w:val="Header"/>
    <w:uiPriority w:val="99"/>
    <w:semiHidden/>
    <w:rsid w:val="009C201F"/>
  </w:style>
  <w:style w:type="paragraph" w:styleId="Footer">
    <w:name w:val="footer"/>
    <w:basedOn w:val="Normal"/>
    <w:link w:val="FooterChar"/>
    <w:uiPriority w:val="99"/>
    <w:semiHidden/>
    <w:unhideWhenUsed/>
    <w:rsid w:val="009C201F"/>
    <w:pPr>
      <w:tabs>
        <w:tab w:val="center" w:pos="4703"/>
        <w:tab w:val="right" w:pos="9406"/>
      </w:tabs>
      <w:spacing w:after="0" w:line="240" w:lineRule="auto"/>
    </w:pPr>
  </w:style>
  <w:style w:type="character" w:customStyle="1" w:styleId="FooterChar">
    <w:name w:val="Footer Char"/>
    <w:basedOn w:val="DefaultParagraphFont"/>
    <w:link w:val="Footer"/>
    <w:uiPriority w:val="99"/>
    <w:semiHidden/>
    <w:rsid w:val="009C201F"/>
  </w:style>
  <w:style w:type="character" w:styleId="LineNumber">
    <w:name w:val="line number"/>
    <w:basedOn w:val="DefaultParagraphFont"/>
    <w:uiPriority w:val="99"/>
    <w:semiHidden/>
    <w:unhideWhenUsed/>
    <w:rsid w:val="005F2726"/>
  </w:style>
  <w:style w:type="character" w:styleId="Hyperlink">
    <w:name w:val="Hyperlink"/>
    <w:basedOn w:val="DefaultParagraphFont"/>
    <w:uiPriority w:val="99"/>
    <w:unhideWhenUsed/>
    <w:rsid w:val="00B45BE3"/>
    <w:rPr>
      <w:color w:val="0000FF" w:themeColor="hyperlink"/>
      <w:u w:val="single"/>
    </w:rPr>
  </w:style>
  <w:style w:type="table" w:styleId="TableGrid">
    <w:name w:val="Table Grid"/>
    <w:basedOn w:val="TableNormal"/>
    <w:uiPriority w:val="59"/>
    <w:rsid w:val="001130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542B4"/>
    <w:rPr>
      <w:sz w:val="16"/>
      <w:szCs w:val="16"/>
    </w:rPr>
  </w:style>
  <w:style w:type="paragraph" w:styleId="CommentText">
    <w:name w:val="annotation text"/>
    <w:basedOn w:val="Normal"/>
    <w:link w:val="CommentTextChar"/>
    <w:uiPriority w:val="99"/>
    <w:semiHidden/>
    <w:unhideWhenUsed/>
    <w:rsid w:val="00C542B4"/>
    <w:pPr>
      <w:spacing w:line="240" w:lineRule="auto"/>
    </w:pPr>
    <w:rPr>
      <w:sz w:val="20"/>
      <w:szCs w:val="20"/>
    </w:rPr>
  </w:style>
  <w:style w:type="character" w:customStyle="1" w:styleId="CommentTextChar">
    <w:name w:val="Comment Text Char"/>
    <w:basedOn w:val="DefaultParagraphFont"/>
    <w:link w:val="CommentText"/>
    <w:uiPriority w:val="99"/>
    <w:semiHidden/>
    <w:rsid w:val="00C542B4"/>
    <w:rPr>
      <w:sz w:val="20"/>
      <w:szCs w:val="20"/>
    </w:rPr>
  </w:style>
  <w:style w:type="paragraph" w:styleId="CommentSubject">
    <w:name w:val="annotation subject"/>
    <w:basedOn w:val="CommentText"/>
    <w:next w:val="CommentText"/>
    <w:link w:val="CommentSubjectChar"/>
    <w:uiPriority w:val="99"/>
    <w:semiHidden/>
    <w:unhideWhenUsed/>
    <w:rsid w:val="00C542B4"/>
    <w:rPr>
      <w:b/>
      <w:bCs/>
    </w:rPr>
  </w:style>
  <w:style w:type="character" w:customStyle="1" w:styleId="CommentSubjectChar">
    <w:name w:val="Comment Subject Char"/>
    <w:basedOn w:val="CommentTextChar"/>
    <w:link w:val="CommentSubject"/>
    <w:uiPriority w:val="99"/>
    <w:semiHidden/>
    <w:rsid w:val="00C542B4"/>
    <w:rPr>
      <w:b/>
      <w:bCs/>
    </w:rPr>
  </w:style>
  <w:style w:type="paragraph" w:styleId="BalloonText">
    <w:name w:val="Balloon Text"/>
    <w:basedOn w:val="Normal"/>
    <w:link w:val="BalloonTextChar"/>
    <w:uiPriority w:val="99"/>
    <w:semiHidden/>
    <w:unhideWhenUsed/>
    <w:rsid w:val="00C542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2B4"/>
    <w:rPr>
      <w:rFonts w:ascii="Tahoma" w:hAnsi="Tahoma" w:cs="Tahoma"/>
      <w:sz w:val="16"/>
      <w:szCs w:val="16"/>
    </w:rPr>
  </w:style>
  <w:style w:type="character" w:styleId="FollowedHyperlink">
    <w:name w:val="FollowedHyperlink"/>
    <w:basedOn w:val="DefaultParagraphFont"/>
    <w:uiPriority w:val="99"/>
    <w:semiHidden/>
    <w:unhideWhenUsed/>
    <w:rsid w:val="00A7437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B2ECB7-393E-476A-817C-EBA0DD3C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2275</Words>
  <Characters>12969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Marra</dc:creator>
  <cp:lastModifiedBy>0011294</cp:lastModifiedBy>
  <cp:revision>11</cp:revision>
  <dcterms:created xsi:type="dcterms:W3CDTF">2017-07-28T11:44:00Z</dcterms:created>
  <dcterms:modified xsi:type="dcterms:W3CDTF">2018-03-19T08:43:00Z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http://www.zotero.org/styles/journal-of-biomechanical-engineering</vt:lpwstr>
  </property>
  <property fmtid="{D5CDD505-2E9C-101B-9397-08002B2CF9AE}" pid="11" name="Mendeley Recent Style Name 4_1">
    <vt:lpwstr>Journal of Biomechanical Engineering</vt:lpwstr>
  </property>
  <property fmtid="{D5CDD505-2E9C-101B-9397-08002B2CF9AE}" pid="12" name="Mendeley Recent Style Id 5_1">
    <vt:lpwstr>http://www.zotero.org/styles/journal-of-orthopaedic-research</vt:lpwstr>
  </property>
  <property fmtid="{D5CDD505-2E9C-101B-9397-08002B2CF9AE}" pid="13" name="Mendeley Recent Style Name 5_1">
    <vt:lpwstr>Journal of Orthopaedic Research</vt:lpwstr>
  </property>
  <property fmtid="{D5CDD505-2E9C-101B-9397-08002B2CF9AE}" pid="14" name="Mendeley Recent Style Id 6_1">
    <vt:lpwstr>http://www.zotero.org/styles/knee-surgery-sports-traumatology-arthroscopy</vt:lpwstr>
  </property>
  <property fmtid="{D5CDD505-2E9C-101B-9397-08002B2CF9AE}" pid="15" name="Mendeley Recent Style Name 6_1">
    <vt:lpwstr>Knee Surgery, Sports Traumatology, Arthroscopy</vt:lpwstr>
  </property>
  <property fmtid="{D5CDD505-2E9C-101B-9397-08002B2CF9AE}" pid="16" name="Mendeley Recent Style Id 7_1">
    <vt:lpwstr>http://csl.mendeley.com/styles/19023581/knee-surgery-sports-traumatology-arthroscopy-2</vt:lpwstr>
  </property>
  <property fmtid="{D5CDD505-2E9C-101B-9397-08002B2CF9AE}" pid="17" name="Mendeley Recent Style Name 7_1">
    <vt:lpwstr>Knee Surgery, Sports Traumatology, Arthroscopy (full page numbers)</vt:lpwstr>
  </property>
  <property fmtid="{D5CDD505-2E9C-101B-9397-08002B2CF9AE}" pid="18" name="Mendeley Recent Style Id 8_1">
    <vt:lpwstr>http://www.zotero.org/styles/neurology</vt:lpwstr>
  </property>
  <property fmtid="{D5CDD505-2E9C-101B-9397-08002B2CF9AE}" pid="19" name="Mendeley Recent Style Name 8_1">
    <vt:lpwstr>Neurology</vt:lpwstr>
  </property>
  <property fmtid="{D5CDD505-2E9C-101B-9397-08002B2CF9AE}" pid="20" name="Mendeley Recent Style Id 9_1">
    <vt:lpwstr>http://www.zotero.org/styles/neuromuscular-disorders</vt:lpwstr>
  </property>
  <property fmtid="{D5CDD505-2E9C-101B-9397-08002B2CF9AE}" pid="21" name="Mendeley Recent Style Name 9_1">
    <vt:lpwstr>Neuromuscular Disorders</vt:lpwstr>
  </property>
  <property fmtid="{D5CDD505-2E9C-101B-9397-08002B2CF9AE}" pid="22" name="Mendeley Document_1">
    <vt:lpwstr>True</vt:lpwstr>
  </property>
  <property fmtid="{D5CDD505-2E9C-101B-9397-08002B2CF9AE}" pid="23" name="Mendeley Unique User Id_1">
    <vt:lpwstr>aa859637-a862-3abc-801d-8937192d7f7f</vt:lpwstr>
  </property>
  <property fmtid="{D5CDD505-2E9C-101B-9397-08002B2CF9AE}" pid="24" name="Mendeley Citation Style_1">
    <vt:lpwstr>http://csl.mendeley.com/styles/19023581/knee-surgery-sports-traumatology-arthroscopy-2</vt:lpwstr>
  </property>
</Properties>
</file>