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00"/>
        <w:gridCol w:w="3300"/>
        <w:gridCol w:w="2420"/>
        <w:gridCol w:w="2480"/>
      </w:tblGrid>
      <w:tr w:rsidR="003D1CE0" w:rsidRPr="00E22069" w14:paraId="18ABBA0D" w14:textId="77777777" w:rsidTr="003D1CE0">
        <w:trPr>
          <w:trHeight w:val="535"/>
        </w:trPr>
        <w:tc>
          <w:tcPr>
            <w:tcW w:w="10200" w:type="dxa"/>
            <w:gridSpan w:val="4"/>
            <w:shd w:val="clear" w:color="auto" w:fill="auto"/>
            <w:vAlign w:val="center"/>
            <w:hideMark/>
          </w:tcPr>
          <w:p w14:paraId="033EBB7F" w14:textId="3DBF4497" w:rsidR="003D1CE0" w:rsidRPr="00E22069" w:rsidRDefault="003D1CE0" w:rsidP="003D1C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sv-SE"/>
              </w:rPr>
            </w:pPr>
            <w:r w:rsidRPr="00E22069">
              <w:rPr>
                <w:rFonts w:ascii="Calibri" w:eastAsia="Times New Roman" w:hAnsi="Calibri" w:cs="Calibri"/>
                <w:b/>
                <w:bCs/>
                <w:color w:val="000000"/>
                <w:lang w:val="en-GB" w:eastAsia="sv-SE"/>
              </w:rPr>
              <w:t>Appendix 1. Studies excluded by reason for exclusion</w:t>
            </w:r>
          </w:p>
        </w:tc>
      </w:tr>
      <w:tr w:rsidR="00C93F61" w:rsidRPr="00E22069" w14:paraId="50183954" w14:textId="77777777" w:rsidTr="003D1CE0">
        <w:trPr>
          <w:trHeight w:val="585"/>
        </w:trPr>
        <w:tc>
          <w:tcPr>
            <w:tcW w:w="2000" w:type="dxa"/>
            <w:shd w:val="clear" w:color="auto" w:fill="D0CECE" w:themeFill="background2" w:themeFillShade="E6"/>
            <w:vAlign w:val="center"/>
            <w:hideMark/>
          </w:tcPr>
          <w:p w14:paraId="0F0D4012" w14:textId="77777777" w:rsidR="00C93F61" w:rsidRPr="00E22069" w:rsidRDefault="00C93F61" w:rsidP="00C93F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sv-SE"/>
              </w:rPr>
            </w:pPr>
            <w:r w:rsidRPr="00E2206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sv-SE"/>
              </w:rPr>
              <w:t>Author</w:t>
            </w:r>
          </w:p>
        </w:tc>
        <w:tc>
          <w:tcPr>
            <w:tcW w:w="3300" w:type="dxa"/>
            <w:shd w:val="clear" w:color="auto" w:fill="D0CECE" w:themeFill="background2" w:themeFillShade="E6"/>
            <w:vAlign w:val="center"/>
            <w:hideMark/>
          </w:tcPr>
          <w:p w14:paraId="0A5FB7A0" w14:textId="5B60C70D" w:rsidR="00C93F61" w:rsidRPr="00E22069" w:rsidRDefault="003D1CE0" w:rsidP="00C93F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sv-SE"/>
              </w:rPr>
            </w:pPr>
            <w:r w:rsidRPr="00E2206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sv-SE"/>
              </w:rPr>
              <w:t>Study</w:t>
            </w:r>
          </w:p>
        </w:tc>
        <w:tc>
          <w:tcPr>
            <w:tcW w:w="2420" w:type="dxa"/>
            <w:shd w:val="clear" w:color="auto" w:fill="D0CECE" w:themeFill="background2" w:themeFillShade="E6"/>
            <w:vAlign w:val="center"/>
            <w:hideMark/>
          </w:tcPr>
          <w:p w14:paraId="15143ABD" w14:textId="77777777" w:rsidR="00C93F61" w:rsidRPr="00E22069" w:rsidRDefault="00C93F61" w:rsidP="00C93F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sv-SE"/>
              </w:rPr>
            </w:pPr>
            <w:r w:rsidRPr="00E2206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sv-SE"/>
              </w:rPr>
              <w:t>Publication year</w:t>
            </w:r>
          </w:p>
        </w:tc>
        <w:tc>
          <w:tcPr>
            <w:tcW w:w="2480" w:type="dxa"/>
            <w:shd w:val="clear" w:color="auto" w:fill="D0CECE" w:themeFill="background2" w:themeFillShade="E6"/>
            <w:vAlign w:val="center"/>
            <w:hideMark/>
          </w:tcPr>
          <w:p w14:paraId="441E0E52" w14:textId="77777777" w:rsidR="00C93F61" w:rsidRPr="00E22069" w:rsidRDefault="00C93F61" w:rsidP="00C93F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sv-SE"/>
              </w:rPr>
            </w:pPr>
            <w:r w:rsidRPr="00E2206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sv-SE"/>
              </w:rPr>
              <w:t>Reason for exclusion</w:t>
            </w:r>
          </w:p>
        </w:tc>
      </w:tr>
      <w:tr w:rsidR="00C93F61" w:rsidRPr="00E22069" w14:paraId="38F07F6E" w14:textId="77777777" w:rsidTr="00C93F61">
        <w:trPr>
          <w:trHeight w:val="1300"/>
        </w:trPr>
        <w:tc>
          <w:tcPr>
            <w:tcW w:w="2000" w:type="dxa"/>
            <w:shd w:val="clear" w:color="auto" w:fill="auto"/>
            <w:vAlign w:val="center"/>
            <w:hideMark/>
          </w:tcPr>
          <w:p w14:paraId="4C5C27AD" w14:textId="77777777" w:rsidR="00C93F61" w:rsidRPr="00E22069" w:rsidRDefault="00C93F61" w:rsidP="00C93F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sv-SE"/>
              </w:rPr>
            </w:pPr>
            <w:proofErr w:type="spellStart"/>
            <w:r w:rsidRPr="00E2206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sv-SE"/>
              </w:rPr>
              <w:t>Andernord</w:t>
            </w:r>
            <w:proofErr w:type="spellEnd"/>
            <w:r w:rsidRPr="00E2206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sv-SE"/>
              </w:rPr>
              <w:t xml:space="preserve"> et al.</w:t>
            </w:r>
          </w:p>
        </w:tc>
        <w:tc>
          <w:tcPr>
            <w:tcW w:w="3300" w:type="dxa"/>
            <w:shd w:val="clear" w:color="auto" w:fill="auto"/>
            <w:vAlign w:val="center"/>
            <w:hideMark/>
          </w:tcPr>
          <w:p w14:paraId="066B01BA" w14:textId="77777777" w:rsidR="00C93F61" w:rsidRPr="00E22069" w:rsidRDefault="00C93F61" w:rsidP="00C93F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sv-SE"/>
              </w:rPr>
            </w:pPr>
            <w:r w:rsidRPr="00E2206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sv-SE"/>
              </w:rPr>
              <w:t xml:space="preserve"> Surgical Predictors of Early Revision Surgery After Anterior Cruciate Ligament Reconstruction: Results </w:t>
            </w:r>
            <w:proofErr w:type="gramStart"/>
            <w:r w:rsidRPr="00E2206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sv-SE"/>
              </w:rPr>
              <w:t>From</w:t>
            </w:r>
            <w:proofErr w:type="gramEnd"/>
            <w:r w:rsidRPr="00E2206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sv-SE"/>
              </w:rPr>
              <w:t xml:space="preserve"> the Swedish National Knee Ligament Register on 13,102 Patients</w:t>
            </w:r>
          </w:p>
        </w:tc>
        <w:tc>
          <w:tcPr>
            <w:tcW w:w="2420" w:type="dxa"/>
            <w:shd w:val="clear" w:color="auto" w:fill="auto"/>
            <w:vAlign w:val="center"/>
            <w:hideMark/>
          </w:tcPr>
          <w:p w14:paraId="522DE2EF" w14:textId="77777777" w:rsidR="00C93F61" w:rsidRPr="00E22069" w:rsidRDefault="00C93F61" w:rsidP="00C93F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sv-SE"/>
              </w:rPr>
            </w:pPr>
            <w:r w:rsidRPr="00E2206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sv-SE"/>
              </w:rPr>
              <w:t>2014</w:t>
            </w:r>
          </w:p>
        </w:tc>
        <w:tc>
          <w:tcPr>
            <w:tcW w:w="2480" w:type="dxa"/>
            <w:shd w:val="clear" w:color="auto" w:fill="auto"/>
            <w:vAlign w:val="center"/>
            <w:hideMark/>
          </w:tcPr>
          <w:p w14:paraId="4567C4AA" w14:textId="77777777" w:rsidR="00C93F61" w:rsidRPr="00E22069" w:rsidRDefault="00C93F61" w:rsidP="00C93F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sv-SE"/>
              </w:rPr>
            </w:pPr>
            <w:r w:rsidRPr="00E2206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sv-SE"/>
              </w:rPr>
              <w:t xml:space="preserve">Did not report data to enable analysis  </w:t>
            </w:r>
          </w:p>
        </w:tc>
        <w:bookmarkStart w:id="0" w:name="_GoBack"/>
        <w:bookmarkEnd w:id="0"/>
      </w:tr>
      <w:tr w:rsidR="00C93F61" w:rsidRPr="00E22069" w14:paraId="67115CD8" w14:textId="77777777" w:rsidTr="00C93F61">
        <w:trPr>
          <w:trHeight w:val="1300"/>
        </w:trPr>
        <w:tc>
          <w:tcPr>
            <w:tcW w:w="2000" w:type="dxa"/>
            <w:shd w:val="clear" w:color="auto" w:fill="auto"/>
            <w:vAlign w:val="center"/>
            <w:hideMark/>
          </w:tcPr>
          <w:p w14:paraId="7D557859" w14:textId="77777777" w:rsidR="00C93F61" w:rsidRPr="00E22069" w:rsidRDefault="00C93F61" w:rsidP="00C93F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sv-SE"/>
              </w:rPr>
            </w:pPr>
            <w:proofErr w:type="spellStart"/>
            <w:r w:rsidRPr="00E2206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sv-SE"/>
              </w:rPr>
              <w:t>Andernord</w:t>
            </w:r>
            <w:proofErr w:type="spellEnd"/>
            <w:r w:rsidRPr="00E2206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sv-SE"/>
              </w:rPr>
              <w:t xml:space="preserve"> et al.</w:t>
            </w:r>
          </w:p>
        </w:tc>
        <w:tc>
          <w:tcPr>
            <w:tcW w:w="3300" w:type="dxa"/>
            <w:shd w:val="clear" w:color="auto" w:fill="auto"/>
            <w:vAlign w:val="center"/>
            <w:hideMark/>
          </w:tcPr>
          <w:p w14:paraId="52F6E2EB" w14:textId="77777777" w:rsidR="00C93F61" w:rsidRPr="00E22069" w:rsidRDefault="00C93F61" w:rsidP="00C93F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sv-SE"/>
              </w:rPr>
            </w:pPr>
            <w:r w:rsidRPr="00E2206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sv-SE"/>
              </w:rPr>
              <w:t xml:space="preserve"> Predictors of contralateral anterior cruciate ligament reconstruction: a cohort study of 9061 patients with 5-year follow-up</w:t>
            </w:r>
          </w:p>
        </w:tc>
        <w:tc>
          <w:tcPr>
            <w:tcW w:w="2420" w:type="dxa"/>
            <w:shd w:val="clear" w:color="auto" w:fill="auto"/>
            <w:vAlign w:val="center"/>
            <w:hideMark/>
          </w:tcPr>
          <w:p w14:paraId="646C437C" w14:textId="77777777" w:rsidR="00C93F61" w:rsidRPr="00E22069" w:rsidRDefault="00C93F61" w:rsidP="00C93F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sv-SE"/>
              </w:rPr>
            </w:pPr>
            <w:r w:rsidRPr="00E2206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sv-SE"/>
              </w:rPr>
              <w:t>2015</w:t>
            </w:r>
          </w:p>
        </w:tc>
        <w:tc>
          <w:tcPr>
            <w:tcW w:w="2480" w:type="dxa"/>
            <w:shd w:val="clear" w:color="auto" w:fill="auto"/>
            <w:vAlign w:val="center"/>
            <w:hideMark/>
          </w:tcPr>
          <w:p w14:paraId="2865DE64" w14:textId="77777777" w:rsidR="00C93F61" w:rsidRPr="00E22069" w:rsidRDefault="00C93F61" w:rsidP="00C93F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sv-SE"/>
              </w:rPr>
            </w:pPr>
            <w:r w:rsidRPr="00E2206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sv-SE"/>
              </w:rPr>
              <w:t xml:space="preserve">Did not report data to enable analysis  </w:t>
            </w:r>
          </w:p>
        </w:tc>
      </w:tr>
      <w:tr w:rsidR="00C93F61" w:rsidRPr="00E22069" w14:paraId="38FC3DFF" w14:textId="77777777" w:rsidTr="00C93F61">
        <w:trPr>
          <w:trHeight w:val="1300"/>
        </w:trPr>
        <w:tc>
          <w:tcPr>
            <w:tcW w:w="2000" w:type="dxa"/>
            <w:shd w:val="clear" w:color="auto" w:fill="auto"/>
            <w:noWrap/>
            <w:vAlign w:val="center"/>
            <w:hideMark/>
          </w:tcPr>
          <w:p w14:paraId="2023C55A" w14:textId="13CF1978" w:rsidR="00C93F61" w:rsidRPr="00E22069" w:rsidRDefault="00C93F61" w:rsidP="00C93F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sv-SE"/>
              </w:rPr>
            </w:pPr>
            <w:proofErr w:type="spellStart"/>
            <w:r w:rsidRPr="00E2206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sv-SE"/>
              </w:rPr>
              <w:t>Fältström</w:t>
            </w:r>
            <w:proofErr w:type="spellEnd"/>
            <w:r w:rsidR="00711DB9" w:rsidRPr="00E2206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sv-SE"/>
              </w:rPr>
              <w:t xml:space="preserve"> et al.</w:t>
            </w:r>
          </w:p>
        </w:tc>
        <w:tc>
          <w:tcPr>
            <w:tcW w:w="3300" w:type="dxa"/>
            <w:shd w:val="clear" w:color="auto" w:fill="auto"/>
            <w:vAlign w:val="center"/>
            <w:hideMark/>
          </w:tcPr>
          <w:p w14:paraId="1756E357" w14:textId="77777777" w:rsidR="00C93F61" w:rsidRPr="00E22069" w:rsidRDefault="00C93F61" w:rsidP="00C93F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sv-SE"/>
              </w:rPr>
            </w:pPr>
            <w:r w:rsidRPr="00E2206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sv-SE"/>
              </w:rPr>
              <w:t>Predictors for additional anterior cruciate ligament reconstruction: data from the Swedish national ACL register</w:t>
            </w:r>
          </w:p>
        </w:tc>
        <w:tc>
          <w:tcPr>
            <w:tcW w:w="2420" w:type="dxa"/>
            <w:shd w:val="clear" w:color="auto" w:fill="auto"/>
            <w:noWrap/>
            <w:vAlign w:val="center"/>
            <w:hideMark/>
          </w:tcPr>
          <w:p w14:paraId="7B5C4BAE" w14:textId="77777777" w:rsidR="00C93F61" w:rsidRPr="00E22069" w:rsidRDefault="00C93F61" w:rsidP="00C93F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sv-SE"/>
              </w:rPr>
            </w:pPr>
            <w:r w:rsidRPr="00E2206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sv-SE"/>
              </w:rPr>
              <w:t>2016</w:t>
            </w:r>
          </w:p>
        </w:tc>
        <w:tc>
          <w:tcPr>
            <w:tcW w:w="2480" w:type="dxa"/>
            <w:shd w:val="clear" w:color="auto" w:fill="auto"/>
            <w:vAlign w:val="center"/>
            <w:hideMark/>
          </w:tcPr>
          <w:p w14:paraId="1ED05291" w14:textId="77777777" w:rsidR="00C93F61" w:rsidRPr="00E22069" w:rsidRDefault="00C93F61" w:rsidP="00C93F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sv-SE"/>
              </w:rPr>
            </w:pPr>
            <w:r w:rsidRPr="00E2206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sv-SE"/>
              </w:rPr>
              <w:t xml:space="preserve">Did not report data to enable analysis  </w:t>
            </w:r>
          </w:p>
        </w:tc>
      </w:tr>
      <w:tr w:rsidR="00C93F61" w:rsidRPr="00E22069" w14:paraId="78C2F7CF" w14:textId="77777777" w:rsidTr="00C93F61">
        <w:trPr>
          <w:trHeight w:val="1300"/>
        </w:trPr>
        <w:tc>
          <w:tcPr>
            <w:tcW w:w="2000" w:type="dxa"/>
            <w:shd w:val="clear" w:color="auto" w:fill="auto"/>
            <w:noWrap/>
            <w:vAlign w:val="center"/>
            <w:hideMark/>
          </w:tcPr>
          <w:p w14:paraId="3FE337C1" w14:textId="77777777" w:rsidR="00C93F61" w:rsidRPr="00E22069" w:rsidRDefault="00C93F61" w:rsidP="00C93F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sv-SE"/>
              </w:rPr>
            </w:pPr>
            <w:proofErr w:type="spellStart"/>
            <w:r w:rsidRPr="00E2206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sv-SE"/>
              </w:rPr>
              <w:t>Granan</w:t>
            </w:r>
            <w:proofErr w:type="spellEnd"/>
            <w:r w:rsidRPr="00E2206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sv-SE"/>
              </w:rPr>
              <w:t xml:space="preserve"> et al. </w:t>
            </w:r>
          </w:p>
        </w:tc>
        <w:tc>
          <w:tcPr>
            <w:tcW w:w="3300" w:type="dxa"/>
            <w:shd w:val="clear" w:color="auto" w:fill="auto"/>
            <w:vAlign w:val="center"/>
            <w:hideMark/>
          </w:tcPr>
          <w:p w14:paraId="0ADEB1F8" w14:textId="77777777" w:rsidR="00C93F61" w:rsidRPr="00E22069" w:rsidRDefault="00C93F61" w:rsidP="00C93F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sv-SE"/>
              </w:rPr>
            </w:pPr>
            <w:r w:rsidRPr="00E2206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sv-SE"/>
              </w:rPr>
              <w:t xml:space="preserve"> Associations between inadequate knee function detected by KOOS and prospective graft failure in an anterior cruciate ligament-reconstructed knee</w:t>
            </w:r>
          </w:p>
        </w:tc>
        <w:tc>
          <w:tcPr>
            <w:tcW w:w="2420" w:type="dxa"/>
            <w:shd w:val="clear" w:color="auto" w:fill="auto"/>
            <w:noWrap/>
            <w:vAlign w:val="center"/>
            <w:hideMark/>
          </w:tcPr>
          <w:p w14:paraId="1C5E3C2E" w14:textId="77777777" w:rsidR="00C93F61" w:rsidRPr="00E22069" w:rsidRDefault="00C93F61" w:rsidP="00C93F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sv-SE"/>
              </w:rPr>
            </w:pPr>
            <w:r w:rsidRPr="00E2206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sv-SE"/>
              </w:rPr>
              <w:t>2015</w:t>
            </w:r>
          </w:p>
        </w:tc>
        <w:tc>
          <w:tcPr>
            <w:tcW w:w="2480" w:type="dxa"/>
            <w:shd w:val="clear" w:color="auto" w:fill="auto"/>
            <w:vAlign w:val="center"/>
            <w:hideMark/>
          </w:tcPr>
          <w:p w14:paraId="66377651" w14:textId="77777777" w:rsidR="00C93F61" w:rsidRPr="00E22069" w:rsidRDefault="00C93F61" w:rsidP="00C93F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sv-SE"/>
              </w:rPr>
            </w:pPr>
            <w:r w:rsidRPr="00E2206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sv-SE"/>
              </w:rPr>
              <w:t xml:space="preserve">Did not report data to enable analysis  </w:t>
            </w:r>
          </w:p>
        </w:tc>
      </w:tr>
      <w:tr w:rsidR="00C93F61" w:rsidRPr="00E22069" w14:paraId="527CC683" w14:textId="77777777" w:rsidTr="00C93F61">
        <w:trPr>
          <w:trHeight w:val="1300"/>
        </w:trPr>
        <w:tc>
          <w:tcPr>
            <w:tcW w:w="2000" w:type="dxa"/>
            <w:shd w:val="clear" w:color="auto" w:fill="auto"/>
            <w:noWrap/>
            <w:vAlign w:val="center"/>
            <w:hideMark/>
          </w:tcPr>
          <w:p w14:paraId="6AA9C019" w14:textId="77777777" w:rsidR="00C93F61" w:rsidRPr="00E22069" w:rsidRDefault="00C93F61" w:rsidP="00C93F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sv-SE"/>
              </w:rPr>
            </w:pPr>
            <w:proofErr w:type="spellStart"/>
            <w:r w:rsidRPr="00E2206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sv-SE"/>
              </w:rPr>
              <w:t>Kvist</w:t>
            </w:r>
            <w:proofErr w:type="spellEnd"/>
            <w:r w:rsidRPr="00E2206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sv-SE"/>
              </w:rPr>
              <w:t xml:space="preserve"> et al.</w:t>
            </w:r>
          </w:p>
        </w:tc>
        <w:tc>
          <w:tcPr>
            <w:tcW w:w="3300" w:type="dxa"/>
            <w:shd w:val="clear" w:color="auto" w:fill="auto"/>
            <w:vAlign w:val="center"/>
            <w:hideMark/>
          </w:tcPr>
          <w:p w14:paraId="0D3B81AF" w14:textId="77777777" w:rsidR="00C93F61" w:rsidRPr="00E22069" w:rsidRDefault="00C93F61" w:rsidP="00C93F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sv-SE"/>
              </w:rPr>
            </w:pPr>
            <w:r w:rsidRPr="00E2206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sv-SE"/>
              </w:rPr>
              <w:t xml:space="preserve"> Results from the Swedish national anterior cruciate ligament register</w:t>
            </w:r>
          </w:p>
        </w:tc>
        <w:tc>
          <w:tcPr>
            <w:tcW w:w="2420" w:type="dxa"/>
            <w:shd w:val="clear" w:color="auto" w:fill="auto"/>
            <w:noWrap/>
            <w:vAlign w:val="center"/>
            <w:hideMark/>
          </w:tcPr>
          <w:p w14:paraId="3EEAE10E" w14:textId="77777777" w:rsidR="00C93F61" w:rsidRPr="00E22069" w:rsidRDefault="00C93F61" w:rsidP="00C93F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sv-SE"/>
              </w:rPr>
            </w:pPr>
            <w:r w:rsidRPr="00E2206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sv-SE"/>
              </w:rPr>
              <w:t>2014</w:t>
            </w:r>
          </w:p>
        </w:tc>
        <w:tc>
          <w:tcPr>
            <w:tcW w:w="2480" w:type="dxa"/>
            <w:shd w:val="clear" w:color="auto" w:fill="auto"/>
            <w:vAlign w:val="center"/>
            <w:hideMark/>
          </w:tcPr>
          <w:p w14:paraId="53C89EB1" w14:textId="77777777" w:rsidR="00C93F61" w:rsidRPr="00E22069" w:rsidRDefault="00C93F61" w:rsidP="00C93F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sv-SE"/>
              </w:rPr>
            </w:pPr>
            <w:r w:rsidRPr="00E2206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sv-SE"/>
              </w:rPr>
              <w:t xml:space="preserve">Did not report data to enable analysis  </w:t>
            </w:r>
          </w:p>
        </w:tc>
      </w:tr>
      <w:tr w:rsidR="00C93F61" w:rsidRPr="00E22069" w14:paraId="16D922DE" w14:textId="77777777" w:rsidTr="00C93F61">
        <w:trPr>
          <w:trHeight w:val="1300"/>
        </w:trPr>
        <w:tc>
          <w:tcPr>
            <w:tcW w:w="2000" w:type="dxa"/>
            <w:shd w:val="clear" w:color="auto" w:fill="auto"/>
            <w:noWrap/>
            <w:vAlign w:val="center"/>
            <w:hideMark/>
          </w:tcPr>
          <w:p w14:paraId="17D8841B" w14:textId="77777777" w:rsidR="00C93F61" w:rsidRPr="00E22069" w:rsidRDefault="00C93F61" w:rsidP="00C93F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sv-SE"/>
              </w:rPr>
            </w:pPr>
            <w:r w:rsidRPr="00E2206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sv-SE"/>
              </w:rPr>
              <w:t>Lind et al.</w:t>
            </w:r>
          </w:p>
        </w:tc>
        <w:tc>
          <w:tcPr>
            <w:tcW w:w="3300" w:type="dxa"/>
            <w:shd w:val="clear" w:color="auto" w:fill="auto"/>
            <w:vAlign w:val="center"/>
            <w:hideMark/>
          </w:tcPr>
          <w:p w14:paraId="6850C497" w14:textId="77777777" w:rsidR="00C93F61" w:rsidRPr="00E22069" w:rsidRDefault="00C93F61" w:rsidP="00C93F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sv-SE"/>
              </w:rPr>
            </w:pPr>
            <w:r w:rsidRPr="00E2206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sv-SE"/>
              </w:rPr>
              <w:t xml:space="preserve"> Incidence and outcome after revision anterior cruciate ligament reconstruction: results from the Danish registry for knee ligament reconstructions</w:t>
            </w:r>
          </w:p>
        </w:tc>
        <w:tc>
          <w:tcPr>
            <w:tcW w:w="2420" w:type="dxa"/>
            <w:shd w:val="clear" w:color="auto" w:fill="auto"/>
            <w:noWrap/>
            <w:vAlign w:val="center"/>
            <w:hideMark/>
          </w:tcPr>
          <w:p w14:paraId="7D92CB50" w14:textId="77777777" w:rsidR="00C93F61" w:rsidRPr="00E22069" w:rsidRDefault="00C93F61" w:rsidP="00C93F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sv-SE"/>
              </w:rPr>
            </w:pPr>
            <w:r w:rsidRPr="00E2206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sv-SE"/>
              </w:rPr>
              <w:t>2012</w:t>
            </w:r>
          </w:p>
        </w:tc>
        <w:tc>
          <w:tcPr>
            <w:tcW w:w="2480" w:type="dxa"/>
            <w:shd w:val="clear" w:color="auto" w:fill="auto"/>
            <w:vAlign w:val="center"/>
            <w:hideMark/>
          </w:tcPr>
          <w:p w14:paraId="038EC2F0" w14:textId="77777777" w:rsidR="00C93F61" w:rsidRPr="00E22069" w:rsidRDefault="00C93F61" w:rsidP="00C93F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sv-SE"/>
              </w:rPr>
            </w:pPr>
            <w:r w:rsidRPr="00E2206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sv-SE"/>
              </w:rPr>
              <w:t xml:space="preserve">Did not report data to enable analysis  </w:t>
            </w:r>
          </w:p>
        </w:tc>
      </w:tr>
      <w:tr w:rsidR="00C93F61" w:rsidRPr="00E22069" w14:paraId="474578A2" w14:textId="77777777" w:rsidTr="00C93F61">
        <w:trPr>
          <w:trHeight w:val="1300"/>
        </w:trPr>
        <w:tc>
          <w:tcPr>
            <w:tcW w:w="2000" w:type="dxa"/>
            <w:shd w:val="clear" w:color="auto" w:fill="auto"/>
            <w:noWrap/>
            <w:vAlign w:val="center"/>
            <w:hideMark/>
          </w:tcPr>
          <w:p w14:paraId="231B6289" w14:textId="77777777" w:rsidR="00C93F61" w:rsidRPr="00E22069" w:rsidRDefault="00C93F61" w:rsidP="00C93F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sv-SE"/>
              </w:rPr>
            </w:pPr>
            <w:proofErr w:type="spellStart"/>
            <w:r w:rsidRPr="00E2206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sv-SE"/>
              </w:rPr>
              <w:lastRenderedPageBreak/>
              <w:t>Rahr</w:t>
            </w:r>
            <w:proofErr w:type="spellEnd"/>
            <w:r w:rsidRPr="00E2206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sv-SE"/>
              </w:rPr>
              <w:t>-Wagner et al.</w:t>
            </w:r>
          </w:p>
        </w:tc>
        <w:tc>
          <w:tcPr>
            <w:tcW w:w="3300" w:type="dxa"/>
            <w:shd w:val="clear" w:color="auto" w:fill="auto"/>
            <w:vAlign w:val="center"/>
            <w:hideMark/>
          </w:tcPr>
          <w:p w14:paraId="6C9FEAF9" w14:textId="77777777" w:rsidR="00C93F61" w:rsidRPr="00E22069" w:rsidRDefault="00C93F61" w:rsidP="00C93F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sv-SE"/>
              </w:rPr>
            </w:pPr>
            <w:r w:rsidRPr="00E2206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sv-SE"/>
              </w:rPr>
              <w:t xml:space="preserve"> Comorbidities in Patients </w:t>
            </w:r>
            <w:proofErr w:type="gramStart"/>
            <w:r w:rsidRPr="00E2206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sv-SE"/>
              </w:rPr>
              <w:t>With</w:t>
            </w:r>
            <w:proofErr w:type="gramEnd"/>
            <w:r w:rsidRPr="00E2206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sv-SE"/>
              </w:rPr>
              <w:t xml:space="preserve"> Anterior Cruciate Ligament Reconstruction Compared With Matched Controls Without Anterior Cruciate Ligament Injury From Danish Registries</w:t>
            </w:r>
          </w:p>
        </w:tc>
        <w:tc>
          <w:tcPr>
            <w:tcW w:w="2420" w:type="dxa"/>
            <w:shd w:val="clear" w:color="auto" w:fill="auto"/>
            <w:noWrap/>
            <w:vAlign w:val="center"/>
            <w:hideMark/>
          </w:tcPr>
          <w:p w14:paraId="4E063E0E" w14:textId="77777777" w:rsidR="00C93F61" w:rsidRPr="00E22069" w:rsidRDefault="00C93F61" w:rsidP="00C93F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sv-SE"/>
              </w:rPr>
            </w:pPr>
            <w:r w:rsidRPr="00E2206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sv-SE"/>
              </w:rPr>
              <w:t>2015</w:t>
            </w:r>
          </w:p>
        </w:tc>
        <w:tc>
          <w:tcPr>
            <w:tcW w:w="2480" w:type="dxa"/>
            <w:shd w:val="clear" w:color="auto" w:fill="auto"/>
            <w:vAlign w:val="center"/>
            <w:hideMark/>
          </w:tcPr>
          <w:p w14:paraId="608772A1" w14:textId="77777777" w:rsidR="00C93F61" w:rsidRPr="00E22069" w:rsidRDefault="00C93F61" w:rsidP="00C93F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sv-SE"/>
              </w:rPr>
            </w:pPr>
            <w:r w:rsidRPr="00E2206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sv-SE"/>
              </w:rPr>
              <w:t xml:space="preserve">Did not report data to enable analysis  </w:t>
            </w:r>
          </w:p>
        </w:tc>
      </w:tr>
      <w:tr w:rsidR="00C93F61" w:rsidRPr="00E22069" w14:paraId="139065F5" w14:textId="77777777" w:rsidTr="00C93F61">
        <w:trPr>
          <w:trHeight w:val="1300"/>
        </w:trPr>
        <w:tc>
          <w:tcPr>
            <w:tcW w:w="2000" w:type="dxa"/>
            <w:shd w:val="clear" w:color="auto" w:fill="auto"/>
            <w:noWrap/>
            <w:vAlign w:val="center"/>
            <w:hideMark/>
          </w:tcPr>
          <w:p w14:paraId="5DB97E4E" w14:textId="77777777" w:rsidR="00C93F61" w:rsidRPr="00E22069" w:rsidRDefault="00C93F61" w:rsidP="00C93F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sv-SE"/>
              </w:rPr>
            </w:pPr>
            <w:r w:rsidRPr="00E2206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sv-SE"/>
              </w:rPr>
              <w:t>Lind et al.</w:t>
            </w:r>
          </w:p>
        </w:tc>
        <w:tc>
          <w:tcPr>
            <w:tcW w:w="3300" w:type="dxa"/>
            <w:shd w:val="clear" w:color="auto" w:fill="auto"/>
            <w:vAlign w:val="center"/>
            <w:hideMark/>
          </w:tcPr>
          <w:p w14:paraId="302F6275" w14:textId="77777777" w:rsidR="00C93F61" w:rsidRPr="00E22069" w:rsidRDefault="00C93F61" w:rsidP="00C93F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sv-SE"/>
              </w:rPr>
            </w:pPr>
            <w:r w:rsidRPr="00E2206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sv-SE"/>
              </w:rPr>
              <w:t xml:space="preserve"> The first results from the Danish ACL reconstruction registry: epidemiologic and </w:t>
            </w:r>
            <w:proofErr w:type="gramStart"/>
            <w:r w:rsidRPr="00E2206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sv-SE"/>
              </w:rPr>
              <w:t>2 year</w:t>
            </w:r>
            <w:proofErr w:type="gramEnd"/>
            <w:r w:rsidRPr="00E2206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sv-SE"/>
              </w:rPr>
              <w:t xml:space="preserve"> follow-up results from 5,818 knee ligament reconstructions</w:t>
            </w:r>
          </w:p>
        </w:tc>
        <w:tc>
          <w:tcPr>
            <w:tcW w:w="2420" w:type="dxa"/>
            <w:shd w:val="clear" w:color="auto" w:fill="auto"/>
            <w:noWrap/>
            <w:vAlign w:val="center"/>
            <w:hideMark/>
          </w:tcPr>
          <w:p w14:paraId="24E10077" w14:textId="77777777" w:rsidR="00C93F61" w:rsidRPr="00E22069" w:rsidRDefault="00C93F61" w:rsidP="00C93F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sv-SE"/>
              </w:rPr>
            </w:pPr>
            <w:r w:rsidRPr="00E2206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sv-SE"/>
              </w:rPr>
              <w:t>2009</w:t>
            </w:r>
          </w:p>
        </w:tc>
        <w:tc>
          <w:tcPr>
            <w:tcW w:w="2480" w:type="dxa"/>
            <w:shd w:val="clear" w:color="auto" w:fill="auto"/>
            <w:vAlign w:val="center"/>
            <w:hideMark/>
          </w:tcPr>
          <w:p w14:paraId="66DBA687" w14:textId="77777777" w:rsidR="00C93F61" w:rsidRPr="00E22069" w:rsidRDefault="00C93F61" w:rsidP="00C93F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sv-SE"/>
              </w:rPr>
            </w:pPr>
            <w:r w:rsidRPr="00E2206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sv-SE"/>
              </w:rPr>
              <w:t xml:space="preserve">No dichotomous outcome </w:t>
            </w:r>
          </w:p>
        </w:tc>
      </w:tr>
      <w:tr w:rsidR="00C93F61" w:rsidRPr="00E22069" w14:paraId="32A22F65" w14:textId="77777777" w:rsidTr="00C93F61">
        <w:trPr>
          <w:trHeight w:val="1300"/>
        </w:trPr>
        <w:tc>
          <w:tcPr>
            <w:tcW w:w="2000" w:type="dxa"/>
            <w:shd w:val="clear" w:color="auto" w:fill="auto"/>
            <w:noWrap/>
            <w:vAlign w:val="center"/>
            <w:hideMark/>
          </w:tcPr>
          <w:p w14:paraId="25A42479" w14:textId="77777777" w:rsidR="00C93F61" w:rsidRPr="00E22069" w:rsidRDefault="00C93F61" w:rsidP="00C93F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sv-SE"/>
              </w:rPr>
            </w:pPr>
            <w:proofErr w:type="spellStart"/>
            <w:r w:rsidRPr="00E2206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sv-SE"/>
              </w:rPr>
              <w:t>Rahr</w:t>
            </w:r>
            <w:proofErr w:type="spellEnd"/>
            <w:r w:rsidRPr="00E2206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sv-SE"/>
              </w:rPr>
              <w:t>-Wagner et al.</w:t>
            </w:r>
          </w:p>
        </w:tc>
        <w:tc>
          <w:tcPr>
            <w:tcW w:w="3300" w:type="dxa"/>
            <w:shd w:val="clear" w:color="auto" w:fill="auto"/>
            <w:vAlign w:val="center"/>
            <w:hideMark/>
          </w:tcPr>
          <w:p w14:paraId="2517FFD7" w14:textId="77777777" w:rsidR="00C93F61" w:rsidRPr="00E22069" w:rsidRDefault="00C93F61" w:rsidP="00C93F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sv-SE"/>
              </w:rPr>
            </w:pPr>
            <w:r w:rsidRPr="00E2206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sv-SE"/>
              </w:rPr>
              <w:t xml:space="preserve"> Validation of 14,500 operated knees registered in the Danish Knee Ligament Reconstruction Register: registration completeness and validity of key variables</w:t>
            </w:r>
          </w:p>
        </w:tc>
        <w:tc>
          <w:tcPr>
            <w:tcW w:w="2420" w:type="dxa"/>
            <w:shd w:val="clear" w:color="auto" w:fill="auto"/>
            <w:noWrap/>
            <w:vAlign w:val="center"/>
            <w:hideMark/>
          </w:tcPr>
          <w:p w14:paraId="24BE9254" w14:textId="77777777" w:rsidR="00C93F61" w:rsidRPr="00E22069" w:rsidRDefault="00C93F61" w:rsidP="00C93F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sv-SE"/>
              </w:rPr>
            </w:pPr>
            <w:r w:rsidRPr="00E2206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sv-SE"/>
              </w:rPr>
              <w:t>2013</w:t>
            </w:r>
          </w:p>
        </w:tc>
        <w:tc>
          <w:tcPr>
            <w:tcW w:w="2480" w:type="dxa"/>
            <w:shd w:val="clear" w:color="auto" w:fill="auto"/>
            <w:vAlign w:val="center"/>
            <w:hideMark/>
          </w:tcPr>
          <w:p w14:paraId="3E007556" w14:textId="77777777" w:rsidR="00C93F61" w:rsidRPr="00E22069" w:rsidRDefault="00C93F61" w:rsidP="00C93F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sv-SE"/>
              </w:rPr>
            </w:pPr>
            <w:r w:rsidRPr="00E2206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sv-SE"/>
              </w:rPr>
              <w:t xml:space="preserve">No dichotomous outcome </w:t>
            </w:r>
          </w:p>
        </w:tc>
      </w:tr>
      <w:tr w:rsidR="00C93F61" w:rsidRPr="00E22069" w14:paraId="0ED2A130" w14:textId="77777777" w:rsidTr="00C93F61">
        <w:trPr>
          <w:trHeight w:val="1300"/>
        </w:trPr>
        <w:tc>
          <w:tcPr>
            <w:tcW w:w="2000" w:type="dxa"/>
            <w:shd w:val="clear" w:color="auto" w:fill="auto"/>
            <w:vAlign w:val="center"/>
            <w:hideMark/>
          </w:tcPr>
          <w:p w14:paraId="31220A2D" w14:textId="77777777" w:rsidR="00C93F61" w:rsidRPr="00E22069" w:rsidRDefault="00C93F61" w:rsidP="00C93F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sv-SE"/>
              </w:rPr>
            </w:pPr>
            <w:proofErr w:type="spellStart"/>
            <w:r w:rsidRPr="00E2206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sv-SE"/>
              </w:rPr>
              <w:t>Eysturoy</w:t>
            </w:r>
            <w:proofErr w:type="spellEnd"/>
            <w:r w:rsidRPr="00E2206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sv-SE"/>
              </w:rPr>
              <w:t xml:space="preserve"> et al.</w:t>
            </w:r>
          </w:p>
        </w:tc>
        <w:tc>
          <w:tcPr>
            <w:tcW w:w="3300" w:type="dxa"/>
            <w:shd w:val="clear" w:color="auto" w:fill="auto"/>
            <w:vAlign w:val="center"/>
            <w:hideMark/>
          </w:tcPr>
          <w:p w14:paraId="01ED1B05" w14:textId="77777777" w:rsidR="00C93F61" w:rsidRPr="00E22069" w:rsidRDefault="00C93F61" w:rsidP="00C93F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sv-SE"/>
              </w:rPr>
            </w:pPr>
            <w:r w:rsidRPr="00E2206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sv-SE"/>
              </w:rPr>
              <w:t xml:space="preserve"> The Influence of Graft Fixation Methods on Revision Rates After Primary Anterior Cruciate Ligament Reconstruction</w:t>
            </w:r>
          </w:p>
        </w:tc>
        <w:tc>
          <w:tcPr>
            <w:tcW w:w="2420" w:type="dxa"/>
            <w:shd w:val="clear" w:color="auto" w:fill="auto"/>
            <w:vAlign w:val="center"/>
            <w:hideMark/>
          </w:tcPr>
          <w:p w14:paraId="00324AEA" w14:textId="77777777" w:rsidR="00C93F61" w:rsidRPr="00E22069" w:rsidRDefault="00C93F61" w:rsidP="00C93F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sv-SE"/>
              </w:rPr>
            </w:pPr>
            <w:r w:rsidRPr="00E2206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sv-SE"/>
              </w:rPr>
              <w:t>2018</w:t>
            </w:r>
          </w:p>
        </w:tc>
        <w:tc>
          <w:tcPr>
            <w:tcW w:w="2480" w:type="dxa"/>
            <w:shd w:val="clear" w:color="auto" w:fill="auto"/>
            <w:vAlign w:val="center"/>
            <w:hideMark/>
          </w:tcPr>
          <w:p w14:paraId="24709A0D" w14:textId="1D1EE161" w:rsidR="00C93F61" w:rsidRPr="00E22069" w:rsidRDefault="00C93F61" w:rsidP="00C93F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sv-SE"/>
              </w:rPr>
            </w:pPr>
            <w:r w:rsidRPr="00E2206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sv-SE"/>
              </w:rPr>
              <w:t xml:space="preserve">Statistical analysis not </w:t>
            </w:r>
            <w:r w:rsidR="00E22069" w:rsidRPr="00E2206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sv-SE"/>
              </w:rPr>
              <w:t>enabling</w:t>
            </w:r>
            <w:r w:rsidRPr="00E2206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sv-SE"/>
              </w:rPr>
              <w:t xml:space="preserve"> FI calculation</w:t>
            </w:r>
          </w:p>
        </w:tc>
      </w:tr>
      <w:tr w:rsidR="00C93F61" w:rsidRPr="00E22069" w14:paraId="33AC60FF" w14:textId="77777777" w:rsidTr="00C93F61">
        <w:trPr>
          <w:trHeight w:val="1300"/>
        </w:trPr>
        <w:tc>
          <w:tcPr>
            <w:tcW w:w="2000" w:type="dxa"/>
            <w:shd w:val="clear" w:color="auto" w:fill="auto"/>
            <w:vAlign w:val="center"/>
            <w:hideMark/>
          </w:tcPr>
          <w:p w14:paraId="417E680F" w14:textId="77777777" w:rsidR="00C93F61" w:rsidRPr="00E22069" w:rsidRDefault="00C93F61" w:rsidP="00C93F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sv-SE"/>
              </w:rPr>
            </w:pPr>
            <w:proofErr w:type="spellStart"/>
            <w:r w:rsidRPr="00E2206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sv-SE"/>
              </w:rPr>
              <w:t>Snaebjornsson</w:t>
            </w:r>
            <w:proofErr w:type="spellEnd"/>
            <w:r w:rsidRPr="00E2206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sv-SE"/>
              </w:rPr>
              <w:t xml:space="preserve"> et al.</w:t>
            </w:r>
          </w:p>
        </w:tc>
        <w:tc>
          <w:tcPr>
            <w:tcW w:w="3300" w:type="dxa"/>
            <w:shd w:val="clear" w:color="auto" w:fill="auto"/>
            <w:vAlign w:val="center"/>
            <w:hideMark/>
          </w:tcPr>
          <w:p w14:paraId="296AD514" w14:textId="77777777" w:rsidR="00C93F61" w:rsidRPr="00E22069" w:rsidRDefault="00C93F61" w:rsidP="00C93F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sv-SE"/>
              </w:rPr>
            </w:pPr>
            <w:r w:rsidRPr="00E2206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sv-SE"/>
              </w:rPr>
              <w:t xml:space="preserve"> Graft Diameter as a Predictor for Revision Anterior Cruciate Ligament Reconstruction and KOOS and EQ-5D Values: A Cohort Study </w:t>
            </w:r>
            <w:proofErr w:type="gramStart"/>
            <w:r w:rsidRPr="00E2206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sv-SE"/>
              </w:rPr>
              <w:t>From</w:t>
            </w:r>
            <w:proofErr w:type="gramEnd"/>
            <w:r w:rsidRPr="00E2206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sv-SE"/>
              </w:rPr>
              <w:t xml:space="preserve"> the Swedish National Knee Ligament Register Based on 2240 Patients</w:t>
            </w:r>
          </w:p>
        </w:tc>
        <w:tc>
          <w:tcPr>
            <w:tcW w:w="2420" w:type="dxa"/>
            <w:shd w:val="clear" w:color="auto" w:fill="auto"/>
            <w:vAlign w:val="center"/>
            <w:hideMark/>
          </w:tcPr>
          <w:p w14:paraId="027D1AA4" w14:textId="77777777" w:rsidR="00C93F61" w:rsidRPr="00E22069" w:rsidRDefault="00C93F61" w:rsidP="00C93F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sv-SE"/>
              </w:rPr>
            </w:pPr>
            <w:r w:rsidRPr="00E2206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sv-SE"/>
              </w:rPr>
              <w:t>2017</w:t>
            </w:r>
          </w:p>
        </w:tc>
        <w:tc>
          <w:tcPr>
            <w:tcW w:w="2480" w:type="dxa"/>
            <w:shd w:val="clear" w:color="auto" w:fill="auto"/>
            <w:vAlign w:val="center"/>
            <w:hideMark/>
          </w:tcPr>
          <w:p w14:paraId="1473A5CD" w14:textId="2185812E" w:rsidR="00C93F61" w:rsidRPr="00E22069" w:rsidRDefault="00C93F61" w:rsidP="00C93F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sv-SE"/>
              </w:rPr>
            </w:pPr>
            <w:r w:rsidRPr="00E2206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sv-SE"/>
              </w:rPr>
              <w:t xml:space="preserve">Statistical analysis not </w:t>
            </w:r>
            <w:r w:rsidR="00711DB9" w:rsidRPr="00E2206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sv-SE"/>
              </w:rPr>
              <w:t>enabling</w:t>
            </w:r>
            <w:r w:rsidRPr="00E2206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sv-SE"/>
              </w:rPr>
              <w:t xml:space="preserve"> FI calculation</w:t>
            </w:r>
          </w:p>
        </w:tc>
      </w:tr>
      <w:tr w:rsidR="00C93F61" w:rsidRPr="00E22069" w14:paraId="3D5BAD21" w14:textId="77777777" w:rsidTr="00C93F61">
        <w:trPr>
          <w:trHeight w:val="1300"/>
        </w:trPr>
        <w:tc>
          <w:tcPr>
            <w:tcW w:w="2000" w:type="dxa"/>
            <w:shd w:val="clear" w:color="auto" w:fill="auto"/>
            <w:vAlign w:val="center"/>
            <w:hideMark/>
          </w:tcPr>
          <w:p w14:paraId="7711F7F7" w14:textId="77777777" w:rsidR="00C93F61" w:rsidRPr="00E22069" w:rsidRDefault="00C93F61" w:rsidP="00C93F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sv-SE"/>
              </w:rPr>
            </w:pPr>
            <w:proofErr w:type="spellStart"/>
            <w:r w:rsidRPr="00E2206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sv-SE"/>
              </w:rPr>
              <w:t>Andernord</w:t>
            </w:r>
            <w:proofErr w:type="spellEnd"/>
            <w:r w:rsidRPr="00E2206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sv-SE"/>
              </w:rPr>
              <w:t xml:space="preserve"> et al.</w:t>
            </w:r>
          </w:p>
        </w:tc>
        <w:tc>
          <w:tcPr>
            <w:tcW w:w="3300" w:type="dxa"/>
            <w:shd w:val="clear" w:color="auto" w:fill="auto"/>
            <w:vAlign w:val="center"/>
            <w:hideMark/>
          </w:tcPr>
          <w:p w14:paraId="0762BD10" w14:textId="77777777" w:rsidR="00C93F61" w:rsidRPr="00E22069" w:rsidRDefault="00C93F61" w:rsidP="00C93F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sv-SE"/>
              </w:rPr>
            </w:pPr>
            <w:r w:rsidRPr="00E2206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sv-SE"/>
              </w:rPr>
              <w:t xml:space="preserve"> Patient predictors of early revision surgery after anterior cruciate ligament reconstruction: a cohort study of 16,930 patients with 2-year follow-up</w:t>
            </w:r>
          </w:p>
        </w:tc>
        <w:tc>
          <w:tcPr>
            <w:tcW w:w="2420" w:type="dxa"/>
            <w:shd w:val="clear" w:color="auto" w:fill="auto"/>
            <w:vAlign w:val="center"/>
            <w:hideMark/>
          </w:tcPr>
          <w:p w14:paraId="71FBCBE0" w14:textId="77777777" w:rsidR="00C93F61" w:rsidRPr="00E22069" w:rsidRDefault="00C93F61" w:rsidP="00C93F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sv-SE"/>
              </w:rPr>
            </w:pPr>
            <w:r w:rsidRPr="00E2206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sv-SE"/>
              </w:rPr>
              <w:t>2015</w:t>
            </w:r>
          </w:p>
        </w:tc>
        <w:tc>
          <w:tcPr>
            <w:tcW w:w="2480" w:type="dxa"/>
            <w:shd w:val="clear" w:color="auto" w:fill="auto"/>
            <w:vAlign w:val="center"/>
            <w:hideMark/>
          </w:tcPr>
          <w:p w14:paraId="63C95200" w14:textId="7DE8008B" w:rsidR="00C93F61" w:rsidRPr="00E22069" w:rsidRDefault="00C93F61" w:rsidP="00C93F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sv-SE"/>
              </w:rPr>
            </w:pPr>
            <w:r w:rsidRPr="00E2206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sv-SE"/>
              </w:rPr>
              <w:t xml:space="preserve">Statistical analysis not </w:t>
            </w:r>
            <w:r w:rsidR="00711DB9" w:rsidRPr="00E2206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sv-SE"/>
              </w:rPr>
              <w:t>enabling</w:t>
            </w:r>
            <w:r w:rsidRPr="00E2206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sv-SE"/>
              </w:rPr>
              <w:t xml:space="preserve"> FI calculation</w:t>
            </w:r>
          </w:p>
        </w:tc>
      </w:tr>
      <w:tr w:rsidR="00C93F61" w:rsidRPr="00E22069" w14:paraId="4871E0AB" w14:textId="77777777" w:rsidTr="00C93F61">
        <w:trPr>
          <w:trHeight w:val="1300"/>
        </w:trPr>
        <w:tc>
          <w:tcPr>
            <w:tcW w:w="2000" w:type="dxa"/>
            <w:shd w:val="clear" w:color="auto" w:fill="auto"/>
            <w:vAlign w:val="center"/>
            <w:hideMark/>
          </w:tcPr>
          <w:p w14:paraId="47F9C8F4" w14:textId="77777777" w:rsidR="00C93F61" w:rsidRPr="00E22069" w:rsidRDefault="00C93F61" w:rsidP="00C93F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sv-SE"/>
              </w:rPr>
            </w:pPr>
            <w:proofErr w:type="spellStart"/>
            <w:r w:rsidRPr="00E2206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sv-SE"/>
              </w:rPr>
              <w:lastRenderedPageBreak/>
              <w:t>Bjornsson</w:t>
            </w:r>
            <w:proofErr w:type="spellEnd"/>
            <w:r w:rsidRPr="00E2206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sv-SE"/>
              </w:rPr>
              <w:t xml:space="preserve"> et al.</w:t>
            </w:r>
          </w:p>
        </w:tc>
        <w:tc>
          <w:tcPr>
            <w:tcW w:w="3300" w:type="dxa"/>
            <w:shd w:val="clear" w:color="auto" w:fill="auto"/>
            <w:vAlign w:val="center"/>
            <w:hideMark/>
          </w:tcPr>
          <w:p w14:paraId="549F0CC9" w14:textId="77777777" w:rsidR="00C93F61" w:rsidRPr="00E22069" w:rsidRDefault="00C93F61" w:rsidP="00C93F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sv-SE"/>
              </w:rPr>
            </w:pPr>
            <w:r w:rsidRPr="00E2206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sv-SE"/>
              </w:rPr>
              <w:t xml:space="preserve"> No difference in revision rates between single- and double-bundle anterior cruciate ligament reconstruction: a comparative study of 16,791 patients from the Swedish national knee ligament register</w:t>
            </w:r>
          </w:p>
        </w:tc>
        <w:tc>
          <w:tcPr>
            <w:tcW w:w="2420" w:type="dxa"/>
            <w:shd w:val="clear" w:color="auto" w:fill="auto"/>
            <w:vAlign w:val="center"/>
            <w:hideMark/>
          </w:tcPr>
          <w:p w14:paraId="74BA542E" w14:textId="77777777" w:rsidR="00C93F61" w:rsidRPr="00E22069" w:rsidRDefault="00C93F61" w:rsidP="00C93F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sv-SE"/>
              </w:rPr>
            </w:pPr>
            <w:r w:rsidRPr="00E2206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sv-SE"/>
              </w:rPr>
              <w:t>2015</w:t>
            </w:r>
          </w:p>
        </w:tc>
        <w:tc>
          <w:tcPr>
            <w:tcW w:w="2480" w:type="dxa"/>
            <w:shd w:val="clear" w:color="auto" w:fill="auto"/>
            <w:vAlign w:val="center"/>
            <w:hideMark/>
          </w:tcPr>
          <w:p w14:paraId="2B3C6EC2" w14:textId="77777777" w:rsidR="00C93F61" w:rsidRPr="00E22069" w:rsidRDefault="00C93F61" w:rsidP="00C93F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sv-SE"/>
              </w:rPr>
            </w:pPr>
            <w:r w:rsidRPr="00E2206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sv-SE"/>
              </w:rPr>
              <w:t>No statistical significance</w:t>
            </w:r>
          </w:p>
        </w:tc>
      </w:tr>
    </w:tbl>
    <w:p w14:paraId="53C4D1F1" w14:textId="77777777" w:rsidR="00CC76AE" w:rsidRDefault="00CC76AE"/>
    <w:sectPr w:rsidR="00CC76AE" w:rsidSect="00C93F6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3F61"/>
    <w:rsid w:val="003D1CE0"/>
    <w:rsid w:val="006F2843"/>
    <w:rsid w:val="00711DB9"/>
    <w:rsid w:val="00C93F61"/>
    <w:rsid w:val="00CC76AE"/>
    <w:rsid w:val="00E22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7520EC"/>
  <w15:chartTrackingRefBased/>
  <w15:docId w15:val="{9FF2BCE3-6C9A-4B2D-9F09-0BF3CA506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256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447</Words>
  <Characters>2375</Characters>
  <Application>Microsoft Office Word</Application>
  <DocSecurity>0</DocSecurity>
  <Lines>19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Eleonor Svantesson</dc:creator>
  <cp:keywords/>
  <dc:description/>
  <cp:lastModifiedBy>Eleonor Svantesson</cp:lastModifiedBy>
  <cp:revision>5</cp:revision>
  <dcterms:created xsi:type="dcterms:W3CDTF">2019-01-12T15:22:00Z</dcterms:created>
  <dcterms:modified xsi:type="dcterms:W3CDTF">2019-03-17T17:55:00Z</dcterms:modified>
</cp:coreProperties>
</file>