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AB5BB3" w14:textId="6BAE2BCB" w:rsidR="00185FBB" w:rsidRPr="00895E0F" w:rsidRDefault="00CE6FF9" w:rsidP="00895E0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95E0F">
        <w:rPr>
          <w:rFonts w:ascii="Times New Roman" w:hAnsi="Times New Roman" w:cs="Times New Roman"/>
          <w:b/>
        </w:rPr>
        <w:t>Annex</w:t>
      </w:r>
      <w:r w:rsidR="00895E0F" w:rsidRPr="00895E0F">
        <w:rPr>
          <w:rFonts w:ascii="Times New Roman" w:hAnsi="Times New Roman" w:cs="Times New Roman"/>
          <w:b/>
        </w:rPr>
        <w:t xml:space="preserve">: </w:t>
      </w:r>
      <w:r w:rsidRPr="00895E0F">
        <w:rPr>
          <w:rFonts w:ascii="Times New Roman" w:hAnsi="Times New Roman" w:cs="Times New Roman"/>
          <w:b/>
          <w:lang w:val="en-US"/>
        </w:rPr>
        <w:t xml:space="preserve">Regulatory framework on </w:t>
      </w:r>
      <w:r w:rsidR="00185FBB" w:rsidRPr="00895E0F">
        <w:rPr>
          <w:rFonts w:ascii="Times New Roman" w:hAnsi="Times New Roman" w:cs="Times New Roman"/>
          <w:b/>
          <w:lang w:val="en-US"/>
        </w:rPr>
        <w:t>market unity</w:t>
      </w:r>
      <w:r w:rsidR="00895E0F" w:rsidRPr="00895E0F">
        <w:rPr>
          <w:rFonts w:ascii="Times New Roman" w:hAnsi="Times New Roman" w:cs="Times New Roman"/>
          <w:b/>
          <w:lang w:val="en-US"/>
        </w:rPr>
        <w:t xml:space="preserve"> in Spain</w:t>
      </w:r>
    </w:p>
    <w:p w14:paraId="33E9D2DF" w14:textId="77777777" w:rsidR="00185FBB" w:rsidRDefault="00185FBB" w:rsidP="00185F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C4B7D9E" w14:textId="77777777" w:rsidR="00185FBB" w:rsidRDefault="00185FBB" w:rsidP="00185FBB">
      <w:pPr>
        <w:jc w:val="both"/>
        <w:rPr>
          <w:rFonts w:ascii="Times New Roman" w:hAnsi="Times New Roman" w:cs="Times New Roman"/>
          <w:sz w:val="20"/>
          <w:szCs w:val="20"/>
        </w:rPr>
      </w:pPr>
      <w:r w:rsidRPr="00F34745">
        <w:rPr>
          <w:rFonts w:ascii="Times New Roman" w:hAnsi="Times New Roman" w:cs="Times New Roman"/>
          <w:sz w:val="20"/>
          <w:szCs w:val="20"/>
        </w:rPr>
        <w:t xml:space="preserve">In this section we provide a </w:t>
      </w:r>
      <w:r>
        <w:rPr>
          <w:rFonts w:ascii="Times New Roman" w:hAnsi="Times New Roman" w:cs="Times New Roman"/>
          <w:sz w:val="20"/>
          <w:szCs w:val="20"/>
        </w:rPr>
        <w:t xml:space="preserve">brief description of the LGUM and the </w:t>
      </w:r>
      <w:r w:rsidRPr="00F34745">
        <w:rPr>
          <w:rFonts w:ascii="Times New Roman" w:hAnsi="Times New Roman" w:cs="Times New Roman"/>
          <w:sz w:val="20"/>
          <w:szCs w:val="20"/>
        </w:rPr>
        <w:t>data that help us draw a picture of the degree of product market fragmentation in Spain</w:t>
      </w:r>
      <w:r>
        <w:rPr>
          <w:rFonts w:ascii="Times New Roman" w:hAnsi="Times New Roman" w:cs="Times New Roman"/>
          <w:sz w:val="20"/>
          <w:szCs w:val="20"/>
        </w:rPr>
        <w:t xml:space="preserve"> as published by the CEOE (2012)</w:t>
      </w:r>
      <w:r w:rsidRPr="00F34745">
        <w:rPr>
          <w:rFonts w:ascii="Times New Roman" w:hAnsi="Times New Roman" w:cs="Times New Roman"/>
          <w:sz w:val="20"/>
          <w:szCs w:val="20"/>
        </w:rPr>
        <w:t>.</w:t>
      </w:r>
    </w:p>
    <w:p w14:paraId="671EF09C" w14:textId="77777777" w:rsidR="00185FBB" w:rsidRPr="00F34745" w:rsidRDefault="00185FBB" w:rsidP="00185FBB">
      <w:pPr>
        <w:pStyle w:val="Prrafodelista"/>
        <w:numPr>
          <w:ilvl w:val="0"/>
          <w:numId w:val="1"/>
        </w:numPr>
        <w:rPr>
          <w:b/>
          <w:sz w:val="20"/>
          <w:lang w:val="en-US"/>
        </w:rPr>
      </w:pPr>
      <w:r w:rsidRPr="00F34745">
        <w:rPr>
          <w:b/>
          <w:sz w:val="20"/>
          <w:lang w:val="en-US"/>
        </w:rPr>
        <w:t>The Market Unity Guarantee Law</w:t>
      </w:r>
      <w:r>
        <w:rPr>
          <w:b/>
          <w:sz w:val="20"/>
          <w:lang w:val="en-US"/>
        </w:rPr>
        <w:t xml:space="preserve"> (LGUM)</w:t>
      </w:r>
    </w:p>
    <w:p w14:paraId="29018530" w14:textId="5A12A784" w:rsidR="00185FBB" w:rsidRPr="00F34745" w:rsidRDefault="00185FBB" w:rsidP="00185FBB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0"/>
          <w:szCs w:val="20"/>
          <w:lang w:eastAsia="nl-BE"/>
        </w:rPr>
      </w:pPr>
      <w:r w:rsidRPr="00F34745">
        <w:rPr>
          <w:rFonts w:ascii="Times New Roman" w:hAnsi="Times New Roman" w:cs="Times New Roman"/>
          <w:sz w:val="20"/>
          <w:szCs w:val="20"/>
          <w:lang w:eastAsia="nl-BE"/>
        </w:rPr>
        <w:t xml:space="preserve">Businesses in Spain continue to be subject to many regional and local government regulations. </w:t>
      </w:r>
      <w:proofErr w:type="gramStart"/>
      <w:r w:rsidRPr="00F34745">
        <w:rPr>
          <w:rFonts w:ascii="Times New Roman" w:hAnsi="Times New Roman" w:cs="Times New Roman"/>
          <w:sz w:val="20"/>
          <w:szCs w:val="20"/>
          <w:lang w:eastAsia="nl-BE"/>
        </w:rPr>
        <w:t>In order to</w:t>
      </w:r>
      <w:proofErr w:type="gramEnd"/>
      <w:r w:rsidRPr="00F34745">
        <w:rPr>
          <w:rFonts w:ascii="Times New Roman" w:hAnsi="Times New Roman" w:cs="Times New Roman"/>
          <w:sz w:val="20"/>
          <w:szCs w:val="20"/>
          <w:lang w:eastAsia="nl-BE"/>
        </w:rPr>
        <w:t xml:space="preserve"> avoid distortions, </w:t>
      </w:r>
      <w:bookmarkStart w:id="0" w:name="_Hlk14168895"/>
      <w:r w:rsidRPr="00F34745">
        <w:rPr>
          <w:rFonts w:ascii="Times New Roman" w:hAnsi="Times New Roman" w:cs="Times New Roman"/>
          <w:sz w:val="20"/>
          <w:szCs w:val="20"/>
          <w:lang w:eastAsia="nl-BE"/>
        </w:rPr>
        <w:t>the Market Unity Guarantee Law</w:t>
      </w:r>
      <w:r>
        <w:rPr>
          <w:rFonts w:ascii="Times New Roman" w:hAnsi="Times New Roman" w:cs="Times New Roman"/>
          <w:sz w:val="20"/>
          <w:szCs w:val="20"/>
          <w:lang w:eastAsia="nl-BE"/>
        </w:rPr>
        <w:t xml:space="preserve"> (LGUM)</w:t>
      </w:r>
      <w:r w:rsidRPr="00F34745">
        <w:rPr>
          <w:rFonts w:ascii="Times New Roman" w:hAnsi="Times New Roman" w:cs="Times New Roman"/>
          <w:sz w:val="20"/>
          <w:szCs w:val="20"/>
          <w:lang w:eastAsia="nl-BE"/>
        </w:rPr>
        <w:t xml:space="preserve"> </w:t>
      </w:r>
      <w:bookmarkEnd w:id="0"/>
      <w:r w:rsidRPr="00F34745">
        <w:rPr>
          <w:rFonts w:ascii="Times New Roman" w:hAnsi="Times New Roman" w:cs="Times New Roman"/>
          <w:sz w:val="20"/>
          <w:szCs w:val="20"/>
          <w:lang w:eastAsia="nl-BE"/>
        </w:rPr>
        <w:t xml:space="preserve">tries to ensure that any product or service which complies with one region’s legislation can be traded in other regions of Spain, </w:t>
      </w:r>
      <w:r>
        <w:rPr>
          <w:rFonts w:ascii="Times New Roman" w:hAnsi="Times New Roman" w:cs="Times New Roman"/>
          <w:sz w:val="20"/>
          <w:szCs w:val="20"/>
          <w:lang w:eastAsia="nl-BE"/>
        </w:rPr>
        <w:t xml:space="preserve">on </w:t>
      </w:r>
      <w:r w:rsidRPr="00F34745">
        <w:rPr>
          <w:rFonts w:ascii="Times New Roman" w:hAnsi="Times New Roman" w:cs="Times New Roman"/>
          <w:sz w:val="20"/>
          <w:szCs w:val="20"/>
          <w:lang w:eastAsia="nl-BE"/>
        </w:rPr>
        <w:t>the principle of</w:t>
      </w:r>
      <w:r>
        <w:rPr>
          <w:rFonts w:ascii="Times New Roman" w:hAnsi="Times New Roman" w:cs="Times New Roman"/>
          <w:sz w:val="20"/>
          <w:szCs w:val="20"/>
          <w:lang w:eastAsia="nl-BE"/>
        </w:rPr>
        <w:t xml:space="preserve"> the</w:t>
      </w:r>
      <w:r w:rsidRPr="00F34745">
        <w:rPr>
          <w:rFonts w:ascii="Times New Roman" w:hAnsi="Times New Roman" w:cs="Times New Roman"/>
          <w:sz w:val="20"/>
          <w:szCs w:val="20"/>
          <w:lang w:eastAsia="nl-BE"/>
        </w:rPr>
        <w:t xml:space="preserve"> </w:t>
      </w:r>
      <w:r w:rsidRPr="00DD2EC8">
        <w:rPr>
          <w:rFonts w:ascii="Times New Roman" w:hAnsi="Times New Roman" w:cs="Times New Roman"/>
          <w:i/>
          <w:iCs/>
          <w:sz w:val="20"/>
          <w:szCs w:val="20"/>
          <w:lang w:eastAsia="nl-BE"/>
        </w:rPr>
        <w:t>single licence</w:t>
      </w:r>
      <w:r w:rsidRPr="00F34745">
        <w:rPr>
          <w:rFonts w:ascii="Times New Roman" w:hAnsi="Times New Roman" w:cs="Times New Roman"/>
          <w:sz w:val="20"/>
          <w:szCs w:val="20"/>
          <w:lang w:eastAsia="nl-BE"/>
        </w:rPr>
        <w:t xml:space="preserve">. </w:t>
      </w:r>
      <w:r w:rsidRPr="00F34745">
        <w:rPr>
          <w:rFonts w:ascii="Times New Roman" w:hAnsi="Times New Roman" w:cs="Times New Roman"/>
          <w:sz w:val="20"/>
          <w:szCs w:val="20"/>
        </w:rPr>
        <w:t xml:space="preserve">The </w:t>
      </w:r>
      <w:r>
        <w:rPr>
          <w:rFonts w:ascii="Times New Roman" w:hAnsi="Times New Roman" w:cs="Times New Roman"/>
          <w:sz w:val="20"/>
          <w:szCs w:val="20"/>
        </w:rPr>
        <w:t>l</w:t>
      </w:r>
      <w:r w:rsidRPr="00F34745">
        <w:rPr>
          <w:rFonts w:ascii="Times New Roman" w:hAnsi="Times New Roman" w:cs="Times New Roman"/>
          <w:sz w:val="20"/>
          <w:szCs w:val="20"/>
        </w:rPr>
        <w:t xml:space="preserve">aw is </w:t>
      </w:r>
      <w:r>
        <w:rPr>
          <w:rFonts w:ascii="Times New Roman" w:hAnsi="Times New Roman" w:cs="Times New Roman"/>
          <w:sz w:val="20"/>
          <w:szCs w:val="20"/>
        </w:rPr>
        <w:t xml:space="preserve">designed </w:t>
      </w:r>
      <w:r w:rsidRPr="00F34745">
        <w:rPr>
          <w:rFonts w:ascii="Times New Roman" w:hAnsi="Times New Roman" w:cs="Times New Roman"/>
          <w:sz w:val="20"/>
          <w:szCs w:val="20"/>
        </w:rPr>
        <w:t xml:space="preserve">to </w:t>
      </w:r>
      <w:r w:rsidR="00D6022A">
        <w:rPr>
          <w:rFonts w:ascii="Times New Roman" w:hAnsi="Times New Roman" w:cs="Times New Roman"/>
          <w:sz w:val="20"/>
          <w:szCs w:val="20"/>
        </w:rPr>
        <w:t>apply broadly</w:t>
      </w:r>
      <w:r w:rsidRPr="00F34745">
        <w:rPr>
          <w:rFonts w:ascii="Times New Roman" w:hAnsi="Times New Roman" w:cs="Times New Roman"/>
          <w:sz w:val="20"/>
          <w:szCs w:val="20"/>
        </w:rPr>
        <w:t xml:space="preserve"> to all economic activities and to </w:t>
      </w:r>
      <w:r w:rsidR="00D77055">
        <w:rPr>
          <w:rFonts w:ascii="Times New Roman" w:hAnsi="Times New Roman" w:cs="Times New Roman"/>
          <w:sz w:val="20"/>
          <w:szCs w:val="20"/>
        </w:rPr>
        <w:t xml:space="preserve">the </w:t>
      </w:r>
      <w:r w:rsidRPr="00F34745">
        <w:rPr>
          <w:rFonts w:ascii="Times New Roman" w:hAnsi="Times New Roman" w:cs="Times New Roman"/>
          <w:sz w:val="20"/>
          <w:szCs w:val="20"/>
        </w:rPr>
        <w:t>movement of both services and goods. It applies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34745">
        <w:rPr>
          <w:rFonts w:ascii="Times New Roman" w:hAnsi="Times New Roman" w:cs="Times New Roman"/>
          <w:sz w:val="20"/>
          <w:szCs w:val="20"/>
        </w:rPr>
        <w:t>to a wide spectrum of activities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34745">
        <w:rPr>
          <w:rFonts w:ascii="Times New Roman" w:hAnsi="Times New Roman" w:cs="Times New Roman"/>
          <w:sz w:val="20"/>
          <w:szCs w:val="20"/>
        </w:rPr>
        <w:t xml:space="preserve"> including transport, electronic communication services, financial services, healthcare and pharmaceutical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F34745">
        <w:rPr>
          <w:rFonts w:ascii="Times New Roman" w:hAnsi="Times New Roman" w:cs="Times New Roman"/>
          <w:sz w:val="20"/>
          <w:szCs w:val="20"/>
        </w:rPr>
        <w:t xml:space="preserve"> services, audio-visual services, social services in the areas of housing, childcare, private security services, work agencies and gambling, and tourism. </w:t>
      </w:r>
    </w:p>
    <w:p w14:paraId="3A5F4739" w14:textId="6219CB15" w:rsidR="00185FBB" w:rsidRPr="00F34745" w:rsidRDefault="00185FBB" w:rsidP="00185FBB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0"/>
          <w:szCs w:val="20"/>
          <w:lang w:eastAsia="nl-BE"/>
        </w:rPr>
      </w:pPr>
      <w:r w:rsidRPr="00F34745">
        <w:rPr>
          <w:rFonts w:ascii="Times New Roman" w:hAnsi="Times New Roman" w:cs="Times New Roman"/>
          <w:sz w:val="20"/>
          <w:szCs w:val="20"/>
        </w:rPr>
        <w:t xml:space="preserve">While </w:t>
      </w:r>
      <w:r>
        <w:rPr>
          <w:rFonts w:ascii="Times New Roman" w:hAnsi="Times New Roman" w:cs="Times New Roman"/>
          <w:sz w:val="20"/>
          <w:szCs w:val="20"/>
        </w:rPr>
        <w:t xml:space="preserve">preserving the respective </w:t>
      </w:r>
      <w:r w:rsidRPr="00F34745">
        <w:rPr>
          <w:rFonts w:ascii="Times New Roman" w:hAnsi="Times New Roman" w:cs="Times New Roman"/>
          <w:sz w:val="20"/>
          <w:szCs w:val="20"/>
        </w:rPr>
        <w:t xml:space="preserve">competencies </w:t>
      </w:r>
      <w:r>
        <w:rPr>
          <w:rFonts w:ascii="Times New Roman" w:hAnsi="Times New Roman" w:cs="Times New Roman"/>
          <w:sz w:val="20"/>
          <w:szCs w:val="20"/>
        </w:rPr>
        <w:t xml:space="preserve">of </w:t>
      </w:r>
      <w:r w:rsidRPr="00F34745">
        <w:rPr>
          <w:rFonts w:ascii="Times New Roman" w:hAnsi="Times New Roman" w:cs="Times New Roman"/>
          <w:sz w:val="20"/>
          <w:szCs w:val="20"/>
        </w:rPr>
        <w:t>Sp</w:t>
      </w:r>
      <w:r>
        <w:rPr>
          <w:rFonts w:ascii="Times New Roman" w:hAnsi="Times New Roman" w:cs="Times New Roman"/>
          <w:sz w:val="20"/>
          <w:szCs w:val="20"/>
        </w:rPr>
        <w:t>ain’s</w:t>
      </w:r>
      <w:r w:rsidRPr="00F34745">
        <w:rPr>
          <w:rFonts w:ascii="Times New Roman" w:hAnsi="Times New Roman" w:cs="Times New Roman"/>
          <w:sz w:val="20"/>
          <w:szCs w:val="20"/>
        </w:rPr>
        <w:t xml:space="preserve"> regions and local entities, the </w:t>
      </w:r>
      <w:r>
        <w:rPr>
          <w:rFonts w:ascii="Times New Roman" w:hAnsi="Times New Roman" w:cs="Times New Roman"/>
          <w:sz w:val="20"/>
          <w:szCs w:val="20"/>
        </w:rPr>
        <w:t>l</w:t>
      </w:r>
      <w:r w:rsidRPr="00F34745">
        <w:rPr>
          <w:rFonts w:ascii="Times New Roman" w:hAnsi="Times New Roman" w:cs="Times New Roman"/>
          <w:sz w:val="20"/>
          <w:szCs w:val="20"/>
        </w:rPr>
        <w:t>aw aims to create a more favourable environment</w:t>
      </w:r>
      <w:r w:rsidR="00D77055">
        <w:rPr>
          <w:rFonts w:ascii="Times New Roman" w:hAnsi="Times New Roman" w:cs="Times New Roman"/>
          <w:sz w:val="20"/>
          <w:szCs w:val="20"/>
        </w:rPr>
        <w:t xml:space="preserve"> for businesses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34745">
        <w:rPr>
          <w:rFonts w:ascii="Times New Roman" w:hAnsi="Times New Roman" w:cs="Times New Roman"/>
          <w:sz w:val="20"/>
          <w:szCs w:val="20"/>
        </w:rPr>
        <w:t xml:space="preserve"> with higher levels of competition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34745">
        <w:rPr>
          <w:rFonts w:ascii="Times New Roman" w:hAnsi="Times New Roman" w:cs="Times New Roman"/>
          <w:sz w:val="20"/>
          <w:szCs w:val="20"/>
        </w:rPr>
        <w:t xml:space="preserve"> investment, turnover, employment and productivity, and </w:t>
      </w:r>
      <w:r>
        <w:rPr>
          <w:rFonts w:ascii="Times New Roman" w:hAnsi="Times New Roman" w:cs="Times New Roman"/>
          <w:sz w:val="20"/>
          <w:szCs w:val="20"/>
        </w:rPr>
        <w:t xml:space="preserve">greater benefit </w:t>
      </w:r>
      <w:r w:rsidRPr="00F34745">
        <w:rPr>
          <w:rFonts w:ascii="Times New Roman" w:hAnsi="Times New Roman" w:cs="Times New Roman"/>
          <w:sz w:val="20"/>
          <w:szCs w:val="20"/>
        </w:rPr>
        <w:t xml:space="preserve">to consumers, </w:t>
      </w:r>
      <w:r w:rsidR="00D77055">
        <w:rPr>
          <w:rFonts w:ascii="Times New Roman" w:hAnsi="Times New Roman" w:cs="Times New Roman"/>
          <w:sz w:val="20"/>
          <w:szCs w:val="20"/>
        </w:rPr>
        <w:t>granting</w:t>
      </w:r>
      <w:r w:rsidR="00D77055" w:rsidRPr="00F34745">
        <w:rPr>
          <w:rFonts w:ascii="Times New Roman" w:hAnsi="Times New Roman" w:cs="Times New Roman"/>
          <w:sz w:val="20"/>
          <w:szCs w:val="20"/>
        </w:rPr>
        <w:t xml:space="preserve"> </w:t>
      </w:r>
      <w:r w:rsidRPr="00F34745">
        <w:rPr>
          <w:rFonts w:ascii="Times New Roman" w:hAnsi="Times New Roman" w:cs="Times New Roman"/>
          <w:sz w:val="20"/>
          <w:szCs w:val="20"/>
        </w:rPr>
        <w:t xml:space="preserve">access to better quality products and services. </w:t>
      </w:r>
    </w:p>
    <w:p w14:paraId="743C25CD" w14:textId="1290DDB7" w:rsidR="00185FBB" w:rsidRPr="00F34745" w:rsidRDefault="00185FBB" w:rsidP="00185FBB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</w:t>
      </w:r>
      <w:r w:rsidRPr="00F34745">
        <w:rPr>
          <w:rFonts w:ascii="Times New Roman" w:hAnsi="Times New Roman" w:cs="Times New Roman"/>
          <w:sz w:val="20"/>
          <w:szCs w:val="20"/>
        </w:rPr>
        <w:t xml:space="preserve">he </w:t>
      </w:r>
      <w:r>
        <w:rPr>
          <w:rFonts w:ascii="Times New Roman" w:hAnsi="Times New Roman" w:cs="Times New Roman"/>
          <w:sz w:val="20"/>
          <w:szCs w:val="20"/>
        </w:rPr>
        <w:t xml:space="preserve">law suffered a setback </w:t>
      </w:r>
      <w:r w:rsidRPr="00F34745">
        <w:rPr>
          <w:rFonts w:ascii="Times New Roman" w:hAnsi="Times New Roman" w:cs="Times New Roman"/>
          <w:sz w:val="20"/>
          <w:szCs w:val="20"/>
        </w:rPr>
        <w:t>in June 2017</w:t>
      </w:r>
      <w:r>
        <w:rPr>
          <w:rFonts w:ascii="Times New Roman" w:hAnsi="Times New Roman" w:cs="Times New Roman"/>
          <w:sz w:val="20"/>
          <w:szCs w:val="20"/>
        </w:rPr>
        <w:t>, when</w:t>
      </w:r>
      <w:r w:rsidRPr="00784079">
        <w:rPr>
          <w:rFonts w:ascii="Times New Roman" w:hAnsi="Times New Roman" w:cs="Times New Roman"/>
          <w:sz w:val="20"/>
          <w:szCs w:val="20"/>
        </w:rPr>
        <w:t xml:space="preserve"> </w:t>
      </w:r>
      <w:r w:rsidRPr="00F34745">
        <w:rPr>
          <w:rFonts w:ascii="Times New Roman" w:hAnsi="Times New Roman" w:cs="Times New Roman"/>
          <w:sz w:val="20"/>
          <w:szCs w:val="20"/>
        </w:rPr>
        <w:t xml:space="preserve">the Spanish Constitutional </w:t>
      </w:r>
      <w:r w:rsidR="00D77055">
        <w:rPr>
          <w:rFonts w:ascii="Times New Roman" w:hAnsi="Times New Roman" w:cs="Times New Roman"/>
          <w:sz w:val="20"/>
          <w:szCs w:val="20"/>
        </w:rPr>
        <w:t>C</w:t>
      </w:r>
      <w:r w:rsidRPr="00F34745">
        <w:rPr>
          <w:rFonts w:ascii="Times New Roman" w:hAnsi="Times New Roman" w:cs="Times New Roman"/>
          <w:sz w:val="20"/>
          <w:szCs w:val="20"/>
        </w:rPr>
        <w:t xml:space="preserve">ourt </w:t>
      </w:r>
      <w:r w:rsidRPr="00F34745">
        <w:rPr>
          <w:rStyle w:val="Textoennegrita"/>
          <w:rFonts w:ascii="Times New Roman" w:hAnsi="Times New Roman" w:cs="Times New Roman"/>
          <w:b w:val="0"/>
          <w:sz w:val="20"/>
          <w:szCs w:val="20"/>
        </w:rPr>
        <w:t>declar</w:t>
      </w:r>
      <w:r>
        <w:rPr>
          <w:rStyle w:val="Textoennegrita"/>
          <w:rFonts w:ascii="Times New Roman" w:hAnsi="Times New Roman" w:cs="Times New Roman"/>
          <w:b w:val="0"/>
          <w:sz w:val="20"/>
          <w:szCs w:val="20"/>
        </w:rPr>
        <w:t>ed</w:t>
      </w:r>
      <w:r w:rsidRPr="00F34745">
        <w:rPr>
          <w:rStyle w:val="Textoennegrita"/>
          <w:rFonts w:ascii="Times New Roman" w:hAnsi="Times New Roman" w:cs="Times New Roman"/>
          <w:b w:val="0"/>
          <w:sz w:val="20"/>
          <w:szCs w:val="20"/>
        </w:rPr>
        <w:t xml:space="preserve"> several </w:t>
      </w:r>
      <w:r>
        <w:rPr>
          <w:rStyle w:val="Textoennegrita"/>
          <w:rFonts w:ascii="Times New Roman" w:hAnsi="Times New Roman" w:cs="Times New Roman"/>
          <w:b w:val="0"/>
          <w:sz w:val="20"/>
          <w:szCs w:val="20"/>
        </w:rPr>
        <w:t xml:space="preserve">of its </w:t>
      </w:r>
      <w:r w:rsidRPr="00F34745">
        <w:rPr>
          <w:rStyle w:val="Textoennegrita"/>
          <w:rFonts w:ascii="Times New Roman" w:hAnsi="Times New Roman" w:cs="Times New Roman"/>
          <w:b w:val="0"/>
          <w:sz w:val="20"/>
          <w:szCs w:val="20"/>
        </w:rPr>
        <w:t>provisions on the Guarantee of Market Unity</w:t>
      </w:r>
      <w:r w:rsidR="00D77055">
        <w:rPr>
          <w:rStyle w:val="Textoennegrita"/>
          <w:rFonts w:ascii="Times New Roman" w:hAnsi="Times New Roman" w:cs="Times New Roman"/>
          <w:b w:val="0"/>
          <w:sz w:val="20"/>
          <w:szCs w:val="20"/>
        </w:rPr>
        <w:t xml:space="preserve"> as</w:t>
      </w:r>
      <w:r w:rsidRPr="00F34745">
        <w:rPr>
          <w:rStyle w:val="Textoennegrita"/>
          <w:rFonts w:ascii="Times New Roman" w:hAnsi="Times New Roman" w:cs="Times New Roman"/>
          <w:b w:val="0"/>
          <w:sz w:val="20"/>
          <w:szCs w:val="20"/>
        </w:rPr>
        <w:t xml:space="preserve"> unconstitutional. These are articles 18.2 b), c) and e), 19, 20 and the 10</w:t>
      </w:r>
      <w:r w:rsidRPr="00F34745">
        <w:rPr>
          <w:rStyle w:val="Textoennegrita"/>
          <w:rFonts w:ascii="Times New Roman" w:hAnsi="Times New Roman" w:cs="Times New Roman"/>
          <w:b w:val="0"/>
          <w:sz w:val="20"/>
          <w:szCs w:val="20"/>
          <w:vertAlign w:val="superscript"/>
        </w:rPr>
        <w:t>th</w:t>
      </w:r>
      <w:r w:rsidRPr="00F34745">
        <w:rPr>
          <w:rStyle w:val="Textoennegrita"/>
          <w:rFonts w:ascii="Times New Roman" w:hAnsi="Times New Roman" w:cs="Times New Roman"/>
          <w:b w:val="0"/>
          <w:sz w:val="20"/>
          <w:szCs w:val="20"/>
        </w:rPr>
        <w:t xml:space="preserve"> additional provision, related to the principle of “single license”. Under this</w:t>
      </w:r>
      <w:r w:rsidRPr="00F34745">
        <w:rPr>
          <w:rFonts w:ascii="Times New Roman" w:hAnsi="Times New Roman" w:cs="Times New Roman"/>
          <w:sz w:val="20"/>
          <w:szCs w:val="20"/>
        </w:rPr>
        <w:t xml:space="preserve"> principle, economic operators can provide their services and commercialise their products outside the</w:t>
      </w:r>
      <w:r>
        <w:rPr>
          <w:rFonts w:ascii="Times New Roman" w:hAnsi="Times New Roman" w:cs="Times New Roman"/>
          <w:sz w:val="20"/>
          <w:szCs w:val="20"/>
        </w:rPr>
        <w:t>ir</w:t>
      </w:r>
      <w:r w:rsidRPr="00F34745">
        <w:rPr>
          <w:rFonts w:ascii="Times New Roman" w:hAnsi="Times New Roman" w:cs="Times New Roman"/>
          <w:sz w:val="20"/>
          <w:szCs w:val="20"/>
        </w:rPr>
        <w:t xml:space="preserve"> territories of origin </w:t>
      </w:r>
      <w:r>
        <w:rPr>
          <w:rFonts w:ascii="Times New Roman" w:hAnsi="Times New Roman" w:cs="Times New Roman"/>
          <w:sz w:val="20"/>
          <w:szCs w:val="20"/>
        </w:rPr>
        <w:t xml:space="preserve">if </w:t>
      </w:r>
      <w:r w:rsidRPr="00F34745">
        <w:rPr>
          <w:rFonts w:ascii="Times New Roman" w:hAnsi="Times New Roman" w:cs="Times New Roman"/>
          <w:sz w:val="20"/>
          <w:szCs w:val="20"/>
        </w:rPr>
        <w:t xml:space="preserve">the </w:t>
      </w:r>
      <w:r>
        <w:rPr>
          <w:rFonts w:ascii="Times New Roman" w:hAnsi="Times New Roman" w:cs="Times New Roman"/>
          <w:sz w:val="20"/>
          <w:szCs w:val="20"/>
        </w:rPr>
        <w:t xml:space="preserve">destination </w:t>
      </w:r>
      <w:r w:rsidRPr="00F34745">
        <w:rPr>
          <w:rFonts w:ascii="Times New Roman" w:hAnsi="Times New Roman" w:cs="Times New Roman"/>
          <w:sz w:val="20"/>
          <w:szCs w:val="20"/>
        </w:rPr>
        <w:t>territory c</w:t>
      </w:r>
      <w:r>
        <w:rPr>
          <w:rFonts w:ascii="Times New Roman" w:hAnsi="Times New Roman" w:cs="Times New Roman"/>
          <w:sz w:val="20"/>
          <w:szCs w:val="20"/>
        </w:rPr>
        <w:t xml:space="preserve">an </w:t>
      </w:r>
      <w:r w:rsidRPr="00F34745">
        <w:rPr>
          <w:rFonts w:ascii="Times New Roman" w:hAnsi="Times New Roman" w:cs="Times New Roman"/>
          <w:sz w:val="20"/>
          <w:szCs w:val="20"/>
        </w:rPr>
        <w:t>accept the full validity of the requirements, qualifications, prior inspections or guarantees of the territory of origin, even when these d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F34745">
        <w:rPr>
          <w:rFonts w:ascii="Times New Roman" w:hAnsi="Times New Roman" w:cs="Times New Roman"/>
          <w:sz w:val="20"/>
          <w:szCs w:val="20"/>
        </w:rPr>
        <w:t xml:space="preserve"> not exist (article 19). According to the Constitutional Court, even if the national legislator c</w:t>
      </w:r>
      <w:r>
        <w:rPr>
          <w:rFonts w:ascii="Times New Roman" w:hAnsi="Times New Roman" w:cs="Times New Roman"/>
          <w:sz w:val="20"/>
          <w:szCs w:val="20"/>
        </w:rPr>
        <w:t>ould</w:t>
      </w:r>
      <w:r w:rsidRPr="00F3474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intervene </w:t>
      </w:r>
      <w:r w:rsidRPr="00F34745">
        <w:rPr>
          <w:rFonts w:ascii="Times New Roman" w:hAnsi="Times New Roman" w:cs="Times New Roman"/>
          <w:sz w:val="20"/>
          <w:szCs w:val="20"/>
        </w:rPr>
        <w:t>administrative</w:t>
      </w:r>
      <w:r>
        <w:rPr>
          <w:rFonts w:ascii="Times New Roman" w:hAnsi="Times New Roman" w:cs="Times New Roman"/>
          <w:sz w:val="20"/>
          <w:szCs w:val="20"/>
        </w:rPr>
        <w:t>ly</w:t>
      </w:r>
      <w:r w:rsidRPr="00F34745">
        <w:rPr>
          <w:rFonts w:ascii="Times New Roman" w:hAnsi="Times New Roman" w:cs="Times New Roman"/>
          <w:sz w:val="20"/>
          <w:szCs w:val="20"/>
        </w:rPr>
        <w:t xml:space="preserve"> to guarantee market unity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34745">
        <w:rPr>
          <w:rFonts w:ascii="Times New Roman" w:hAnsi="Times New Roman" w:cs="Times New Roman"/>
          <w:sz w:val="20"/>
          <w:szCs w:val="20"/>
        </w:rPr>
        <w:t xml:space="preserve"> th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F34745">
        <w:rPr>
          <w:rFonts w:ascii="Times New Roman" w:hAnsi="Times New Roman" w:cs="Times New Roman"/>
          <w:sz w:val="20"/>
          <w:szCs w:val="20"/>
        </w:rPr>
        <w:t xml:space="preserve"> recognition </w:t>
      </w:r>
      <w:r>
        <w:rPr>
          <w:rFonts w:ascii="Times New Roman" w:hAnsi="Times New Roman" w:cs="Times New Roman"/>
          <w:sz w:val="20"/>
          <w:szCs w:val="20"/>
        </w:rPr>
        <w:t xml:space="preserve">would be </w:t>
      </w:r>
      <w:r w:rsidRPr="00F34745">
        <w:rPr>
          <w:rFonts w:ascii="Times New Roman" w:hAnsi="Times New Roman" w:cs="Times New Roman"/>
          <w:sz w:val="20"/>
          <w:szCs w:val="20"/>
        </w:rPr>
        <w:t xml:space="preserve">suitable </w:t>
      </w:r>
      <w:r>
        <w:rPr>
          <w:rFonts w:ascii="Times New Roman" w:hAnsi="Times New Roman" w:cs="Times New Roman"/>
          <w:sz w:val="20"/>
          <w:szCs w:val="20"/>
        </w:rPr>
        <w:t xml:space="preserve">only </w:t>
      </w:r>
      <w:r w:rsidRPr="00F34745">
        <w:rPr>
          <w:rFonts w:ascii="Times New Roman" w:hAnsi="Times New Roman" w:cs="Times New Roman"/>
          <w:sz w:val="20"/>
          <w:szCs w:val="20"/>
        </w:rPr>
        <w:t xml:space="preserve">when there 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F34745">
        <w:rPr>
          <w:rFonts w:ascii="Times New Roman" w:hAnsi="Times New Roman" w:cs="Times New Roman"/>
          <w:sz w:val="20"/>
          <w:szCs w:val="20"/>
        </w:rPr>
        <w:t>s an “equivalence among applicable rules” between the origin and the destin</w:t>
      </w:r>
      <w:r>
        <w:rPr>
          <w:rFonts w:ascii="Times New Roman" w:hAnsi="Times New Roman" w:cs="Times New Roman"/>
          <w:sz w:val="20"/>
          <w:szCs w:val="20"/>
        </w:rPr>
        <w:t>ation</w:t>
      </w:r>
      <w:r w:rsidRPr="00F34745">
        <w:rPr>
          <w:rFonts w:ascii="Times New Roman" w:hAnsi="Times New Roman" w:cs="Times New Roman"/>
          <w:sz w:val="20"/>
          <w:szCs w:val="20"/>
        </w:rPr>
        <w:t xml:space="preserve"> legislations. </w:t>
      </w:r>
      <w:r>
        <w:rPr>
          <w:rFonts w:ascii="Times New Roman" w:hAnsi="Times New Roman" w:cs="Times New Roman"/>
          <w:sz w:val="20"/>
          <w:szCs w:val="20"/>
        </w:rPr>
        <w:t>T</w:t>
      </w:r>
      <w:r w:rsidRPr="00F34745">
        <w:rPr>
          <w:rFonts w:ascii="Times New Roman" w:hAnsi="Times New Roman" w:cs="Times New Roman"/>
          <w:sz w:val="20"/>
          <w:szCs w:val="20"/>
        </w:rPr>
        <w:t xml:space="preserve">he Constitutional Court believes that there </w:t>
      </w:r>
      <w:r>
        <w:rPr>
          <w:rFonts w:ascii="Times New Roman" w:hAnsi="Times New Roman" w:cs="Times New Roman"/>
          <w:sz w:val="20"/>
          <w:szCs w:val="20"/>
        </w:rPr>
        <w:t>can</w:t>
      </w:r>
      <w:r w:rsidRPr="00F34745">
        <w:rPr>
          <w:rFonts w:ascii="Times New Roman" w:hAnsi="Times New Roman" w:cs="Times New Roman"/>
          <w:sz w:val="20"/>
          <w:szCs w:val="20"/>
        </w:rPr>
        <w:t xml:space="preserve"> be no equivalence if (</w:t>
      </w:r>
      <w:proofErr w:type="spellStart"/>
      <w:r w:rsidRPr="00F34745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F34745">
        <w:rPr>
          <w:rFonts w:ascii="Times New Roman" w:hAnsi="Times New Roman" w:cs="Times New Roman"/>
          <w:sz w:val="20"/>
          <w:szCs w:val="20"/>
        </w:rPr>
        <w:t>) the origin regulation has no common denominator with the destin</w:t>
      </w:r>
      <w:r>
        <w:rPr>
          <w:rFonts w:ascii="Times New Roman" w:hAnsi="Times New Roman" w:cs="Times New Roman"/>
          <w:sz w:val="20"/>
          <w:szCs w:val="20"/>
        </w:rPr>
        <w:t>ation</w:t>
      </w:r>
      <w:r w:rsidRPr="00F34745">
        <w:rPr>
          <w:rFonts w:ascii="Times New Roman" w:hAnsi="Times New Roman" w:cs="Times New Roman"/>
          <w:sz w:val="20"/>
          <w:szCs w:val="20"/>
        </w:rPr>
        <w:t xml:space="preserve"> legislation, or if (ii) “licenses” obtained in the origin without any requirements are considered valid. Anything different would involve “forcing an autonomous community to accept, within its territory, a plurality of foreign policies” </w:t>
      </w:r>
      <w:proofErr w:type="gramStart"/>
      <w:r w:rsidRPr="00F34745">
        <w:rPr>
          <w:rFonts w:ascii="Times New Roman" w:hAnsi="Times New Roman" w:cs="Times New Roman"/>
          <w:sz w:val="20"/>
          <w:szCs w:val="20"/>
        </w:rPr>
        <w:t>and also</w:t>
      </w:r>
      <w:proofErr w:type="gramEnd"/>
      <w:r w:rsidRPr="00F34745">
        <w:rPr>
          <w:rFonts w:ascii="Times New Roman" w:hAnsi="Times New Roman" w:cs="Times New Roman"/>
          <w:sz w:val="20"/>
          <w:szCs w:val="20"/>
        </w:rPr>
        <w:t xml:space="preserve"> imply a competence conflict. This setback could </w:t>
      </w:r>
      <w:r>
        <w:rPr>
          <w:rFonts w:ascii="Times New Roman" w:hAnsi="Times New Roman" w:cs="Times New Roman"/>
          <w:sz w:val="20"/>
          <w:szCs w:val="20"/>
        </w:rPr>
        <w:t xml:space="preserve">prove </w:t>
      </w:r>
      <w:r w:rsidRPr="00F34745">
        <w:rPr>
          <w:rFonts w:ascii="Times New Roman" w:hAnsi="Times New Roman" w:cs="Times New Roman"/>
          <w:sz w:val="20"/>
          <w:szCs w:val="20"/>
        </w:rPr>
        <w:t xml:space="preserve">especially harmful </w:t>
      </w:r>
      <w:r>
        <w:rPr>
          <w:rFonts w:ascii="Times New Roman" w:hAnsi="Times New Roman" w:cs="Times New Roman"/>
          <w:sz w:val="20"/>
          <w:szCs w:val="20"/>
        </w:rPr>
        <w:t xml:space="preserve">to </w:t>
      </w:r>
      <w:r w:rsidRPr="00F34745">
        <w:rPr>
          <w:rFonts w:ascii="Times New Roman" w:hAnsi="Times New Roman" w:cs="Times New Roman"/>
          <w:sz w:val="20"/>
          <w:szCs w:val="20"/>
        </w:rPr>
        <w:t xml:space="preserve">SMEs, as they </w:t>
      </w:r>
      <w:r>
        <w:rPr>
          <w:rFonts w:ascii="Times New Roman" w:hAnsi="Times New Roman" w:cs="Times New Roman"/>
          <w:sz w:val="20"/>
          <w:szCs w:val="20"/>
        </w:rPr>
        <w:t xml:space="preserve">are less able </w:t>
      </w:r>
      <w:r w:rsidRPr="00F34745">
        <w:rPr>
          <w:rFonts w:ascii="Times New Roman" w:hAnsi="Times New Roman" w:cs="Times New Roman"/>
          <w:sz w:val="20"/>
          <w:szCs w:val="20"/>
        </w:rPr>
        <w:t xml:space="preserve">to </w:t>
      </w:r>
      <w:r>
        <w:rPr>
          <w:rFonts w:ascii="Times New Roman" w:hAnsi="Times New Roman" w:cs="Times New Roman"/>
          <w:sz w:val="20"/>
          <w:szCs w:val="20"/>
        </w:rPr>
        <w:t>clear</w:t>
      </w:r>
      <w:r w:rsidRPr="00F34745">
        <w:rPr>
          <w:rFonts w:ascii="Times New Roman" w:hAnsi="Times New Roman" w:cs="Times New Roman"/>
          <w:sz w:val="20"/>
          <w:szCs w:val="20"/>
        </w:rPr>
        <w:t xml:space="preserve"> excess</w:t>
      </w:r>
      <w:r>
        <w:rPr>
          <w:rFonts w:ascii="Times New Roman" w:hAnsi="Times New Roman" w:cs="Times New Roman"/>
          <w:sz w:val="20"/>
          <w:szCs w:val="20"/>
        </w:rPr>
        <w:t>ive</w:t>
      </w:r>
      <w:r w:rsidRPr="00F34745">
        <w:rPr>
          <w:rFonts w:ascii="Times New Roman" w:hAnsi="Times New Roman" w:cs="Times New Roman"/>
          <w:sz w:val="20"/>
          <w:szCs w:val="20"/>
        </w:rPr>
        <w:t xml:space="preserve"> administrative hurdles.</w:t>
      </w:r>
    </w:p>
    <w:p w14:paraId="42833058" w14:textId="77777777" w:rsidR="00185FBB" w:rsidRPr="00F34745" w:rsidRDefault="00185FBB" w:rsidP="00185F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E27803" w14:textId="77777777" w:rsidR="00185FBB" w:rsidRPr="00AE444D" w:rsidRDefault="00185FBB" w:rsidP="00185FBB">
      <w:pPr>
        <w:pStyle w:val="Prrafodelista"/>
        <w:numPr>
          <w:ilvl w:val="0"/>
          <w:numId w:val="1"/>
        </w:numPr>
        <w:rPr>
          <w:b/>
          <w:sz w:val="20"/>
          <w:lang w:val="en-US"/>
        </w:rPr>
      </w:pPr>
      <w:r w:rsidRPr="00AE444D">
        <w:rPr>
          <w:b/>
          <w:sz w:val="20"/>
          <w:lang w:val="en-US"/>
        </w:rPr>
        <w:t xml:space="preserve">CEOE indicators </w:t>
      </w:r>
    </w:p>
    <w:p w14:paraId="3422CEFA" w14:textId="5A532D7F" w:rsidR="00185FBB" w:rsidRPr="00F34745" w:rsidRDefault="00185FBB" w:rsidP="00185FBB">
      <w:pPr>
        <w:jc w:val="both"/>
        <w:rPr>
          <w:rFonts w:ascii="Times New Roman" w:hAnsi="Times New Roman" w:cs="Times New Roman"/>
          <w:sz w:val="20"/>
          <w:szCs w:val="20"/>
        </w:rPr>
      </w:pPr>
      <w:r w:rsidRPr="00F34745">
        <w:rPr>
          <w:rFonts w:ascii="Times New Roman" w:hAnsi="Times New Roman" w:cs="Times New Roman"/>
          <w:sz w:val="20"/>
          <w:szCs w:val="20"/>
        </w:rPr>
        <w:t>The CEOE (2012) provides a detailed inventory of market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F34745">
        <w:rPr>
          <w:rFonts w:ascii="Times New Roman" w:hAnsi="Times New Roman" w:cs="Times New Roman"/>
          <w:sz w:val="20"/>
          <w:szCs w:val="20"/>
        </w:rPr>
        <w:t>unity distortions</w:t>
      </w:r>
      <w:r w:rsidR="00D77055">
        <w:rPr>
          <w:rFonts w:ascii="Times New Roman" w:hAnsi="Times New Roman" w:cs="Times New Roman"/>
          <w:sz w:val="20"/>
          <w:szCs w:val="20"/>
        </w:rPr>
        <w:t xml:space="preserve"> present</w:t>
      </w:r>
      <w:r w:rsidRPr="00F34745">
        <w:rPr>
          <w:rFonts w:ascii="Times New Roman" w:hAnsi="Times New Roman" w:cs="Times New Roman"/>
          <w:sz w:val="20"/>
          <w:szCs w:val="20"/>
        </w:rPr>
        <w:t xml:space="preserve"> in Spain. These can be defined as obligations, restrictions, requirements or demands that pose unjustified barriers to economic activity. </w:t>
      </w:r>
      <w:r>
        <w:rPr>
          <w:rFonts w:ascii="Times New Roman" w:hAnsi="Times New Roman" w:cs="Times New Roman"/>
          <w:sz w:val="20"/>
          <w:szCs w:val="20"/>
        </w:rPr>
        <w:t xml:space="preserve">The CEOE identifies </w:t>
      </w:r>
      <w:r w:rsidRPr="00F34745">
        <w:rPr>
          <w:rFonts w:ascii="Times New Roman" w:hAnsi="Times New Roman" w:cs="Times New Roman"/>
          <w:sz w:val="20"/>
          <w:szCs w:val="20"/>
        </w:rPr>
        <w:t xml:space="preserve">122 cases, and </w:t>
      </w:r>
      <w:r>
        <w:rPr>
          <w:rFonts w:ascii="Times New Roman" w:hAnsi="Times New Roman" w:cs="Times New Roman"/>
          <w:sz w:val="20"/>
          <w:szCs w:val="20"/>
        </w:rPr>
        <w:t xml:space="preserve">divides </w:t>
      </w:r>
      <w:r w:rsidRPr="00F34745">
        <w:rPr>
          <w:rFonts w:ascii="Times New Roman" w:hAnsi="Times New Roman" w:cs="Times New Roman"/>
          <w:sz w:val="20"/>
          <w:szCs w:val="20"/>
        </w:rPr>
        <w:t>market distortions in</w:t>
      </w:r>
      <w:r>
        <w:rPr>
          <w:rFonts w:ascii="Times New Roman" w:hAnsi="Times New Roman" w:cs="Times New Roman"/>
          <w:sz w:val="20"/>
          <w:szCs w:val="20"/>
        </w:rPr>
        <w:t>to</w:t>
      </w:r>
      <w:r w:rsidRPr="00F34745">
        <w:rPr>
          <w:rFonts w:ascii="Times New Roman" w:hAnsi="Times New Roman" w:cs="Times New Roman"/>
          <w:sz w:val="20"/>
          <w:szCs w:val="20"/>
        </w:rPr>
        <w:t xml:space="preserve"> three broad </w:t>
      </w:r>
      <w:r>
        <w:rPr>
          <w:rFonts w:ascii="Times New Roman" w:hAnsi="Times New Roman" w:cs="Times New Roman"/>
          <w:sz w:val="20"/>
          <w:szCs w:val="20"/>
        </w:rPr>
        <w:t>classes</w:t>
      </w:r>
      <w:r w:rsidRPr="00F34745">
        <w:rPr>
          <w:rFonts w:ascii="Times New Roman" w:hAnsi="Times New Roman" w:cs="Times New Roman"/>
          <w:sz w:val="20"/>
          <w:szCs w:val="20"/>
        </w:rPr>
        <w:t>: industr</w:t>
      </w:r>
      <w:r>
        <w:rPr>
          <w:rFonts w:ascii="Times New Roman" w:hAnsi="Times New Roman" w:cs="Times New Roman"/>
          <w:sz w:val="20"/>
          <w:szCs w:val="20"/>
        </w:rPr>
        <w:t>ial</w:t>
      </w:r>
      <w:r w:rsidRPr="00F34745">
        <w:rPr>
          <w:rFonts w:ascii="Times New Roman" w:hAnsi="Times New Roman" w:cs="Times New Roman"/>
          <w:sz w:val="20"/>
          <w:szCs w:val="20"/>
        </w:rPr>
        <w:t>, service</w:t>
      </w:r>
      <w:r>
        <w:rPr>
          <w:rFonts w:ascii="Times New Roman" w:hAnsi="Times New Roman" w:cs="Times New Roman"/>
          <w:sz w:val="20"/>
          <w:szCs w:val="20"/>
        </w:rPr>
        <w:t>-</w:t>
      </w:r>
      <w:proofErr w:type="gramStart"/>
      <w:r>
        <w:rPr>
          <w:rFonts w:ascii="Times New Roman" w:hAnsi="Times New Roman" w:cs="Times New Roman"/>
          <w:sz w:val="20"/>
          <w:szCs w:val="20"/>
        </w:rPr>
        <w:t>related</w:t>
      </w:r>
      <w:proofErr w:type="gramEnd"/>
      <w:r w:rsidRPr="00F34745">
        <w:rPr>
          <w:rFonts w:ascii="Times New Roman" w:hAnsi="Times New Roman" w:cs="Times New Roman"/>
          <w:sz w:val="20"/>
          <w:szCs w:val="20"/>
        </w:rPr>
        <w:t xml:space="preserve"> and tax</w:t>
      </w:r>
      <w:r>
        <w:rPr>
          <w:rFonts w:ascii="Times New Roman" w:hAnsi="Times New Roman" w:cs="Times New Roman"/>
          <w:sz w:val="20"/>
          <w:szCs w:val="20"/>
        </w:rPr>
        <w:t>-related</w:t>
      </w:r>
      <w:r w:rsidRPr="00F34745">
        <w:rPr>
          <w:rFonts w:ascii="Times New Roman" w:hAnsi="Times New Roman" w:cs="Times New Roman"/>
          <w:sz w:val="20"/>
          <w:szCs w:val="20"/>
        </w:rPr>
        <w:t xml:space="preserve">. Some distortions are purely industry-specific, and some have a horizontal dimension, as they affect the environment, recycling, the labelling of products, marketing, industrial health and safety, </w:t>
      </w:r>
      <w:proofErr w:type="gramStart"/>
      <w:r w:rsidRPr="00F34745">
        <w:rPr>
          <w:rFonts w:ascii="Times New Roman" w:hAnsi="Times New Roman" w:cs="Times New Roman"/>
          <w:sz w:val="20"/>
          <w:szCs w:val="20"/>
        </w:rPr>
        <w:t>licences</w:t>
      </w:r>
      <w:proofErr w:type="gramEnd"/>
      <w:r w:rsidRPr="00F34745">
        <w:rPr>
          <w:rFonts w:ascii="Times New Roman" w:hAnsi="Times New Roman" w:cs="Times New Roman"/>
          <w:sz w:val="20"/>
          <w:szCs w:val="20"/>
        </w:rPr>
        <w:t xml:space="preserve"> or public procurement. There is also a further classification </w:t>
      </w:r>
      <w:r w:rsidR="00D77055">
        <w:rPr>
          <w:rFonts w:ascii="Times New Roman" w:hAnsi="Times New Roman" w:cs="Times New Roman"/>
          <w:sz w:val="20"/>
          <w:szCs w:val="20"/>
        </w:rPr>
        <w:t>that distinguishes</w:t>
      </w:r>
      <w:r>
        <w:rPr>
          <w:rFonts w:ascii="Times New Roman" w:hAnsi="Times New Roman" w:cs="Times New Roman"/>
          <w:sz w:val="20"/>
          <w:szCs w:val="20"/>
        </w:rPr>
        <w:t xml:space="preserve"> distortions </w:t>
      </w:r>
      <w:r w:rsidRPr="00F34745">
        <w:rPr>
          <w:rFonts w:ascii="Times New Roman" w:hAnsi="Times New Roman" w:cs="Times New Roman"/>
          <w:sz w:val="20"/>
          <w:szCs w:val="20"/>
        </w:rPr>
        <w:t xml:space="preserve">that result </w:t>
      </w:r>
      <w:r>
        <w:rPr>
          <w:rFonts w:ascii="Times New Roman" w:hAnsi="Times New Roman" w:cs="Times New Roman"/>
          <w:sz w:val="20"/>
          <w:szCs w:val="20"/>
        </w:rPr>
        <w:t xml:space="preserve">from conflicts between regional and national law and </w:t>
      </w:r>
      <w:r w:rsidR="00D77055">
        <w:rPr>
          <w:rFonts w:ascii="Times New Roman" w:hAnsi="Times New Roman" w:cs="Times New Roman"/>
          <w:sz w:val="20"/>
          <w:szCs w:val="20"/>
        </w:rPr>
        <w:t xml:space="preserve">distortions </w:t>
      </w:r>
      <w:r w:rsidRPr="00F34745">
        <w:rPr>
          <w:rFonts w:ascii="Times New Roman" w:hAnsi="Times New Roman" w:cs="Times New Roman"/>
          <w:sz w:val="20"/>
          <w:szCs w:val="20"/>
        </w:rPr>
        <w:t xml:space="preserve">that result </w:t>
      </w:r>
      <w:r>
        <w:rPr>
          <w:rFonts w:ascii="Times New Roman" w:hAnsi="Times New Roman" w:cs="Times New Roman"/>
          <w:sz w:val="20"/>
          <w:szCs w:val="20"/>
        </w:rPr>
        <w:t xml:space="preserve">from </w:t>
      </w:r>
      <w:r w:rsidRPr="00F34745">
        <w:rPr>
          <w:rFonts w:ascii="Times New Roman" w:hAnsi="Times New Roman" w:cs="Times New Roman"/>
          <w:sz w:val="20"/>
          <w:szCs w:val="20"/>
        </w:rPr>
        <w:t>differ</w:t>
      </w:r>
      <w:r>
        <w:rPr>
          <w:rFonts w:ascii="Times New Roman" w:hAnsi="Times New Roman" w:cs="Times New Roman"/>
          <w:sz w:val="20"/>
          <w:szCs w:val="20"/>
        </w:rPr>
        <w:t>ing</w:t>
      </w:r>
      <w:r w:rsidRPr="00F34745">
        <w:rPr>
          <w:rFonts w:ascii="Times New Roman" w:hAnsi="Times New Roman" w:cs="Times New Roman"/>
          <w:sz w:val="20"/>
          <w:szCs w:val="20"/>
        </w:rPr>
        <w:t xml:space="preserve"> interpretations of </w:t>
      </w:r>
      <w:r w:rsidR="00D77055">
        <w:rPr>
          <w:rFonts w:ascii="Times New Roman" w:hAnsi="Times New Roman" w:cs="Times New Roman"/>
          <w:sz w:val="20"/>
          <w:szCs w:val="20"/>
        </w:rPr>
        <w:t xml:space="preserve">the </w:t>
      </w:r>
      <w:r w:rsidRPr="00F34745">
        <w:rPr>
          <w:rFonts w:ascii="Times New Roman" w:hAnsi="Times New Roman" w:cs="Times New Roman"/>
          <w:sz w:val="20"/>
          <w:szCs w:val="20"/>
        </w:rPr>
        <w:t xml:space="preserve">common national or European </w:t>
      </w:r>
      <w:r>
        <w:rPr>
          <w:rFonts w:ascii="Times New Roman" w:hAnsi="Times New Roman" w:cs="Times New Roman"/>
          <w:sz w:val="20"/>
          <w:szCs w:val="20"/>
        </w:rPr>
        <w:t>l</w:t>
      </w:r>
      <w:r w:rsidRPr="00F34745">
        <w:rPr>
          <w:rFonts w:ascii="Times New Roman" w:hAnsi="Times New Roman" w:cs="Times New Roman"/>
          <w:sz w:val="20"/>
          <w:szCs w:val="20"/>
        </w:rPr>
        <w:t xml:space="preserve">aw. In </w:t>
      </w:r>
      <w:r>
        <w:rPr>
          <w:rFonts w:ascii="Times New Roman" w:hAnsi="Times New Roman" w:cs="Times New Roman"/>
          <w:sz w:val="20"/>
          <w:szCs w:val="20"/>
        </w:rPr>
        <w:t>T</w:t>
      </w:r>
      <w:r w:rsidRPr="00F34745">
        <w:rPr>
          <w:rFonts w:ascii="Times New Roman" w:hAnsi="Times New Roman" w:cs="Times New Roman"/>
          <w:sz w:val="20"/>
          <w:szCs w:val="20"/>
        </w:rPr>
        <w:t xml:space="preserve">ables </w:t>
      </w:r>
      <w:r>
        <w:rPr>
          <w:rFonts w:ascii="Times New Roman" w:hAnsi="Times New Roman" w:cs="Times New Roman"/>
          <w:sz w:val="20"/>
          <w:szCs w:val="20"/>
        </w:rPr>
        <w:t>A.1</w:t>
      </w:r>
      <w:r w:rsidRPr="00F34745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A.</w:t>
      </w:r>
      <w:r w:rsidRPr="00F34745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F34745">
        <w:rPr>
          <w:rFonts w:ascii="Times New Roman" w:hAnsi="Times New Roman" w:cs="Times New Roman"/>
          <w:sz w:val="20"/>
          <w:szCs w:val="20"/>
        </w:rPr>
        <w:t xml:space="preserve"> we provide a summary of these distortions. Within the goods markets, many distortions seem to be concentrated in the food and drinks manufacturing sector as well as</w:t>
      </w:r>
      <w:r w:rsidR="00D77055">
        <w:rPr>
          <w:rFonts w:ascii="Times New Roman" w:hAnsi="Times New Roman" w:cs="Times New Roman"/>
          <w:sz w:val="20"/>
          <w:szCs w:val="20"/>
        </w:rPr>
        <w:t xml:space="preserve"> in</w:t>
      </w:r>
      <w:r w:rsidRPr="00F34745">
        <w:rPr>
          <w:rFonts w:ascii="Times New Roman" w:hAnsi="Times New Roman" w:cs="Times New Roman"/>
          <w:sz w:val="20"/>
          <w:szCs w:val="20"/>
        </w:rPr>
        <w:t xml:space="preserve"> chemicals and pharmaceuticals. </w:t>
      </w:r>
    </w:p>
    <w:p w14:paraId="366B1607" w14:textId="431F822F" w:rsidR="00185FBB" w:rsidRPr="00F34745" w:rsidRDefault="00185FBB" w:rsidP="00185FB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We have used this </w:t>
      </w:r>
      <w:r w:rsidRPr="00F34745">
        <w:rPr>
          <w:rFonts w:ascii="Times New Roman" w:hAnsi="Times New Roman" w:cs="Times New Roman"/>
          <w:sz w:val="20"/>
          <w:szCs w:val="20"/>
        </w:rPr>
        <w:t>inventory</w:t>
      </w:r>
      <w:r>
        <w:rPr>
          <w:rFonts w:ascii="Times New Roman" w:hAnsi="Times New Roman" w:cs="Times New Roman"/>
          <w:sz w:val="20"/>
          <w:szCs w:val="20"/>
        </w:rPr>
        <w:t xml:space="preserve"> to </w:t>
      </w:r>
      <w:r w:rsidRPr="00F34745">
        <w:rPr>
          <w:rFonts w:ascii="Times New Roman" w:hAnsi="Times New Roman" w:cs="Times New Roman"/>
          <w:sz w:val="20"/>
          <w:szCs w:val="20"/>
        </w:rPr>
        <w:t>build</w:t>
      </w:r>
      <w:r w:rsidR="00D77055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D77055">
        <w:rPr>
          <w:rFonts w:ascii="Times New Roman" w:hAnsi="Times New Roman" w:cs="Times New Roman"/>
          <w:sz w:val="20"/>
          <w:szCs w:val="20"/>
        </w:rPr>
        <w:t xml:space="preserve">summary </w:t>
      </w:r>
      <w:r w:rsidRPr="00F34745">
        <w:rPr>
          <w:rFonts w:ascii="Times New Roman" w:hAnsi="Times New Roman" w:cs="Times New Roman"/>
          <w:sz w:val="20"/>
          <w:szCs w:val="20"/>
        </w:rPr>
        <w:t xml:space="preserve"> indicators</w:t>
      </w:r>
      <w:proofErr w:type="gramEnd"/>
      <w:r w:rsidRPr="00F3474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for </w:t>
      </w:r>
      <w:r w:rsidRPr="00F34745">
        <w:rPr>
          <w:rFonts w:ascii="Times New Roman" w:hAnsi="Times New Roman" w:cs="Times New Roman"/>
          <w:sz w:val="20"/>
          <w:szCs w:val="20"/>
        </w:rPr>
        <w:t xml:space="preserve">the number of distortions prevailing in each region. These are meant to </w:t>
      </w:r>
      <w:r w:rsidR="00D77055">
        <w:rPr>
          <w:rFonts w:ascii="Times New Roman" w:hAnsi="Times New Roman" w:cs="Times New Roman"/>
          <w:sz w:val="20"/>
          <w:szCs w:val="20"/>
        </w:rPr>
        <w:t xml:space="preserve">reflect </w:t>
      </w:r>
      <w:r w:rsidRPr="00F34745">
        <w:rPr>
          <w:rFonts w:ascii="Times New Roman" w:hAnsi="Times New Roman" w:cs="Times New Roman"/>
          <w:sz w:val="20"/>
          <w:szCs w:val="20"/>
        </w:rPr>
        <w:t xml:space="preserve">the quantity of distortions, but we need to </w:t>
      </w:r>
      <w:r>
        <w:rPr>
          <w:rFonts w:ascii="Times New Roman" w:hAnsi="Times New Roman" w:cs="Times New Roman"/>
          <w:sz w:val="20"/>
          <w:szCs w:val="20"/>
        </w:rPr>
        <w:t xml:space="preserve">interpret them </w:t>
      </w:r>
      <w:r w:rsidRPr="00F34745">
        <w:rPr>
          <w:rFonts w:ascii="Times New Roman" w:hAnsi="Times New Roman" w:cs="Times New Roman"/>
          <w:sz w:val="20"/>
          <w:szCs w:val="20"/>
        </w:rPr>
        <w:t>cautious</w:t>
      </w:r>
      <w:r>
        <w:rPr>
          <w:rFonts w:ascii="Times New Roman" w:hAnsi="Times New Roman" w:cs="Times New Roman"/>
          <w:sz w:val="20"/>
          <w:szCs w:val="20"/>
        </w:rPr>
        <w:t>ly</w:t>
      </w:r>
      <w:r w:rsidRPr="00F34745">
        <w:rPr>
          <w:rFonts w:ascii="Times New Roman" w:hAnsi="Times New Roman" w:cs="Times New Roman"/>
          <w:sz w:val="20"/>
          <w:szCs w:val="20"/>
        </w:rPr>
        <w:t xml:space="preserve">, as the information is not comprehensive of all distortions in all regions. Drawing from the CEOE information, </w:t>
      </w:r>
      <w:r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Pr="003001D1">
        <w:rPr>
          <w:rFonts w:ascii="Times New Roman" w:hAnsi="Times New Roman" w:cs="Times New Roman"/>
          <w:b/>
          <w:bCs/>
          <w:sz w:val="20"/>
          <w:szCs w:val="20"/>
        </w:rPr>
        <w:t>igure</w:t>
      </w: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3001D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3 and 4</w:t>
      </w:r>
      <w:r w:rsidRPr="00F34745">
        <w:rPr>
          <w:rFonts w:ascii="Times New Roman" w:hAnsi="Times New Roman" w:cs="Times New Roman"/>
          <w:sz w:val="20"/>
          <w:szCs w:val="20"/>
        </w:rPr>
        <w:t xml:space="preserve"> illustrate the number of market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F34745">
        <w:rPr>
          <w:rFonts w:ascii="Times New Roman" w:hAnsi="Times New Roman" w:cs="Times New Roman"/>
          <w:sz w:val="20"/>
          <w:szCs w:val="20"/>
        </w:rPr>
        <w:t xml:space="preserve">unity distortions that we have identified by </w:t>
      </w:r>
      <w:r>
        <w:rPr>
          <w:rFonts w:ascii="Times New Roman" w:hAnsi="Times New Roman" w:cs="Times New Roman"/>
          <w:sz w:val="20"/>
          <w:szCs w:val="20"/>
        </w:rPr>
        <w:t>region (Nuts 2)</w:t>
      </w:r>
      <w:r w:rsidRPr="00F34745">
        <w:rPr>
          <w:rFonts w:ascii="Times New Roman" w:hAnsi="Times New Roman" w:cs="Times New Roman"/>
          <w:sz w:val="20"/>
          <w:szCs w:val="20"/>
        </w:rPr>
        <w:t>.</w:t>
      </w:r>
      <w:r w:rsidRPr="00F34745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W</w:t>
      </w:r>
      <w:r w:rsidRPr="00F34745">
        <w:rPr>
          <w:rFonts w:ascii="Times New Roman" w:hAnsi="Times New Roman" w:cs="Times New Roman"/>
          <w:sz w:val="20"/>
          <w:szCs w:val="20"/>
        </w:rPr>
        <w:t xml:space="preserve">e are not </w:t>
      </w:r>
      <w:r>
        <w:rPr>
          <w:rFonts w:ascii="Times New Roman" w:hAnsi="Times New Roman" w:cs="Times New Roman"/>
          <w:sz w:val="20"/>
          <w:szCs w:val="20"/>
        </w:rPr>
        <w:t xml:space="preserve">always </w:t>
      </w:r>
      <w:r w:rsidRPr="00F34745">
        <w:rPr>
          <w:rFonts w:ascii="Times New Roman" w:hAnsi="Times New Roman" w:cs="Times New Roman"/>
          <w:sz w:val="20"/>
          <w:szCs w:val="20"/>
        </w:rPr>
        <w:t xml:space="preserve">able to </w:t>
      </w:r>
      <w:r w:rsidR="00D77055">
        <w:rPr>
          <w:rFonts w:ascii="Times New Roman" w:hAnsi="Times New Roman" w:cs="Times New Roman"/>
          <w:sz w:val="20"/>
          <w:szCs w:val="20"/>
        </w:rPr>
        <w:t xml:space="preserve">identify </w:t>
      </w: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Pr="00F34745">
        <w:rPr>
          <w:rFonts w:ascii="Times New Roman" w:hAnsi="Times New Roman" w:cs="Times New Roman"/>
          <w:sz w:val="20"/>
          <w:szCs w:val="20"/>
        </w:rPr>
        <w:t xml:space="preserve">regions </w:t>
      </w:r>
      <w:r>
        <w:rPr>
          <w:rFonts w:ascii="Times New Roman" w:hAnsi="Times New Roman" w:cs="Times New Roman"/>
          <w:sz w:val="20"/>
          <w:szCs w:val="20"/>
        </w:rPr>
        <w:t xml:space="preserve">where certain distortions are </w:t>
      </w:r>
      <w:r w:rsidRPr="00F34745">
        <w:rPr>
          <w:rFonts w:ascii="Times New Roman" w:hAnsi="Times New Roman" w:cs="Times New Roman"/>
          <w:sz w:val="20"/>
          <w:szCs w:val="20"/>
        </w:rPr>
        <w:t xml:space="preserve">likely to </w:t>
      </w:r>
      <w:r w:rsidR="00D77055">
        <w:rPr>
          <w:rFonts w:ascii="Times New Roman" w:hAnsi="Times New Roman" w:cs="Times New Roman"/>
          <w:sz w:val="20"/>
          <w:szCs w:val="20"/>
        </w:rPr>
        <w:t>pose</w:t>
      </w:r>
      <w:r w:rsidR="00D77055" w:rsidRPr="00F34745">
        <w:rPr>
          <w:rFonts w:ascii="Times New Roman" w:hAnsi="Times New Roman" w:cs="Times New Roman"/>
          <w:sz w:val="20"/>
          <w:szCs w:val="20"/>
        </w:rPr>
        <w:t xml:space="preserve"> </w:t>
      </w:r>
      <w:r w:rsidR="00D77055">
        <w:rPr>
          <w:rFonts w:ascii="Times New Roman" w:hAnsi="Times New Roman" w:cs="Times New Roman"/>
          <w:sz w:val="20"/>
          <w:szCs w:val="20"/>
        </w:rPr>
        <w:t>the</w:t>
      </w:r>
      <w:r w:rsidRPr="00F34745">
        <w:rPr>
          <w:rFonts w:ascii="Times New Roman" w:hAnsi="Times New Roman" w:cs="Times New Roman"/>
          <w:sz w:val="20"/>
          <w:szCs w:val="20"/>
        </w:rPr>
        <w:t xml:space="preserve"> large</w:t>
      </w:r>
      <w:r w:rsidR="00D77055">
        <w:rPr>
          <w:rFonts w:ascii="Times New Roman" w:hAnsi="Times New Roman" w:cs="Times New Roman"/>
          <w:sz w:val="20"/>
          <w:szCs w:val="20"/>
        </w:rPr>
        <w:t>st</w:t>
      </w:r>
      <w:r w:rsidRPr="00F34745">
        <w:rPr>
          <w:rFonts w:ascii="Times New Roman" w:hAnsi="Times New Roman" w:cs="Times New Roman"/>
          <w:sz w:val="20"/>
          <w:szCs w:val="20"/>
        </w:rPr>
        <w:t xml:space="preserve"> problem</w:t>
      </w:r>
      <w:r w:rsidR="00D77055">
        <w:rPr>
          <w:rFonts w:ascii="Times New Roman" w:hAnsi="Times New Roman" w:cs="Times New Roman"/>
          <w:sz w:val="20"/>
          <w:szCs w:val="20"/>
        </w:rPr>
        <w:t>s</w:t>
      </w:r>
      <w:r w:rsidRPr="00F34745">
        <w:rPr>
          <w:rFonts w:ascii="Times New Roman" w:hAnsi="Times New Roman" w:cs="Times New Roman"/>
          <w:sz w:val="20"/>
          <w:szCs w:val="20"/>
        </w:rPr>
        <w:t>.</w:t>
      </w:r>
    </w:p>
    <w:p w14:paraId="4D3B1D50" w14:textId="77777777" w:rsidR="00185FBB" w:rsidRDefault="00185FBB">
      <w:pPr>
        <w:spacing w:after="160" w:line="259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4538CFC7" w14:textId="5E2504EF" w:rsidR="00185FBB" w:rsidRPr="00DD2EC8" w:rsidRDefault="00185FBB" w:rsidP="00185FBB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D2EC8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A.</w:t>
      </w:r>
      <w:r w:rsidRPr="00DD2EC8">
        <w:rPr>
          <w:rFonts w:ascii="Times New Roman" w:hAnsi="Times New Roman" w:cs="Times New Roman"/>
          <w:b/>
          <w:bCs/>
          <w:sz w:val="20"/>
          <w:szCs w:val="20"/>
        </w:rPr>
        <w:t xml:space="preserve">1. Details of market unity distortions in the food and drinks sector in Spain. </w:t>
      </w:r>
    </w:p>
    <w:tbl>
      <w:tblPr>
        <w:tblStyle w:val="Tablanormal2"/>
        <w:tblW w:w="4833" w:type="pct"/>
        <w:tblLook w:val="04A0" w:firstRow="1" w:lastRow="0" w:firstColumn="1" w:lastColumn="0" w:noHBand="0" w:noVBand="1"/>
      </w:tblPr>
      <w:tblGrid>
        <w:gridCol w:w="445"/>
        <w:gridCol w:w="8280"/>
      </w:tblGrid>
      <w:tr w:rsidR="00185FBB" w:rsidRPr="00E74E65" w14:paraId="6C8219C0" w14:textId="77777777" w:rsidTr="002D1D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2F87D8D7" w14:textId="77777777" w:rsidR="00185FBB" w:rsidRPr="00E60D79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sz w:val="16"/>
                <w:szCs w:val="16"/>
                <w:lang w:val="en-US" w:eastAsia="es-ES"/>
              </w:rPr>
            </w:pPr>
          </w:p>
        </w:tc>
        <w:tc>
          <w:tcPr>
            <w:tcW w:w="4745" w:type="pct"/>
            <w:hideMark/>
          </w:tcPr>
          <w:p w14:paraId="099677E4" w14:textId="77777777" w:rsidR="00185FBB" w:rsidRPr="00E74E65" w:rsidRDefault="00185FBB" w:rsidP="00185FB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 w:val="0"/>
                <w:sz w:val="16"/>
                <w:szCs w:val="16"/>
                <w:lang w:eastAsia="nl-BE"/>
              </w:rPr>
              <w:t xml:space="preserve">Description </w:t>
            </w:r>
          </w:p>
        </w:tc>
      </w:tr>
      <w:tr w:rsidR="00185FBB" w:rsidRPr="00E74E65" w14:paraId="2F908B57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5622D63B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4745" w:type="pct"/>
            <w:hideMark/>
          </w:tcPr>
          <w:p w14:paraId="11817C77" w14:textId="77777777" w:rsidR="00185FBB" w:rsidRPr="00E74E65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Differences in the interpretation of requirements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for a company’s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health register </w:t>
            </w:r>
          </w:p>
        </w:tc>
      </w:tr>
      <w:tr w:rsidR="00185FBB" w:rsidRPr="00E74E65" w14:paraId="291961CB" w14:textId="77777777" w:rsidTr="002D1D15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573E6597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4745" w:type="pct"/>
            <w:hideMark/>
          </w:tcPr>
          <w:p w14:paraId="0FCC3BA8" w14:textId="77777777" w:rsidR="00185FBB" w:rsidRPr="00E74E65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Differences in the interpretation of requirements in the registering of “</w:t>
            </w:r>
            <w:proofErr w:type="spellStart"/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precintos</w:t>
            </w:r>
            <w:proofErr w:type="spellEnd"/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fiscales</w:t>
            </w:r>
            <w:proofErr w:type="spellEnd"/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”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for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companies producing and distributing alcohol.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(This generates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admin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istrative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costs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,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as there are many different requirements and criteria.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)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</w:t>
            </w:r>
          </w:p>
        </w:tc>
      </w:tr>
      <w:tr w:rsidR="00185FBB" w:rsidRPr="00E74E65" w14:paraId="2EABCA9E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4DC96058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4745" w:type="pct"/>
            <w:hideMark/>
          </w:tcPr>
          <w:p w14:paraId="4181E144" w14:textId="77777777" w:rsidR="00185FBB" w:rsidRPr="00E74E65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Different regulations and codes of conduct across CCAA.</w:t>
            </w:r>
          </w:p>
        </w:tc>
      </w:tr>
      <w:tr w:rsidR="00185FBB" w:rsidRPr="00E74E65" w14:paraId="763691A0" w14:textId="77777777" w:rsidTr="002D1D15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0F88CBDE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4745" w:type="pct"/>
            <w:hideMark/>
          </w:tcPr>
          <w:p w14:paraId="0E01CD88" w14:textId="77777777" w:rsidR="00185FBB" w:rsidRPr="00E74E65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Differences in the nutritional requirements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for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food and drink in school ca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feterias.</w:t>
            </w:r>
          </w:p>
        </w:tc>
      </w:tr>
      <w:tr w:rsidR="00185FBB" w:rsidRPr="00E74E65" w14:paraId="72443B26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267DA24F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4745" w:type="pct"/>
            <w:hideMark/>
          </w:tcPr>
          <w:p w14:paraId="3CC87BDA" w14:textId="77777777" w:rsidR="00185FBB" w:rsidRPr="00E74E65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Problems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in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obtain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ing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a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health register for products to export when product has been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manufactured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in a region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other than the region of registry.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Such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health certificates are required in certain countries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.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)</w:t>
            </w:r>
          </w:p>
        </w:tc>
      </w:tr>
      <w:tr w:rsidR="00185FBB" w:rsidRPr="00E74E65" w14:paraId="62E8EAE8" w14:textId="77777777" w:rsidTr="002D1D15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3E9E22A8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4745" w:type="pct"/>
            <w:hideMark/>
          </w:tcPr>
          <w:p w14:paraId="53A458A1" w14:textId="77777777" w:rsidR="00185FBB" w:rsidRPr="00E74E65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Diversity of interpretation in inspections 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e.g.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some use a different language than the one spoken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with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in the company)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.</w:t>
            </w:r>
          </w:p>
        </w:tc>
      </w:tr>
      <w:tr w:rsidR="00185FBB" w:rsidRPr="00E74E65" w14:paraId="26C4932B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1C88BEFE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4745" w:type="pct"/>
            <w:hideMark/>
          </w:tcPr>
          <w:p w14:paraId="4513E1A7" w14:textId="77777777" w:rsidR="00185FBB" w:rsidRPr="00E74E65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Differences in taxes charged for the health inspection.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Some regions charge unjustified taxes.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)</w:t>
            </w:r>
          </w:p>
        </w:tc>
      </w:tr>
      <w:tr w:rsidR="00185FBB" w:rsidRPr="00E74E65" w14:paraId="5614A328" w14:textId="77777777" w:rsidTr="002D1D15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5E4EA7BE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4745" w:type="pct"/>
            <w:hideMark/>
          </w:tcPr>
          <w:p w14:paraId="0A861D09" w14:textId="77777777" w:rsidR="00185FBB" w:rsidRPr="004E62F4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Regional d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ifferences in (arbitrary)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health and safety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criteria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for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products in ports (to enter and exit the country).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This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generates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extra cost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s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)</w:t>
            </w:r>
          </w:p>
        </w:tc>
      </w:tr>
      <w:tr w:rsidR="00185FBB" w:rsidRPr="00E74E65" w14:paraId="485A74A0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70C41AE8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4745" w:type="pct"/>
            <w:hideMark/>
          </w:tcPr>
          <w:p w14:paraId="2E492D45" w14:textId="77777777" w:rsidR="00185FBB" w:rsidRPr="00E74E65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Regional d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ifferences in health requirements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for the sale of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meat products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at retail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This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generates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an additional management cost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.)</w:t>
            </w:r>
          </w:p>
        </w:tc>
      </w:tr>
      <w:tr w:rsidR="00185FBB" w:rsidRPr="00E74E65" w14:paraId="5D3E338B" w14:textId="77777777" w:rsidTr="002D1D15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5138FFAE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4745" w:type="pct"/>
            <w:hideMark/>
          </w:tcPr>
          <w:p w14:paraId="12B5A316" w14:textId="77777777" w:rsidR="00185FBB" w:rsidRPr="00E74E65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Regional d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ifferences in requirements for risk assessment.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This implies additional time and cost and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decreases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profitability.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)</w:t>
            </w:r>
          </w:p>
        </w:tc>
      </w:tr>
      <w:tr w:rsidR="00185FBB" w:rsidRPr="00E74E65" w14:paraId="4739D409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364C504F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4745" w:type="pct"/>
            <w:hideMark/>
          </w:tcPr>
          <w:p w14:paraId="28B1C75C" w14:textId="77777777" w:rsidR="00185FBB" w:rsidRPr="00E74E65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Regional d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ifferences in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the application of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food chain law.</w:t>
            </w:r>
          </w:p>
        </w:tc>
      </w:tr>
      <w:tr w:rsidR="00185FBB" w:rsidRPr="00E74E65" w14:paraId="7F5693F0" w14:textId="77777777" w:rsidTr="002D1D15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10883F47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4745" w:type="pct"/>
            <w:hideMark/>
          </w:tcPr>
          <w:p w14:paraId="55F050BF" w14:textId="77777777" w:rsidR="00185FBB" w:rsidRPr="00E74E65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Differences in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the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labelling of products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e.g.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between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Galicia and Catalu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ñ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a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)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This i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ncurs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an additional cost.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)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</w:t>
            </w:r>
          </w:p>
        </w:tc>
      </w:tr>
      <w:tr w:rsidR="00185FBB" w:rsidRPr="00E74E65" w14:paraId="1884E69A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37765540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eastAsia="es-ES"/>
              </w:rPr>
              <w:t>13</w:t>
            </w:r>
          </w:p>
        </w:tc>
        <w:tc>
          <w:tcPr>
            <w:tcW w:w="4745" w:type="pct"/>
            <w:hideMark/>
          </w:tcPr>
          <w:p w14:paraId="51B143DA" w14:textId="77777777" w:rsidR="00185FBB" w:rsidRPr="00E74E65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Differences in the labelling of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the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water’s sector products in Extremadura.</w:t>
            </w:r>
          </w:p>
        </w:tc>
      </w:tr>
      <w:tr w:rsidR="00185FBB" w:rsidRPr="00E74E65" w14:paraId="351FBC5E" w14:textId="77777777" w:rsidTr="002D1D15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3D8F64B5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4745" w:type="pct"/>
            <w:hideMark/>
          </w:tcPr>
          <w:p w14:paraId="41174786" w14:textId="77777777" w:rsidR="00185FBB" w:rsidRPr="00E74E65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Regional d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ifferences in the labelling of products (compulsory specification of salt, sugar, fat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content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Companies need to ad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jus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t labels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for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each region in Spain.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)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 </w:t>
            </w:r>
          </w:p>
        </w:tc>
      </w:tr>
      <w:tr w:rsidR="00185FBB" w:rsidRPr="00E74E65" w14:paraId="4AAEAAE7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1D8A3014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4745" w:type="pct"/>
            <w:hideMark/>
          </w:tcPr>
          <w:p w14:paraId="59631F25" w14:textId="77777777" w:rsidR="00185FBB" w:rsidRPr="00E74E65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Regional d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ifferences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in the regulation of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spirits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by European law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.</w:t>
            </w:r>
          </w:p>
        </w:tc>
      </w:tr>
      <w:tr w:rsidR="00185FBB" w:rsidRPr="00E74E65" w14:paraId="45D5BC1A" w14:textId="77777777" w:rsidTr="002D1D15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29DF3F4E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es-ES"/>
              </w:rPr>
              <w:t>16</w:t>
            </w:r>
          </w:p>
        </w:tc>
        <w:tc>
          <w:tcPr>
            <w:tcW w:w="4745" w:type="pct"/>
            <w:hideMark/>
          </w:tcPr>
          <w:p w14:paraId="748C4F93" w14:textId="77777777" w:rsidR="00185FBB" w:rsidRPr="00E74E65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Lack of coordination across Spanish regions on environmental permits and different requirements for obtaining those permits. </w:t>
            </w:r>
          </w:p>
        </w:tc>
      </w:tr>
      <w:tr w:rsidR="00185FBB" w:rsidRPr="00E74E65" w14:paraId="6F20A692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339E1B78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eastAsia="es-ES"/>
              </w:rPr>
              <w:t>17</w:t>
            </w:r>
          </w:p>
        </w:tc>
        <w:tc>
          <w:tcPr>
            <w:tcW w:w="4745" w:type="pct"/>
            <w:hideMark/>
          </w:tcPr>
          <w:p w14:paraId="5390A542" w14:textId="77777777" w:rsidR="00185FBB" w:rsidRPr="00E74E65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Different criteria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for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the control of SO2 emissions.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This requires invest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ments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in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various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types of machinery.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)</w:t>
            </w:r>
          </w:p>
        </w:tc>
      </w:tr>
      <w:tr w:rsidR="00185FBB" w:rsidRPr="00E74E65" w14:paraId="01DC7762" w14:textId="77777777" w:rsidTr="002D1D15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hideMark/>
          </w:tcPr>
          <w:p w14:paraId="52A327D3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es-ES"/>
              </w:rPr>
              <w:t>18</w:t>
            </w:r>
          </w:p>
        </w:tc>
        <w:tc>
          <w:tcPr>
            <w:tcW w:w="0" w:type="pct"/>
            <w:hideMark/>
          </w:tcPr>
          <w:p w14:paraId="583B9BFF" w14:textId="77777777" w:rsidR="00185FBB" w:rsidRPr="00E74E65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The mandatory return of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drink containers in the region of Andalu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cí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a,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regardless of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the region where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a drink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is bottled.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This creates a barrier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for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regions outside Andalu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cí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a.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)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</w:t>
            </w:r>
          </w:p>
        </w:tc>
      </w:tr>
      <w:tr w:rsidR="00185FBB" w:rsidRPr="00E74E65" w14:paraId="0FB870AB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01DC93BE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iCs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4745" w:type="pct"/>
            <w:hideMark/>
          </w:tcPr>
          <w:p w14:paraId="061C88CA" w14:textId="77777777" w:rsidR="00185FBB" w:rsidRPr="00E74E65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Regional d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ifferences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in veterinary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requirements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at 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slaughterhouses.</w:t>
            </w:r>
          </w:p>
        </w:tc>
      </w:tr>
      <w:tr w:rsidR="00185FBB" w:rsidRPr="00E74E65" w14:paraId="257883A9" w14:textId="77777777" w:rsidTr="002D1D15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" w:type="pct"/>
            <w:hideMark/>
          </w:tcPr>
          <w:p w14:paraId="31C70051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es-ES"/>
              </w:rPr>
              <w:t>20</w:t>
            </w:r>
          </w:p>
        </w:tc>
        <w:tc>
          <w:tcPr>
            <w:tcW w:w="4745" w:type="pct"/>
            <w:hideMark/>
          </w:tcPr>
          <w:p w14:paraId="3A63E5ED" w14:textId="77777777" w:rsidR="00185FBB" w:rsidRPr="00E74E65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Different requirements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for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audits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of</w:t>
            </w:r>
            <w:r w:rsidRPr="00E74E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meat producers.</w:t>
            </w:r>
          </w:p>
        </w:tc>
      </w:tr>
    </w:tbl>
    <w:p w14:paraId="1B5FC25D" w14:textId="77777777" w:rsidR="00185FBB" w:rsidRPr="00F34745" w:rsidRDefault="00185FBB" w:rsidP="00185FB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34745">
        <w:rPr>
          <w:rFonts w:ascii="Times New Roman" w:hAnsi="Times New Roman" w:cs="Times New Roman"/>
          <w:sz w:val="20"/>
          <w:szCs w:val="20"/>
        </w:rPr>
        <w:t xml:space="preserve">Source: </w:t>
      </w:r>
      <w:proofErr w:type="gramStart"/>
      <w:r w:rsidRPr="00F34745">
        <w:rPr>
          <w:rFonts w:ascii="Times New Roman" w:hAnsi="Times New Roman" w:cs="Times New Roman"/>
          <w:sz w:val="20"/>
          <w:szCs w:val="20"/>
        </w:rPr>
        <w:t>CEOE(</w:t>
      </w:r>
      <w:proofErr w:type="gramEnd"/>
      <w:r w:rsidRPr="00F34745">
        <w:rPr>
          <w:rFonts w:ascii="Times New Roman" w:hAnsi="Times New Roman" w:cs="Times New Roman"/>
          <w:sz w:val="20"/>
          <w:szCs w:val="20"/>
        </w:rPr>
        <w:t>2012)</w:t>
      </w:r>
    </w:p>
    <w:p w14:paraId="43B026B4" w14:textId="77777777" w:rsidR="00185FBB" w:rsidRDefault="00185FBB" w:rsidP="00185FB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7C994B7" w14:textId="77777777" w:rsidR="00185FBB" w:rsidRPr="00DD2EC8" w:rsidRDefault="00185FBB" w:rsidP="00185FBB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D2EC8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A.2.</w:t>
      </w:r>
      <w:r w:rsidRPr="00DD2EC8">
        <w:rPr>
          <w:rFonts w:ascii="Times New Roman" w:hAnsi="Times New Roman" w:cs="Times New Roman"/>
          <w:b/>
          <w:bCs/>
          <w:sz w:val="20"/>
          <w:szCs w:val="20"/>
        </w:rPr>
        <w:t xml:space="preserve"> Details of market unity distortions in other goods sectors.</w:t>
      </w:r>
    </w:p>
    <w:tbl>
      <w:tblPr>
        <w:tblStyle w:val="Tablanormal2"/>
        <w:tblW w:w="5000" w:type="pct"/>
        <w:tblLook w:val="04A0" w:firstRow="1" w:lastRow="0" w:firstColumn="1" w:lastColumn="0" w:noHBand="0" w:noVBand="1"/>
      </w:tblPr>
      <w:tblGrid>
        <w:gridCol w:w="610"/>
        <w:gridCol w:w="7111"/>
        <w:gridCol w:w="1305"/>
      </w:tblGrid>
      <w:tr w:rsidR="00185FBB" w:rsidRPr="00E74E65" w14:paraId="65C8EDFC" w14:textId="77777777" w:rsidTr="002D1D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</w:tcPr>
          <w:p w14:paraId="6B5B1BB3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 w:val="0"/>
                <w:sz w:val="16"/>
                <w:szCs w:val="16"/>
                <w:lang w:eastAsia="nl-BE"/>
              </w:rPr>
              <w:t>File</w:t>
            </w:r>
          </w:p>
        </w:tc>
        <w:tc>
          <w:tcPr>
            <w:tcW w:w="3939" w:type="pct"/>
            <w:vAlign w:val="center"/>
          </w:tcPr>
          <w:p w14:paraId="21429F76" w14:textId="77777777" w:rsidR="00185FBB" w:rsidRPr="00E74E65" w:rsidRDefault="00185FBB" w:rsidP="00185FB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 w:val="0"/>
                <w:sz w:val="16"/>
                <w:szCs w:val="16"/>
                <w:lang w:eastAsia="nl-BE"/>
              </w:rPr>
              <w:t xml:space="preserve">Description </w:t>
            </w:r>
          </w:p>
        </w:tc>
        <w:tc>
          <w:tcPr>
            <w:tcW w:w="723" w:type="pct"/>
            <w:vAlign w:val="center"/>
          </w:tcPr>
          <w:p w14:paraId="13EC280B" w14:textId="77777777" w:rsidR="00185FBB" w:rsidRPr="00E74E65" w:rsidRDefault="00185FBB" w:rsidP="00185FB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16"/>
                <w:szCs w:val="16"/>
                <w:lang w:eastAsia="es-ES"/>
              </w:rPr>
            </w:pPr>
            <w:r w:rsidRPr="00E74E65">
              <w:rPr>
                <w:rFonts w:ascii="Times New Roman" w:eastAsia="Times New Roman" w:hAnsi="Times New Roman" w:cs="Times New Roman"/>
                <w:bCs w:val="0"/>
                <w:sz w:val="16"/>
                <w:szCs w:val="16"/>
                <w:lang w:eastAsia="nl-BE"/>
              </w:rPr>
              <w:t>Sector</w:t>
            </w:r>
          </w:p>
        </w:tc>
      </w:tr>
      <w:tr w:rsidR="00185FBB" w:rsidRPr="00A755C6" w14:paraId="2298901B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685EBB08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eastAsia="es-ES"/>
              </w:rPr>
              <w:t>30</w:t>
            </w:r>
          </w:p>
        </w:tc>
        <w:tc>
          <w:tcPr>
            <w:tcW w:w="3939" w:type="pct"/>
            <w:vAlign w:val="center"/>
            <w:hideMark/>
          </w:tcPr>
          <w:p w14:paraId="1539FD9F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Requirement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to translate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all documentation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into Catalan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.</w:t>
            </w:r>
          </w:p>
        </w:tc>
        <w:tc>
          <w:tcPr>
            <w:tcW w:w="723" w:type="pct"/>
            <w:vAlign w:val="center"/>
            <w:hideMark/>
          </w:tcPr>
          <w:p w14:paraId="6CC37CD3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Vehicles</w:t>
            </w:r>
          </w:p>
        </w:tc>
      </w:tr>
      <w:tr w:rsidR="00185FBB" w:rsidRPr="00A755C6" w14:paraId="64E2322A" w14:textId="77777777" w:rsidTr="002D1D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51DD338D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s-ES"/>
              </w:rPr>
              <w:t>31</w:t>
            </w:r>
          </w:p>
        </w:tc>
        <w:tc>
          <w:tcPr>
            <w:tcW w:w="3939" w:type="pct"/>
            <w:vAlign w:val="center"/>
            <w:hideMark/>
          </w:tcPr>
          <w:p w14:paraId="2E0F7699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Logistics. Different timing of traffic restrictions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between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 regions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(making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transport flows of goods by road more expensive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)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. </w:t>
            </w:r>
          </w:p>
        </w:tc>
        <w:tc>
          <w:tcPr>
            <w:tcW w:w="723" w:type="pct"/>
            <w:vAlign w:val="center"/>
            <w:hideMark/>
          </w:tcPr>
          <w:p w14:paraId="2245A546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Vehicles</w:t>
            </w:r>
          </w:p>
        </w:tc>
      </w:tr>
      <w:tr w:rsidR="00185FBB" w:rsidRPr="00A755C6" w14:paraId="07ECE42E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54AB56E3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eastAsia="es-ES"/>
              </w:rPr>
              <w:t>32</w:t>
            </w:r>
          </w:p>
        </w:tc>
        <w:tc>
          <w:tcPr>
            <w:tcW w:w="3939" w:type="pct"/>
            <w:vAlign w:val="center"/>
            <w:hideMark/>
          </w:tcPr>
          <w:p w14:paraId="4C31364E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Regional d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ifferences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in environmental permits for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Spanish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automotive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manufacturers.</w:t>
            </w:r>
          </w:p>
        </w:tc>
        <w:tc>
          <w:tcPr>
            <w:tcW w:w="723" w:type="pct"/>
            <w:vAlign w:val="center"/>
            <w:hideMark/>
          </w:tcPr>
          <w:p w14:paraId="16FD2122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Vehicles</w:t>
            </w:r>
          </w:p>
        </w:tc>
      </w:tr>
      <w:tr w:rsidR="00185FBB" w:rsidRPr="00A755C6" w14:paraId="3544A176" w14:textId="77777777" w:rsidTr="002D1D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25FA6F7C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s-ES"/>
              </w:rPr>
              <w:t>33</w:t>
            </w:r>
          </w:p>
        </w:tc>
        <w:tc>
          <w:tcPr>
            <w:tcW w:w="3939" w:type="pct"/>
            <w:vAlign w:val="center"/>
            <w:hideMark/>
          </w:tcPr>
          <w:p w14:paraId="1393B96C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Differences in regulations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for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the control of emissions. </w:t>
            </w:r>
          </w:p>
        </w:tc>
        <w:tc>
          <w:tcPr>
            <w:tcW w:w="723" w:type="pct"/>
            <w:vAlign w:val="center"/>
            <w:hideMark/>
          </w:tcPr>
          <w:p w14:paraId="253D21C1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Cement </w:t>
            </w:r>
          </w:p>
        </w:tc>
      </w:tr>
      <w:tr w:rsidR="00185FBB" w:rsidRPr="00A755C6" w14:paraId="6D8F95F5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24F2F620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eastAsia="es-ES"/>
              </w:rPr>
              <w:t>34</w:t>
            </w:r>
          </w:p>
        </w:tc>
        <w:tc>
          <w:tcPr>
            <w:tcW w:w="3939" w:type="pct"/>
            <w:vAlign w:val="center"/>
            <w:hideMark/>
          </w:tcPr>
          <w:p w14:paraId="17D8DD54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Differen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ces in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 taxes and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the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monitori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ng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 of emissions costs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by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regional permit.</w:t>
            </w:r>
          </w:p>
        </w:tc>
        <w:tc>
          <w:tcPr>
            <w:tcW w:w="723" w:type="pct"/>
            <w:vAlign w:val="center"/>
            <w:hideMark/>
          </w:tcPr>
          <w:p w14:paraId="75AF9FBA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Cement </w:t>
            </w:r>
          </w:p>
        </w:tc>
      </w:tr>
      <w:tr w:rsidR="00185FBB" w:rsidRPr="00A755C6" w14:paraId="29AC6A24" w14:textId="77777777" w:rsidTr="002D1D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3878CDB8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s-ES"/>
              </w:rPr>
              <w:t>35</w:t>
            </w:r>
          </w:p>
        </w:tc>
        <w:tc>
          <w:tcPr>
            <w:tcW w:w="3939" w:type="pct"/>
            <w:vAlign w:val="center"/>
            <w:hideMark/>
          </w:tcPr>
          <w:p w14:paraId="0D78CD1C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Barriers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in some regions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to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 firms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seeking to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access public contracts.</w:t>
            </w:r>
          </w:p>
        </w:tc>
        <w:tc>
          <w:tcPr>
            <w:tcW w:w="723" w:type="pct"/>
            <w:vAlign w:val="center"/>
            <w:hideMark/>
          </w:tcPr>
          <w:p w14:paraId="6E6166AA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Construction</w:t>
            </w:r>
          </w:p>
        </w:tc>
      </w:tr>
      <w:tr w:rsidR="00185FBB" w:rsidRPr="00A755C6" w14:paraId="4FE0C3E0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5670AD96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eastAsia="es-ES"/>
              </w:rPr>
              <w:t>36</w:t>
            </w:r>
          </w:p>
        </w:tc>
        <w:tc>
          <w:tcPr>
            <w:tcW w:w="3939" w:type="pct"/>
            <w:vAlign w:val="center"/>
            <w:hideMark/>
          </w:tcPr>
          <w:p w14:paraId="3BC02A69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Regulatory differences in the construction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of public housing.</w:t>
            </w:r>
          </w:p>
        </w:tc>
        <w:tc>
          <w:tcPr>
            <w:tcW w:w="723" w:type="pct"/>
            <w:vAlign w:val="center"/>
            <w:hideMark/>
          </w:tcPr>
          <w:p w14:paraId="5627CC98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Construction</w:t>
            </w:r>
          </w:p>
        </w:tc>
      </w:tr>
      <w:tr w:rsidR="00185FBB" w:rsidRPr="00A755C6" w14:paraId="2F6C3F86" w14:textId="77777777" w:rsidTr="002D1D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7CC74E59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s-ES"/>
              </w:rPr>
              <w:t>37</w:t>
            </w:r>
          </w:p>
        </w:tc>
        <w:tc>
          <w:tcPr>
            <w:tcW w:w="3939" w:type="pct"/>
            <w:vAlign w:val="center"/>
            <w:hideMark/>
          </w:tcPr>
          <w:p w14:paraId="0515B4B5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Differences in electronic prescriptions.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(Four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 regions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.)</w:t>
            </w:r>
          </w:p>
        </w:tc>
        <w:tc>
          <w:tcPr>
            <w:tcW w:w="723" w:type="pct"/>
            <w:vAlign w:val="center"/>
            <w:hideMark/>
          </w:tcPr>
          <w:p w14:paraId="2CC22759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Pharmaceuticals</w:t>
            </w:r>
          </w:p>
        </w:tc>
      </w:tr>
      <w:tr w:rsidR="00185FBB" w:rsidRPr="00A755C6" w14:paraId="7E230288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66CDC860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eastAsia="es-ES"/>
              </w:rPr>
              <w:t>38</w:t>
            </w:r>
          </w:p>
        </w:tc>
        <w:tc>
          <w:tcPr>
            <w:tcW w:w="3939" w:type="pct"/>
            <w:vAlign w:val="center"/>
            <w:hideMark/>
          </w:tcPr>
          <w:p w14:paraId="7F8CFCC3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Regional differences in the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Health card.</w:t>
            </w:r>
          </w:p>
        </w:tc>
        <w:tc>
          <w:tcPr>
            <w:tcW w:w="723" w:type="pct"/>
            <w:vAlign w:val="center"/>
            <w:hideMark/>
          </w:tcPr>
          <w:p w14:paraId="5EC9C8A3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Pharmaceuticals</w:t>
            </w:r>
          </w:p>
        </w:tc>
      </w:tr>
      <w:tr w:rsidR="00185FBB" w:rsidRPr="00A755C6" w14:paraId="79AFAAD8" w14:textId="77777777" w:rsidTr="002D1D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20251C23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s-ES"/>
              </w:rPr>
              <w:t>39</w:t>
            </w:r>
          </w:p>
        </w:tc>
        <w:tc>
          <w:tcPr>
            <w:tcW w:w="3939" w:type="pct"/>
            <w:vAlign w:val="center"/>
            <w:hideMark/>
          </w:tcPr>
          <w:p w14:paraId="4AB52097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Regional differences in w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aste and packaging.</w:t>
            </w:r>
          </w:p>
        </w:tc>
        <w:tc>
          <w:tcPr>
            <w:tcW w:w="723" w:type="pct"/>
            <w:vAlign w:val="center"/>
            <w:hideMark/>
          </w:tcPr>
          <w:p w14:paraId="21B00B56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Pharmaceuticals</w:t>
            </w:r>
          </w:p>
        </w:tc>
      </w:tr>
      <w:tr w:rsidR="00185FBB" w:rsidRPr="00A755C6" w14:paraId="3E17CFF9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633A210B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eastAsia="es-ES"/>
              </w:rPr>
              <w:t>40</w:t>
            </w:r>
          </w:p>
        </w:tc>
        <w:tc>
          <w:tcPr>
            <w:tcW w:w="3939" w:type="pct"/>
            <w:vAlign w:val="center"/>
            <w:hideMark/>
          </w:tcPr>
          <w:p w14:paraId="48129782" w14:textId="77777777" w:rsidR="00185FBB" w:rsidRPr="004E62F4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Regional differences in the s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afety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regulations for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pharmaceutical studies (admin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istrative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 procedures). </w:t>
            </w:r>
          </w:p>
        </w:tc>
        <w:tc>
          <w:tcPr>
            <w:tcW w:w="723" w:type="pct"/>
            <w:vAlign w:val="center"/>
            <w:hideMark/>
          </w:tcPr>
          <w:p w14:paraId="0C4B4161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Pharmaceuticals</w:t>
            </w:r>
          </w:p>
        </w:tc>
      </w:tr>
      <w:tr w:rsidR="00185FBB" w:rsidRPr="00A755C6" w14:paraId="47185021" w14:textId="77777777" w:rsidTr="002D1D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329263F7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s-ES"/>
              </w:rPr>
              <w:t>41</w:t>
            </w:r>
          </w:p>
        </w:tc>
        <w:tc>
          <w:tcPr>
            <w:tcW w:w="3939" w:type="pct"/>
            <w:vAlign w:val="center"/>
            <w:hideMark/>
          </w:tcPr>
          <w:p w14:paraId="3511D2C6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Regional differences in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models/contracts for clinical tests.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(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Some regions follow a centralised model.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)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  </w:t>
            </w:r>
          </w:p>
        </w:tc>
        <w:tc>
          <w:tcPr>
            <w:tcW w:w="723" w:type="pct"/>
            <w:vAlign w:val="center"/>
            <w:hideMark/>
          </w:tcPr>
          <w:p w14:paraId="07CFB9D2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Pharmaceuticals</w:t>
            </w:r>
          </w:p>
        </w:tc>
      </w:tr>
      <w:tr w:rsidR="00185FBB" w:rsidRPr="00A755C6" w14:paraId="152F66CD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0AC6ED97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eastAsia="es-ES"/>
              </w:rPr>
              <w:t>42</w:t>
            </w:r>
          </w:p>
        </w:tc>
        <w:tc>
          <w:tcPr>
            <w:tcW w:w="3939" w:type="pct"/>
            <w:vAlign w:val="center"/>
            <w:hideMark/>
          </w:tcPr>
          <w:p w14:paraId="0C95670A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Differences at regional and nation level for r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ecruitment in the public sector. </w:t>
            </w:r>
          </w:p>
        </w:tc>
        <w:tc>
          <w:tcPr>
            <w:tcW w:w="723" w:type="pct"/>
            <w:vAlign w:val="center"/>
            <w:hideMark/>
          </w:tcPr>
          <w:p w14:paraId="5A9EB26A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Pharmaceuticals</w:t>
            </w:r>
          </w:p>
        </w:tc>
      </w:tr>
      <w:tr w:rsidR="00185FBB" w:rsidRPr="00A755C6" w14:paraId="7599B892" w14:textId="77777777" w:rsidTr="002D1D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5687753A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s-ES"/>
              </w:rPr>
              <w:t>43</w:t>
            </w:r>
          </w:p>
        </w:tc>
        <w:tc>
          <w:tcPr>
            <w:tcW w:w="3939" w:type="pct"/>
            <w:vAlign w:val="center"/>
            <w:hideMark/>
          </w:tcPr>
          <w:p w14:paraId="25A91919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Problems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in the prescription of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treatments due to regional requirements (also related to IT barriers).</w:t>
            </w:r>
          </w:p>
        </w:tc>
        <w:tc>
          <w:tcPr>
            <w:tcW w:w="723" w:type="pct"/>
            <w:vAlign w:val="center"/>
            <w:hideMark/>
          </w:tcPr>
          <w:p w14:paraId="6334A48E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Pharmaceuticals</w:t>
            </w:r>
          </w:p>
        </w:tc>
      </w:tr>
      <w:tr w:rsidR="00185FBB" w:rsidRPr="00A755C6" w14:paraId="2D539D2F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254AA2D7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eastAsia="es-ES"/>
              </w:rPr>
              <w:t>44</w:t>
            </w:r>
          </w:p>
        </w:tc>
        <w:tc>
          <w:tcPr>
            <w:tcW w:w="3939" w:type="pct"/>
            <w:vAlign w:val="center"/>
            <w:hideMark/>
          </w:tcPr>
          <w:p w14:paraId="3B55D7DD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Regional differences in energy, although r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ates are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the same throughout Spain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.</w:t>
            </w:r>
          </w:p>
        </w:tc>
        <w:tc>
          <w:tcPr>
            <w:tcW w:w="723" w:type="pct"/>
            <w:vAlign w:val="center"/>
            <w:hideMark/>
          </w:tcPr>
          <w:p w14:paraId="6747173E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Electricity</w:t>
            </w:r>
          </w:p>
        </w:tc>
      </w:tr>
      <w:tr w:rsidR="00185FBB" w:rsidRPr="00A755C6" w14:paraId="59EF695A" w14:textId="77777777" w:rsidTr="002D1D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7BC1F0FB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s-ES"/>
              </w:rPr>
              <w:t>45</w:t>
            </w:r>
          </w:p>
        </w:tc>
        <w:tc>
          <w:tcPr>
            <w:tcW w:w="3939" w:type="pct"/>
            <w:vAlign w:val="center"/>
            <w:hideMark/>
          </w:tcPr>
          <w:p w14:paraId="5A46D660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Regional administrative hurdles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to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authorisation for the construction, modification and use of installations.</w:t>
            </w:r>
          </w:p>
        </w:tc>
        <w:tc>
          <w:tcPr>
            <w:tcW w:w="723" w:type="pct"/>
            <w:vAlign w:val="center"/>
            <w:hideMark/>
          </w:tcPr>
          <w:p w14:paraId="6A9B1131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Electricity</w:t>
            </w:r>
          </w:p>
        </w:tc>
      </w:tr>
      <w:tr w:rsidR="00185FBB" w:rsidRPr="00A755C6" w14:paraId="162CDC5C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50A998C1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eastAsia="es-ES"/>
              </w:rPr>
              <w:t>46</w:t>
            </w:r>
          </w:p>
        </w:tc>
        <w:tc>
          <w:tcPr>
            <w:tcW w:w="3939" w:type="pct"/>
            <w:vAlign w:val="center"/>
            <w:hideMark/>
          </w:tcPr>
          <w:p w14:paraId="15561602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Regional differences in the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requirements to set up electric networks (19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systems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). </w:t>
            </w:r>
          </w:p>
        </w:tc>
        <w:tc>
          <w:tcPr>
            <w:tcW w:w="723" w:type="pct"/>
            <w:vAlign w:val="center"/>
            <w:hideMark/>
          </w:tcPr>
          <w:p w14:paraId="229701CD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Electricity</w:t>
            </w:r>
          </w:p>
        </w:tc>
      </w:tr>
      <w:tr w:rsidR="00185FBB" w:rsidRPr="00A755C6" w14:paraId="545806A7" w14:textId="77777777" w:rsidTr="002D1D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520E6274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s-ES"/>
              </w:rPr>
              <w:t>47</w:t>
            </w:r>
          </w:p>
        </w:tc>
        <w:tc>
          <w:tcPr>
            <w:tcW w:w="3939" w:type="pct"/>
            <w:vAlign w:val="center"/>
            <w:hideMark/>
          </w:tcPr>
          <w:p w14:paraId="0CE3DC5A" w14:textId="77777777" w:rsidR="00185FBB" w:rsidRPr="004E62F4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Regional differences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in requirements for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product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packaging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 (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19 systems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)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.</w:t>
            </w:r>
          </w:p>
        </w:tc>
        <w:tc>
          <w:tcPr>
            <w:tcW w:w="723" w:type="pct"/>
            <w:vAlign w:val="center"/>
            <w:hideMark/>
          </w:tcPr>
          <w:p w14:paraId="1C8924DD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Chemicals</w:t>
            </w:r>
          </w:p>
        </w:tc>
      </w:tr>
      <w:tr w:rsidR="00185FBB" w:rsidRPr="00A755C6" w14:paraId="1939AAE4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500422BD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eastAsia="es-ES"/>
              </w:rPr>
              <w:t>48</w:t>
            </w:r>
          </w:p>
        </w:tc>
        <w:tc>
          <w:tcPr>
            <w:tcW w:w="3939" w:type="pct"/>
            <w:vAlign w:val="center"/>
            <w:hideMark/>
          </w:tcPr>
          <w:p w14:paraId="49B57FFB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Requirements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unique to Andalusia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for the commercialisation of specific chemical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s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.</w:t>
            </w:r>
          </w:p>
        </w:tc>
        <w:tc>
          <w:tcPr>
            <w:tcW w:w="723" w:type="pct"/>
            <w:vAlign w:val="center"/>
            <w:hideMark/>
          </w:tcPr>
          <w:p w14:paraId="52FB996C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Chemicals</w:t>
            </w:r>
          </w:p>
        </w:tc>
      </w:tr>
      <w:tr w:rsidR="00185FBB" w:rsidRPr="00A755C6" w14:paraId="6847DD4E" w14:textId="77777777" w:rsidTr="002D1D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545D9A75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s-ES"/>
              </w:rPr>
              <w:t>49</w:t>
            </w:r>
          </w:p>
        </w:tc>
        <w:tc>
          <w:tcPr>
            <w:tcW w:w="3939" w:type="pct"/>
            <w:vAlign w:val="center"/>
            <w:hideMark/>
          </w:tcPr>
          <w:p w14:paraId="25FB6C19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Regional differences in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the treatment of water for consumption.</w:t>
            </w:r>
          </w:p>
        </w:tc>
        <w:tc>
          <w:tcPr>
            <w:tcW w:w="723" w:type="pct"/>
            <w:vAlign w:val="center"/>
            <w:hideMark/>
          </w:tcPr>
          <w:p w14:paraId="396EBCA5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Chemicals</w:t>
            </w:r>
          </w:p>
        </w:tc>
      </w:tr>
      <w:tr w:rsidR="00185FBB" w:rsidRPr="00A755C6" w14:paraId="704FB5E0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2801F199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3939" w:type="pct"/>
            <w:vAlign w:val="center"/>
            <w:hideMark/>
          </w:tcPr>
          <w:p w14:paraId="6D9E4283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R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equirement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unique to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Andalusia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for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opening a business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- Obtaining a permit on impact on public health. </w:t>
            </w:r>
          </w:p>
        </w:tc>
        <w:tc>
          <w:tcPr>
            <w:tcW w:w="723" w:type="pct"/>
            <w:vAlign w:val="center"/>
            <w:hideMark/>
          </w:tcPr>
          <w:p w14:paraId="6B6A83D0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Inter-sectoral</w:t>
            </w:r>
          </w:p>
        </w:tc>
      </w:tr>
      <w:tr w:rsidR="00185FBB" w:rsidRPr="00A755C6" w14:paraId="00D1337E" w14:textId="77777777" w:rsidTr="002D1D1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3D014132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es-ES"/>
              </w:rPr>
              <w:t>51</w:t>
            </w:r>
          </w:p>
        </w:tc>
        <w:tc>
          <w:tcPr>
            <w:tcW w:w="3939" w:type="pct"/>
            <w:vAlign w:val="center"/>
            <w:hideMark/>
          </w:tcPr>
          <w:p w14:paraId="742EE783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Regional differences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in tax-filing procedures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.</w:t>
            </w:r>
          </w:p>
        </w:tc>
        <w:tc>
          <w:tcPr>
            <w:tcW w:w="723" w:type="pct"/>
            <w:vAlign w:val="center"/>
            <w:hideMark/>
          </w:tcPr>
          <w:p w14:paraId="46749050" w14:textId="77777777" w:rsidR="00185FBB" w:rsidRPr="003001D1" w:rsidRDefault="00185FBB" w:rsidP="00185FB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Inter-sectoral</w:t>
            </w:r>
          </w:p>
        </w:tc>
      </w:tr>
      <w:tr w:rsidR="00185FBB" w:rsidRPr="00A755C6" w14:paraId="4566E43C" w14:textId="77777777" w:rsidTr="002D1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vAlign w:val="center"/>
            <w:hideMark/>
          </w:tcPr>
          <w:p w14:paraId="74B127DC" w14:textId="77777777" w:rsidR="00185FBB" w:rsidRPr="00E74E65" w:rsidRDefault="00185FBB" w:rsidP="00185FB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val="es-ES" w:eastAsia="es-ES"/>
              </w:rPr>
            </w:pPr>
            <w:r w:rsidRPr="00E74E65">
              <w:rPr>
                <w:rFonts w:ascii="Times New Roman" w:eastAsia="Times New Roman" w:hAnsi="Times New Roman" w:cs="Times New Roman"/>
                <w:b w:val="0"/>
                <w:bCs w:val="0"/>
                <w:iCs/>
                <w:color w:val="000000"/>
                <w:sz w:val="16"/>
                <w:szCs w:val="16"/>
                <w:lang w:eastAsia="es-ES"/>
              </w:rPr>
              <w:t>52</w:t>
            </w:r>
          </w:p>
        </w:tc>
        <w:tc>
          <w:tcPr>
            <w:tcW w:w="3939" w:type="pct"/>
            <w:vAlign w:val="center"/>
            <w:hideMark/>
          </w:tcPr>
          <w:p w14:paraId="4B5320E1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 xml:space="preserve">Regional differences in </w:t>
            </w: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procedures and criteria for the acquisition of health technology.</w:t>
            </w:r>
          </w:p>
        </w:tc>
        <w:tc>
          <w:tcPr>
            <w:tcW w:w="723" w:type="pct"/>
            <w:vAlign w:val="center"/>
            <w:hideMark/>
          </w:tcPr>
          <w:p w14:paraId="4F2123CA" w14:textId="77777777" w:rsidR="00185FBB" w:rsidRPr="003001D1" w:rsidRDefault="00185FBB" w:rsidP="00185FB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3001D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Health</w:t>
            </w:r>
          </w:p>
        </w:tc>
      </w:tr>
    </w:tbl>
    <w:p w14:paraId="174EA233" w14:textId="77777777" w:rsidR="00185FBB" w:rsidRPr="00A755C6" w:rsidRDefault="00185FBB" w:rsidP="00185FB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A755C6">
        <w:rPr>
          <w:rFonts w:ascii="Times New Roman" w:hAnsi="Times New Roman" w:cs="Times New Roman"/>
          <w:sz w:val="18"/>
          <w:szCs w:val="18"/>
        </w:rPr>
        <w:t xml:space="preserve">Source: </w:t>
      </w:r>
      <w:proofErr w:type="gramStart"/>
      <w:r w:rsidRPr="00A755C6">
        <w:rPr>
          <w:rFonts w:ascii="Times New Roman" w:hAnsi="Times New Roman" w:cs="Times New Roman"/>
          <w:sz w:val="18"/>
          <w:szCs w:val="18"/>
        </w:rPr>
        <w:t>CEOE(</w:t>
      </w:r>
      <w:proofErr w:type="gramEnd"/>
      <w:r w:rsidRPr="00A755C6">
        <w:rPr>
          <w:rFonts w:ascii="Times New Roman" w:hAnsi="Times New Roman" w:cs="Times New Roman"/>
          <w:sz w:val="18"/>
          <w:szCs w:val="18"/>
        </w:rPr>
        <w:t>2012)</w:t>
      </w:r>
    </w:p>
    <w:p w14:paraId="20321C8A" w14:textId="77777777" w:rsidR="004423AF" w:rsidRPr="00185FBB" w:rsidRDefault="004423AF" w:rsidP="00185FBB"/>
    <w:sectPr w:rsidR="004423AF" w:rsidRPr="00185F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9E2589" w14:textId="77777777" w:rsidR="00C24743" w:rsidRDefault="00C24743" w:rsidP="004423AF">
      <w:pPr>
        <w:spacing w:after="0" w:line="240" w:lineRule="auto"/>
      </w:pPr>
      <w:r>
        <w:separator/>
      </w:r>
    </w:p>
  </w:endnote>
  <w:endnote w:type="continuationSeparator" w:id="0">
    <w:p w14:paraId="169F626D" w14:textId="77777777" w:rsidR="00C24743" w:rsidRDefault="00C24743" w:rsidP="00442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E3B9D9" w14:textId="77777777" w:rsidR="00C24743" w:rsidRDefault="00C24743" w:rsidP="004423AF">
      <w:pPr>
        <w:spacing w:after="0" w:line="240" w:lineRule="auto"/>
      </w:pPr>
      <w:r>
        <w:separator/>
      </w:r>
    </w:p>
  </w:footnote>
  <w:footnote w:type="continuationSeparator" w:id="0">
    <w:p w14:paraId="502EA1C2" w14:textId="77777777" w:rsidR="00C24743" w:rsidRDefault="00C24743" w:rsidP="004423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10627"/>
    <w:multiLevelType w:val="multilevel"/>
    <w:tmpl w:val="13C23DF0"/>
    <w:lvl w:ilvl="0">
      <w:start w:val="1"/>
      <w:numFmt w:val="decimal"/>
      <w:lvlText w:val="%1"/>
      <w:lvlJc w:val="left"/>
      <w:pPr>
        <w:ind w:left="472" w:hanging="472"/>
      </w:pPr>
      <w:rPr>
        <w:rFonts w:hint="default"/>
        <w:lang w:val="en-GB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48093A59"/>
    <w:multiLevelType w:val="hybridMultilevel"/>
    <w:tmpl w:val="1E5E5E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64905"/>
    <w:multiLevelType w:val="hybridMultilevel"/>
    <w:tmpl w:val="B82ABBCE"/>
    <w:lvl w:ilvl="0" w:tplc="742407D0">
      <w:start w:val="1"/>
      <w:numFmt w:val="decimal"/>
      <w:lvlText w:val="%1."/>
      <w:lvlJc w:val="left"/>
      <w:pPr>
        <w:ind w:left="720" w:hanging="360"/>
      </w:pPr>
      <w:rPr>
        <w:lang w:val="en-GB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92D6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8FC1B33"/>
    <w:multiLevelType w:val="hybridMultilevel"/>
    <w:tmpl w:val="58B6D9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GB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CE"/>
    <w:rsid w:val="00185FBB"/>
    <w:rsid w:val="002C2DF0"/>
    <w:rsid w:val="004423AF"/>
    <w:rsid w:val="00716CE9"/>
    <w:rsid w:val="007361D6"/>
    <w:rsid w:val="00783063"/>
    <w:rsid w:val="00801B9F"/>
    <w:rsid w:val="00895E0F"/>
    <w:rsid w:val="009F6FD3"/>
    <w:rsid w:val="00A642C0"/>
    <w:rsid w:val="00AB2AE7"/>
    <w:rsid w:val="00C24743"/>
    <w:rsid w:val="00CE6FF9"/>
    <w:rsid w:val="00D6022A"/>
    <w:rsid w:val="00D77055"/>
    <w:rsid w:val="00E734CE"/>
    <w:rsid w:val="00F0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A91B90"/>
  <w15:chartTrackingRefBased/>
  <w15:docId w15:val="{54059DAB-5C1F-4A02-8041-635F1A455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4CE"/>
    <w:pPr>
      <w:spacing w:after="200" w:line="276" w:lineRule="auto"/>
    </w:pPr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E734CE"/>
    <w:pPr>
      <w:spacing w:after="24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Textoennegrita">
    <w:name w:val="Strong"/>
    <w:basedOn w:val="Fuentedeprrafopredeter"/>
    <w:uiPriority w:val="22"/>
    <w:qFormat/>
    <w:rsid w:val="00E734CE"/>
    <w:rPr>
      <w:b/>
      <w:bCs/>
    </w:rPr>
  </w:style>
  <w:style w:type="table" w:styleId="Tablanormal2">
    <w:name w:val="Plain Table 2"/>
    <w:basedOn w:val="Tablanormal"/>
    <w:uiPriority w:val="42"/>
    <w:rsid w:val="00E734CE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">
    <w:name w:val="Table Grid"/>
    <w:basedOn w:val="Tablanormal"/>
    <w:uiPriority w:val="59"/>
    <w:rsid w:val="00442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unhideWhenUsed/>
    <w:rsid w:val="004423A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423AF"/>
    <w:rPr>
      <w:sz w:val="20"/>
      <w:szCs w:val="20"/>
      <w:lang w:val="en-GB"/>
    </w:rPr>
  </w:style>
  <w:style w:type="character" w:styleId="Refdenotaalpie">
    <w:name w:val="footnote reference"/>
    <w:basedOn w:val="Fuentedeprrafopredeter"/>
    <w:uiPriority w:val="99"/>
    <w:unhideWhenUsed/>
    <w:rsid w:val="004423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1416</Words>
  <Characters>7791</Characters>
  <Application>Microsoft Office Word</Application>
  <DocSecurity>0</DocSecurity>
  <Lines>64</Lines>
  <Paragraphs>18</Paragraphs>
  <ScaleCrop>false</ScaleCrop>
  <Company/>
  <LinksUpToDate>false</LinksUpToDate>
  <CharactersWithSpaces>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carlos.llano@uam.es</dc:creator>
  <cp:keywords/>
  <dc:description/>
  <cp:lastModifiedBy>carlos.llano@uam.es</cp:lastModifiedBy>
  <cp:revision>4</cp:revision>
  <dcterms:created xsi:type="dcterms:W3CDTF">2021-01-18T18:49:00Z</dcterms:created>
  <dcterms:modified xsi:type="dcterms:W3CDTF">2021-01-20T15:21:00Z</dcterms:modified>
</cp:coreProperties>
</file>