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741B" w14:textId="77777777" w:rsidR="001B1ECC" w:rsidRPr="00057F2F" w:rsidRDefault="007F21EA" w:rsidP="0038582D">
      <w:pPr>
        <w:spacing w:after="0"/>
        <w:jc w:val="center"/>
        <w:rPr>
          <w:rFonts w:ascii="Times New Roman" w:hAnsi="Times New Roman" w:cs="Times New Roman"/>
          <w:i/>
          <w:iCs/>
          <w:sz w:val="25"/>
          <w:szCs w:val="25"/>
          <w:lang w:val="en-GB" w:eastAsia="it-IT"/>
        </w:rPr>
      </w:pPr>
      <w:r w:rsidRPr="00057F2F">
        <w:rPr>
          <w:rFonts w:ascii="Times New Roman" w:hAnsi="Times New Roman" w:cs="Times New Roman"/>
          <w:i/>
          <w:iCs/>
          <w:sz w:val="25"/>
          <w:szCs w:val="25"/>
          <w:lang w:val="en-GB" w:eastAsia="it-IT"/>
        </w:rPr>
        <w:t>Functional specialization and upgrading</w:t>
      </w:r>
      <w:r w:rsidR="001B1ECC" w:rsidRPr="00057F2F">
        <w:rPr>
          <w:rFonts w:ascii="Times New Roman" w:hAnsi="Times New Roman" w:cs="Times New Roman"/>
          <w:i/>
          <w:iCs/>
          <w:sz w:val="25"/>
          <w:szCs w:val="25"/>
          <w:lang w:val="en-GB" w:eastAsia="it-IT"/>
        </w:rPr>
        <w:t xml:space="preserve"> along global value chains</w:t>
      </w:r>
      <w:r w:rsidRPr="00057F2F">
        <w:rPr>
          <w:rFonts w:ascii="Times New Roman" w:hAnsi="Times New Roman" w:cs="Times New Roman"/>
          <w:i/>
          <w:iCs/>
          <w:sz w:val="25"/>
          <w:szCs w:val="25"/>
          <w:lang w:val="en-GB" w:eastAsia="it-IT"/>
        </w:rPr>
        <w:t xml:space="preserve"> in European regions:</w:t>
      </w:r>
    </w:p>
    <w:p w14:paraId="19981249" w14:textId="3CD0685C" w:rsidR="007F21EA" w:rsidRPr="00057F2F" w:rsidRDefault="007F21EA" w:rsidP="0038582D">
      <w:pPr>
        <w:spacing w:after="0"/>
        <w:jc w:val="center"/>
        <w:rPr>
          <w:rFonts w:ascii="Times New Roman" w:hAnsi="Times New Roman" w:cs="Times New Roman"/>
          <w:i/>
          <w:iCs/>
          <w:sz w:val="25"/>
          <w:szCs w:val="25"/>
          <w:lang w:val="en-GB" w:eastAsia="it-IT"/>
        </w:rPr>
      </w:pPr>
      <w:r w:rsidRPr="00057F2F">
        <w:rPr>
          <w:rFonts w:ascii="Times New Roman" w:hAnsi="Times New Roman" w:cs="Times New Roman"/>
          <w:i/>
          <w:iCs/>
          <w:sz w:val="25"/>
          <w:szCs w:val="25"/>
          <w:lang w:val="en-GB" w:eastAsia="it-IT"/>
        </w:rPr>
        <w:t>new insights from FDI data</w:t>
      </w:r>
    </w:p>
    <w:p w14:paraId="5F2A5F09" w14:textId="7A52AE3A" w:rsidR="008D59D1" w:rsidRPr="00057F2F" w:rsidRDefault="0055084D" w:rsidP="0038582D">
      <w:pPr>
        <w:pStyle w:val="Titolo1"/>
        <w:spacing w:after="240"/>
        <w:jc w:val="center"/>
        <w:rPr>
          <w:rFonts w:ascii="Times New Roman" w:hAnsi="Times New Roman" w:cs="Times New Roman"/>
          <w:b/>
          <w:bCs/>
          <w:color w:val="auto"/>
          <w:sz w:val="36"/>
          <w:szCs w:val="36"/>
          <w:lang w:val="en-GB" w:eastAsia="it-IT"/>
        </w:rPr>
      </w:pPr>
      <w:r w:rsidRPr="00057F2F">
        <w:rPr>
          <w:rFonts w:ascii="Times New Roman" w:hAnsi="Times New Roman" w:cs="Times New Roman"/>
          <w:b/>
          <w:bCs/>
          <w:color w:val="auto"/>
          <w:sz w:val="36"/>
          <w:szCs w:val="36"/>
          <w:lang w:val="en-GB" w:eastAsia="it-IT"/>
        </w:rPr>
        <w:t>Tables</w:t>
      </w:r>
      <w:r w:rsidR="00B17EF6" w:rsidRPr="00057F2F">
        <w:rPr>
          <w:rFonts w:ascii="Times New Roman" w:hAnsi="Times New Roman" w:cs="Times New Roman"/>
          <w:b/>
          <w:bCs/>
          <w:color w:val="auto"/>
          <w:sz w:val="36"/>
          <w:szCs w:val="36"/>
          <w:lang w:val="en-GB" w:eastAsia="it-IT"/>
        </w:rPr>
        <w:t xml:space="preserve"> and Figures</w:t>
      </w:r>
      <w:r w:rsidRPr="00057F2F">
        <w:rPr>
          <w:rFonts w:ascii="Times New Roman" w:hAnsi="Times New Roman" w:cs="Times New Roman"/>
          <w:b/>
          <w:bCs/>
          <w:color w:val="auto"/>
          <w:sz w:val="36"/>
          <w:szCs w:val="36"/>
          <w:lang w:val="en-GB" w:eastAsia="it-IT"/>
        </w:rPr>
        <w:t xml:space="preserve"> in the </w:t>
      </w:r>
      <w:r w:rsidR="007A4725" w:rsidRPr="00057F2F">
        <w:rPr>
          <w:rFonts w:ascii="Times New Roman" w:hAnsi="Times New Roman" w:cs="Times New Roman"/>
          <w:b/>
          <w:bCs/>
          <w:color w:val="auto"/>
          <w:sz w:val="36"/>
          <w:szCs w:val="36"/>
          <w:lang w:val="en-GB" w:eastAsia="it-IT"/>
        </w:rPr>
        <w:t>Online Supplementary Material</w:t>
      </w:r>
    </w:p>
    <w:p w14:paraId="7D578A26" w14:textId="77777777" w:rsidR="00B17EF6" w:rsidRPr="00057F2F" w:rsidRDefault="00B17EF6" w:rsidP="0055084D">
      <w:pPr>
        <w:spacing w:after="120"/>
        <w:jc w:val="both"/>
        <w:rPr>
          <w:rFonts w:ascii="Times New Roman" w:hAnsi="Times New Roman" w:cs="Times New Roman"/>
          <w:sz w:val="24"/>
          <w:szCs w:val="24"/>
          <w:lang w:val="en-GB"/>
        </w:rPr>
      </w:pPr>
    </w:p>
    <w:p w14:paraId="1F6CCBA5" w14:textId="673EFD56" w:rsidR="00B17EF6" w:rsidRPr="00057F2F" w:rsidRDefault="00B17EF6" w:rsidP="00B17EF6">
      <w:pPr>
        <w:pStyle w:val="Titolo2"/>
      </w:pPr>
      <w:r w:rsidRPr="00057F2F">
        <w:t xml:space="preserve">Appendix A. Descriptive statistics on </w:t>
      </w:r>
      <w:proofErr w:type="spellStart"/>
      <w:r w:rsidRPr="00057F2F">
        <w:t>fDi</w:t>
      </w:r>
      <w:proofErr w:type="spellEnd"/>
      <w:r w:rsidRPr="00057F2F">
        <w:t xml:space="preserve"> Markets</w:t>
      </w:r>
    </w:p>
    <w:p w14:paraId="7D3DCBB2" w14:textId="77777777" w:rsidR="00B17EF6" w:rsidRPr="00057F2F" w:rsidRDefault="00B17EF6" w:rsidP="00B17EF6">
      <w:pPr>
        <w:jc w:val="both"/>
        <w:rPr>
          <w:rFonts w:ascii="Times New Roman" w:hAnsi="Times New Roman" w:cs="Times New Roman"/>
          <w:lang w:val="en-GB"/>
        </w:rPr>
      </w:pPr>
      <w:r w:rsidRPr="00057F2F">
        <w:rPr>
          <w:rFonts w:ascii="Times New Roman" w:hAnsi="Times New Roman" w:cs="Times New Roman"/>
          <w:lang w:val="en-GB"/>
        </w:rPr>
        <w:t>This appendix provides additional descriptive evidence on the structure and distribution of the greenfield FDI dataset used in the analysis.</w:t>
      </w:r>
    </w:p>
    <w:p w14:paraId="46BC7695" w14:textId="77777777" w:rsidR="00B17EF6" w:rsidRPr="00057F2F" w:rsidRDefault="00B17EF6" w:rsidP="00B17EF6">
      <w:pPr>
        <w:jc w:val="both"/>
        <w:rPr>
          <w:rFonts w:ascii="Times New Roman" w:hAnsi="Times New Roman" w:cs="Times New Roman"/>
          <w:lang w:val="en-GB"/>
        </w:rPr>
      </w:pPr>
    </w:p>
    <w:p w14:paraId="471E02FA" w14:textId="616F02DB" w:rsidR="00B17EF6" w:rsidRPr="00057F2F" w:rsidRDefault="00B17EF6" w:rsidP="00DB415F">
      <w:pPr>
        <w:pStyle w:val="Titolo3"/>
      </w:pPr>
      <w:r w:rsidRPr="00057F2F">
        <w:rPr>
          <w:b/>
          <w:bCs/>
        </w:rPr>
        <w:t>Table A</w:t>
      </w:r>
      <w:r w:rsidR="00EF5144" w:rsidRPr="00057F2F">
        <w:rPr>
          <w:b/>
          <w:bCs/>
        </w:rPr>
        <w:t>.</w:t>
      </w:r>
      <w:r w:rsidRPr="00057F2F">
        <w:rPr>
          <w:b/>
          <w:bCs/>
        </w:rPr>
        <w:t>1.</w:t>
      </w:r>
      <w:r w:rsidRPr="00057F2F">
        <w:t xml:space="preserve"> Number of greenfield FDI projects by year (2003–2018) and period</w:t>
      </w:r>
    </w:p>
    <w:tbl>
      <w:tblPr>
        <w:tblW w:w="5892" w:type="dxa"/>
        <w:jc w:val="center"/>
        <w:tblCellMar>
          <w:left w:w="70" w:type="dxa"/>
          <w:right w:w="70" w:type="dxa"/>
        </w:tblCellMar>
        <w:tblLook w:val="04A0" w:firstRow="1" w:lastRow="0" w:firstColumn="1" w:lastColumn="0" w:noHBand="0" w:noVBand="1"/>
      </w:tblPr>
      <w:tblGrid>
        <w:gridCol w:w="2830"/>
        <w:gridCol w:w="1531"/>
        <w:gridCol w:w="1531"/>
      </w:tblGrid>
      <w:tr w:rsidR="00DB415F" w:rsidRPr="00057F2F" w14:paraId="41936592" w14:textId="77777777" w:rsidTr="00C0398A">
        <w:trPr>
          <w:trHeight w:val="227"/>
          <w:jc w:val="center"/>
        </w:trPr>
        <w:tc>
          <w:tcPr>
            <w:tcW w:w="2830" w:type="dxa"/>
            <w:tcBorders>
              <w:top w:val="single" w:sz="4" w:space="0" w:color="auto"/>
              <w:bottom w:val="single" w:sz="4" w:space="0" w:color="auto"/>
            </w:tcBorders>
            <w:noWrap/>
            <w:vAlign w:val="center"/>
            <w:hideMark/>
          </w:tcPr>
          <w:p w14:paraId="676AF3DE" w14:textId="77777777" w:rsidR="00DB415F" w:rsidRPr="00057F2F" w:rsidRDefault="00DB415F" w:rsidP="00C0398A">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Year</w:t>
            </w:r>
          </w:p>
        </w:tc>
        <w:tc>
          <w:tcPr>
            <w:tcW w:w="1531" w:type="dxa"/>
            <w:tcBorders>
              <w:top w:val="single" w:sz="4" w:space="0" w:color="auto"/>
              <w:bottom w:val="single" w:sz="4" w:space="0" w:color="auto"/>
            </w:tcBorders>
            <w:noWrap/>
            <w:vAlign w:val="center"/>
            <w:hideMark/>
          </w:tcPr>
          <w:p w14:paraId="0D1A6EB5" w14:textId="77777777" w:rsidR="00DB415F" w:rsidRPr="00057F2F" w:rsidRDefault="00DB415F" w:rsidP="00C0398A">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Number of FDI</w:t>
            </w:r>
          </w:p>
        </w:tc>
        <w:tc>
          <w:tcPr>
            <w:tcW w:w="1531" w:type="dxa"/>
            <w:tcBorders>
              <w:top w:val="single" w:sz="4" w:space="0" w:color="auto"/>
              <w:bottom w:val="single" w:sz="4" w:space="0" w:color="auto"/>
            </w:tcBorders>
            <w:noWrap/>
            <w:vAlign w:val="center"/>
            <w:hideMark/>
          </w:tcPr>
          <w:p w14:paraId="4A15CE2D" w14:textId="77777777" w:rsidR="00DB415F" w:rsidRPr="00057F2F" w:rsidRDefault="00DB415F" w:rsidP="00C0398A">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Share (%)</w:t>
            </w:r>
          </w:p>
        </w:tc>
      </w:tr>
      <w:tr w:rsidR="00DB415F" w:rsidRPr="00057F2F" w14:paraId="5EC5D473" w14:textId="77777777" w:rsidTr="00C0398A">
        <w:trPr>
          <w:trHeight w:val="227"/>
          <w:jc w:val="center"/>
        </w:trPr>
        <w:tc>
          <w:tcPr>
            <w:tcW w:w="2830" w:type="dxa"/>
            <w:tcBorders>
              <w:top w:val="single" w:sz="4" w:space="0" w:color="auto"/>
            </w:tcBorders>
            <w:noWrap/>
            <w:vAlign w:val="center"/>
            <w:hideMark/>
          </w:tcPr>
          <w:p w14:paraId="4EAC67FB"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2003</w:t>
            </w:r>
          </w:p>
        </w:tc>
        <w:tc>
          <w:tcPr>
            <w:tcW w:w="1531" w:type="dxa"/>
            <w:tcBorders>
              <w:top w:val="single" w:sz="4" w:space="0" w:color="auto"/>
            </w:tcBorders>
            <w:noWrap/>
            <w:vAlign w:val="center"/>
            <w:hideMark/>
          </w:tcPr>
          <w:p w14:paraId="471DEF23"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1,903</w:t>
            </w:r>
          </w:p>
        </w:tc>
        <w:tc>
          <w:tcPr>
            <w:tcW w:w="1531" w:type="dxa"/>
            <w:tcBorders>
              <w:top w:val="single" w:sz="4" w:space="0" w:color="auto"/>
            </w:tcBorders>
            <w:noWrap/>
            <w:vAlign w:val="center"/>
            <w:hideMark/>
          </w:tcPr>
          <w:p w14:paraId="626BDB38"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3.37</w:t>
            </w:r>
          </w:p>
        </w:tc>
      </w:tr>
      <w:tr w:rsidR="00DB415F" w:rsidRPr="00057F2F" w14:paraId="3DB055DD" w14:textId="77777777" w:rsidTr="00C0398A">
        <w:trPr>
          <w:trHeight w:val="227"/>
          <w:jc w:val="center"/>
        </w:trPr>
        <w:tc>
          <w:tcPr>
            <w:tcW w:w="2830" w:type="dxa"/>
            <w:noWrap/>
            <w:vAlign w:val="center"/>
            <w:hideMark/>
          </w:tcPr>
          <w:p w14:paraId="66742933"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2004</w:t>
            </w:r>
          </w:p>
        </w:tc>
        <w:tc>
          <w:tcPr>
            <w:tcW w:w="1531" w:type="dxa"/>
            <w:noWrap/>
            <w:vAlign w:val="center"/>
            <w:hideMark/>
          </w:tcPr>
          <w:p w14:paraId="115D792C"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2,412</w:t>
            </w:r>
          </w:p>
        </w:tc>
        <w:tc>
          <w:tcPr>
            <w:tcW w:w="1531" w:type="dxa"/>
            <w:noWrap/>
            <w:vAlign w:val="center"/>
            <w:hideMark/>
          </w:tcPr>
          <w:p w14:paraId="49FE5930"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4.28</w:t>
            </w:r>
          </w:p>
        </w:tc>
      </w:tr>
      <w:tr w:rsidR="00DB415F" w:rsidRPr="00057F2F" w14:paraId="2F1A8960" w14:textId="77777777" w:rsidTr="00C0398A">
        <w:trPr>
          <w:trHeight w:val="227"/>
          <w:jc w:val="center"/>
        </w:trPr>
        <w:tc>
          <w:tcPr>
            <w:tcW w:w="2830" w:type="dxa"/>
            <w:noWrap/>
            <w:vAlign w:val="center"/>
            <w:hideMark/>
          </w:tcPr>
          <w:p w14:paraId="30DAC77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2005</w:t>
            </w:r>
          </w:p>
        </w:tc>
        <w:tc>
          <w:tcPr>
            <w:tcW w:w="1531" w:type="dxa"/>
            <w:noWrap/>
            <w:vAlign w:val="center"/>
            <w:hideMark/>
          </w:tcPr>
          <w:p w14:paraId="542210D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2,934</w:t>
            </w:r>
          </w:p>
        </w:tc>
        <w:tc>
          <w:tcPr>
            <w:tcW w:w="1531" w:type="dxa"/>
            <w:noWrap/>
            <w:vAlign w:val="center"/>
            <w:hideMark/>
          </w:tcPr>
          <w:p w14:paraId="39EC08CE"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5.2</w:t>
            </w:r>
          </w:p>
        </w:tc>
      </w:tr>
      <w:tr w:rsidR="00DB415F" w:rsidRPr="00057F2F" w14:paraId="6271732D" w14:textId="77777777" w:rsidTr="00C0398A">
        <w:trPr>
          <w:trHeight w:val="227"/>
          <w:jc w:val="center"/>
        </w:trPr>
        <w:tc>
          <w:tcPr>
            <w:tcW w:w="2830" w:type="dxa"/>
            <w:noWrap/>
            <w:vAlign w:val="center"/>
            <w:hideMark/>
          </w:tcPr>
          <w:p w14:paraId="2814E6BE"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2006</w:t>
            </w:r>
          </w:p>
        </w:tc>
        <w:tc>
          <w:tcPr>
            <w:tcW w:w="1531" w:type="dxa"/>
            <w:noWrap/>
            <w:vAlign w:val="center"/>
            <w:hideMark/>
          </w:tcPr>
          <w:p w14:paraId="44E4C9B6"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3,450</w:t>
            </w:r>
          </w:p>
        </w:tc>
        <w:tc>
          <w:tcPr>
            <w:tcW w:w="1531" w:type="dxa"/>
            <w:noWrap/>
            <w:vAlign w:val="center"/>
            <w:hideMark/>
          </w:tcPr>
          <w:p w14:paraId="181B17EC"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6.12</w:t>
            </w:r>
          </w:p>
        </w:tc>
      </w:tr>
      <w:tr w:rsidR="00DB415F" w:rsidRPr="00057F2F" w14:paraId="3BA59E1A" w14:textId="77777777" w:rsidTr="00C0398A">
        <w:trPr>
          <w:trHeight w:val="227"/>
          <w:jc w:val="center"/>
        </w:trPr>
        <w:tc>
          <w:tcPr>
            <w:tcW w:w="2830" w:type="dxa"/>
            <w:noWrap/>
            <w:vAlign w:val="center"/>
            <w:hideMark/>
          </w:tcPr>
          <w:p w14:paraId="355C7943"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2007</w:t>
            </w:r>
          </w:p>
        </w:tc>
        <w:tc>
          <w:tcPr>
            <w:tcW w:w="1531" w:type="dxa"/>
            <w:noWrap/>
            <w:vAlign w:val="center"/>
            <w:hideMark/>
          </w:tcPr>
          <w:p w14:paraId="37A4D91B"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3,644</w:t>
            </w:r>
          </w:p>
        </w:tc>
        <w:tc>
          <w:tcPr>
            <w:tcW w:w="1531" w:type="dxa"/>
            <w:noWrap/>
            <w:vAlign w:val="center"/>
            <w:hideMark/>
          </w:tcPr>
          <w:p w14:paraId="4A29AB83"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6.46</w:t>
            </w:r>
          </w:p>
        </w:tc>
      </w:tr>
      <w:tr w:rsidR="00DB415F" w:rsidRPr="00057F2F" w14:paraId="0D32DD96" w14:textId="77777777" w:rsidTr="00C0398A">
        <w:trPr>
          <w:trHeight w:val="227"/>
          <w:jc w:val="center"/>
        </w:trPr>
        <w:tc>
          <w:tcPr>
            <w:tcW w:w="2830" w:type="dxa"/>
            <w:noWrap/>
            <w:vAlign w:val="center"/>
            <w:hideMark/>
          </w:tcPr>
          <w:p w14:paraId="5BAF194B"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2008</w:t>
            </w:r>
          </w:p>
        </w:tc>
        <w:tc>
          <w:tcPr>
            <w:tcW w:w="1531" w:type="dxa"/>
            <w:noWrap/>
            <w:vAlign w:val="center"/>
            <w:hideMark/>
          </w:tcPr>
          <w:p w14:paraId="676A47E2"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4,039</w:t>
            </w:r>
          </w:p>
        </w:tc>
        <w:tc>
          <w:tcPr>
            <w:tcW w:w="1531" w:type="dxa"/>
            <w:noWrap/>
            <w:vAlign w:val="center"/>
            <w:hideMark/>
          </w:tcPr>
          <w:p w14:paraId="735489AE"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7.16</w:t>
            </w:r>
          </w:p>
        </w:tc>
      </w:tr>
      <w:tr w:rsidR="00DB415F" w:rsidRPr="00057F2F" w14:paraId="57896F83" w14:textId="77777777" w:rsidTr="00C0398A">
        <w:trPr>
          <w:trHeight w:val="227"/>
          <w:jc w:val="center"/>
        </w:trPr>
        <w:tc>
          <w:tcPr>
            <w:tcW w:w="2830" w:type="dxa"/>
            <w:noWrap/>
            <w:vAlign w:val="center"/>
            <w:hideMark/>
          </w:tcPr>
          <w:p w14:paraId="736B834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2009</w:t>
            </w:r>
          </w:p>
        </w:tc>
        <w:tc>
          <w:tcPr>
            <w:tcW w:w="1531" w:type="dxa"/>
            <w:noWrap/>
            <w:vAlign w:val="center"/>
            <w:hideMark/>
          </w:tcPr>
          <w:p w14:paraId="7E97448D"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2,989</w:t>
            </w:r>
          </w:p>
        </w:tc>
        <w:tc>
          <w:tcPr>
            <w:tcW w:w="1531" w:type="dxa"/>
            <w:noWrap/>
            <w:vAlign w:val="center"/>
            <w:hideMark/>
          </w:tcPr>
          <w:p w14:paraId="0C2DE3D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5.3</w:t>
            </w:r>
          </w:p>
        </w:tc>
      </w:tr>
      <w:tr w:rsidR="00DB415F" w:rsidRPr="00057F2F" w14:paraId="5CEF9C52" w14:textId="77777777" w:rsidTr="00C0398A">
        <w:trPr>
          <w:trHeight w:val="227"/>
          <w:jc w:val="center"/>
        </w:trPr>
        <w:tc>
          <w:tcPr>
            <w:tcW w:w="2830" w:type="dxa"/>
            <w:noWrap/>
            <w:vAlign w:val="center"/>
            <w:hideMark/>
          </w:tcPr>
          <w:p w14:paraId="4E87E355"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2010</w:t>
            </w:r>
          </w:p>
        </w:tc>
        <w:tc>
          <w:tcPr>
            <w:tcW w:w="1531" w:type="dxa"/>
            <w:noWrap/>
            <w:vAlign w:val="center"/>
            <w:hideMark/>
          </w:tcPr>
          <w:p w14:paraId="4E291F8D"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3,057</w:t>
            </w:r>
          </w:p>
        </w:tc>
        <w:tc>
          <w:tcPr>
            <w:tcW w:w="1531" w:type="dxa"/>
            <w:noWrap/>
            <w:vAlign w:val="center"/>
            <w:hideMark/>
          </w:tcPr>
          <w:p w14:paraId="1AAC3EBD"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5.42</w:t>
            </w:r>
          </w:p>
        </w:tc>
      </w:tr>
      <w:tr w:rsidR="00DB415F" w:rsidRPr="00057F2F" w14:paraId="56E063EB" w14:textId="77777777" w:rsidTr="00C0398A">
        <w:trPr>
          <w:trHeight w:val="227"/>
          <w:jc w:val="center"/>
        </w:trPr>
        <w:tc>
          <w:tcPr>
            <w:tcW w:w="2830" w:type="dxa"/>
            <w:noWrap/>
            <w:vAlign w:val="center"/>
            <w:hideMark/>
          </w:tcPr>
          <w:p w14:paraId="6F4CD073"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2011</w:t>
            </w:r>
          </w:p>
        </w:tc>
        <w:tc>
          <w:tcPr>
            <w:tcW w:w="1531" w:type="dxa"/>
            <w:noWrap/>
            <w:vAlign w:val="center"/>
            <w:hideMark/>
          </w:tcPr>
          <w:p w14:paraId="70E5C3BC"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3,277</w:t>
            </w:r>
          </w:p>
        </w:tc>
        <w:tc>
          <w:tcPr>
            <w:tcW w:w="1531" w:type="dxa"/>
            <w:noWrap/>
            <w:vAlign w:val="center"/>
            <w:hideMark/>
          </w:tcPr>
          <w:p w14:paraId="3992FC28"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5.81</w:t>
            </w:r>
          </w:p>
        </w:tc>
      </w:tr>
      <w:tr w:rsidR="00DB415F" w:rsidRPr="00057F2F" w14:paraId="51864CEA" w14:textId="77777777" w:rsidTr="00C0398A">
        <w:trPr>
          <w:trHeight w:val="227"/>
          <w:jc w:val="center"/>
        </w:trPr>
        <w:tc>
          <w:tcPr>
            <w:tcW w:w="2830" w:type="dxa"/>
            <w:noWrap/>
            <w:vAlign w:val="center"/>
            <w:hideMark/>
          </w:tcPr>
          <w:p w14:paraId="796622F5"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2012</w:t>
            </w:r>
          </w:p>
        </w:tc>
        <w:tc>
          <w:tcPr>
            <w:tcW w:w="1531" w:type="dxa"/>
            <w:noWrap/>
            <w:vAlign w:val="center"/>
            <w:hideMark/>
          </w:tcPr>
          <w:p w14:paraId="5E58031E"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3,249</w:t>
            </w:r>
          </w:p>
        </w:tc>
        <w:tc>
          <w:tcPr>
            <w:tcW w:w="1531" w:type="dxa"/>
            <w:noWrap/>
            <w:vAlign w:val="center"/>
            <w:hideMark/>
          </w:tcPr>
          <w:p w14:paraId="717C8850"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5.76</w:t>
            </w:r>
          </w:p>
        </w:tc>
      </w:tr>
      <w:tr w:rsidR="00DB415F" w:rsidRPr="00057F2F" w14:paraId="08B28CC6" w14:textId="77777777" w:rsidTr="00C0398A">
        <w:trPr>
          <w:trHeight w:val="227"/>
          <w:jc w:val="center"/>
        </w:trPr>
        <w:tc>
          <w:tcPr>
            <w:tcW w:w="2830" w:type="dxa"/>
            <w:noWrap/>
            <w:vAlign w:val="center"/>
            <w:hideMark/>
          </w:tcPr>
          <w:p w14:paraId="28417D8F"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2013</w:t>
            </w:r>
          </w:p>
        </w:tc>
        <w:tc>
          <w:tcPr>
            <w:tcW w:w="1531" w:type="dxa"/>
            <w:noWrap/>
            <w:vAlign w:val="center"/>
            <w:hideMark/>
          </w:tcPr>
          <w:p w14:paraId="737A948A"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3,375</w:t>
            </w:r>
          </w:p>
        </w:tc>
        <w:tc>
          <w:tcPr>
            <w:tcW w:w="1531" w:type="dxa"/>
            <w:noWrap/>
            <w:vAlign w:val="center"/>
            <w:hideMark/>
          </w:tcPr>
          <w:p w14:paraId="40A157D0"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5.98</w:t>
            </w:r>
          </w:p>
        </w:tc>
      </w:tr>
      <w:tr w:rsidR="00DB415F" w:rsidRPr="00057F2F" w14:paraId="3876491D" w14:textId="77777777" w:rsidTr="00C0398A">
        <w:trPr>
          <w:trHeight w:val="227"/>
          <w:jc w:val="center"/>
        </w:trPr>
        <w:tc>
          <w:tcPr>
            <w:tcW w:w="2830" w:type="dxa"/>
            <w:noWrap/>
            <w:vAlign w:val="center"/>
            <w:hideMark/>
          </w:tcPr>
          <w:p w14:paraId="44CF42F9"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2014</w:t>
            </w:r>
          </w:p>
        </w:tc>
        <w:tc>
          <w:tcPr>
            <w:tcW w:w="1531" w:type="dxa"/>
            <w:noWrap/>
            <w:vAlign w:val="center"/>
            <w:hideMark/>
          </w:tcPr>
          <w:p w14:paraId="5E492964"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3,511</w:t>
            </w:r>
          </w:p>
        </w:tc>
        <w:tc>
          <w:tcPr>
            <w:tcW w:w="1531" w:type="dxa"/>
            <w:noWrap/>
            <w:vAlign w:val="center"/>
            <w:hideMark/>
          </w:tcPr>
          <w:p w14:paraId="37C5C07D"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6.22</w:t>
            </w:r>
          </w:p>
        </w:tc>
      </w:tr>
      <w:tr w:rsidR="00DB415F" w:rsidRPr="00057F2F" w14:paraId="6B745E2B" w14:textId="77777777" w:rsidTr="00C0398A">
        <w:trPr>
          <w:trHeight w:val="227"/>
          <w:jc w:val="center"/>
        </w:trPr>
        <w:tc>
          <w:tcPr>
            <w:tcW w:w="2830" w:type="dxa"/>
            <w:noWrap/>
            <w:vAlign w:val="center"/>
            <w:hideMark/>
          </w:tcPr>
          <w:p w14:paraId="2CDF9EE0"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2015</w:t>
            </w:r>
          </w:p>
        </w:tc>
        <w:tc>
          <w:tcPr>
            <w:tcW w:w="1531" w:type="dxa"/>
            <w:noWrap/>
            <w:vAlign w:val="center"/>
            <w:hideMark/>
          </w:tcPr>
          <w:p w14:paraId="19DEB9D7"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4,049</w:t>
            </w:r>
          </w:p>
        </w:tc>
        <w:tc>
          <w:tcPr>
            <w:tcW w:w="1531" w:type="dxa"/>
            <w:noWrap/>
            <w:vAlign w:val="center"/>
            <w:hideMark/>
          </w:tcPr>
          <w:p w14:paraId="108C250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7.18</w:t>
            </w:r>
          </w:p>
        </w:tc>
      </w:tr>
      <w:tr w:rsidR="00DB415F" w:rsidRPr="00057F2F" w14:paraId="40DAF66D" w14:textId="77777777" w:rsidTr="00C0398A">
        <w:trPr>
          <w:trHeight w:val="227"/>
          <w:jc w:val="center"/>
        </w:trPr>
        <w:tc>
          <w:tcPr>
            <w:tcW w:w="2830" w:type="dxa"/>
            <w:noWrap/>
            <w:vAlign w:val="center"/>
            <w:hideMark/>
          </w:tcPr>
          <w:p w14:paraId="6A4D8A69"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2016</w:t>
            </w:r>
          </w:p>
        </w:tc>
        <w:tc>
          <w:tcPr>
            <w:tcW w:w="1531" w:type="dxa"/>
            <w:noWrap/>
            <w:vAlign w:val="center"/>
            <w:hideMark/>
          </w:tcPr>
          <w:p w14:paraId="3BC3C279"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4,193</w:t>
            </w:r>
          </w:p>
        </w:tc>
        <w:tc>
          <w:tcPr>
            <w:tcW w:w="1531" w:type="dxa"/>
            <w:noWrap/>
            <w:vAlign w:val="center"/>
            <w:hideMark/>
          </w:tcPr>
          <w:p w14:paraId="60087E1D"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7.43</w:t>
            </w:r>
          </w:p>
        </w:tc>
      </w:tr>
      <w:tr w:rsidR="00DB415F" w:rsidRPr="00057F2F" w14:paraId="3CB1D57B" w14:textId="77777777" w:rsidTr="00C0398A">
        <w:trPr>
          <w:trHeight w:val="227"/>
          <w:jc w:val="center"/>
        </w:trPr>
        <w:tc>
          <w:tcPr>
            <w:tcW w:w="2830" w:type="dxa"/>
            <w:noWrap/>
            <w:vAlign w:val="center"/>
            <w:hideMark/>
          </w:tcPr>
          <w:p w14:paraId="2B2C8FE9"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2017</w:t>
            </w:r>
          </w:p>
        </w:tc>
        <w:tc>
          <w:tcPr>
            <w:tcW w:w="1531" w:type="dxa"/>
            <w:noWrap/>
            <w:vAlign w:val="center"/>
            <w:hideMark/>
          </w:tcPr>
          <w:p w14:paraId="6799AF17"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5,079</w:t>
            </w:r>
          </w:p>
        </w:tc>
        <w:tc>
          <w:tcPr>
            <w:tcW w:w="1531" w:type="dxa"/>
            <w:noWrap/>
            <w:vAlign w:val="center"/>
            <w:hideMark/>
          </w:tcPr>
          <w:p w14:paraId="0DDEF035"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9</w:t>
            </w:r>
          </w:p>
        </w:tc>
      </w:tr>
      <w:tr w:rsidR="00DB415F" w:rsidRPr="00057F2F" w14:paraId="7942A234" w14:textId="77777777" w:rsidTr="00C0398A">
        <w:trPr>
          <w:trHeight w:val="227"/>
          <w:jc w:val="center"/>
        </w:trPr>
        <w:tc>
          <w:tcPr>
            <w:tcW w:w="2830" w:type="dxa"/>
            <w:tcBorders>
              <w:bottom w:val="single" w:sz="4" w:space="0" w:color="auto"/>
            </w:tcBorders>
            <w:noWrap/>
            <w:vAlign w:val="center"/>
            <w:hideMark/>
          </w:tcPr>
          <w:p w14:paraId="0D579A51"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2018</w:t>
            </w:r>
          </w:p>
        </w:tc>
        <w:tc>
          <w:tcPr>
            <w:tcW w:w="1531" w:type="dxa"/>
            <w:tcBorders>
              <w:bottom w:val="single" w:sz="4" w:space="0" w:color="auto"/>
            </w:tcBorders>
            <w:noWrap/>
            <w:vAlign w:val="center"/>
            <w:hideMark/>
          </w:tcPr>
          <w:p w14:paraId="74C7C59A"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5,248</w:t>
            </w:r>
          </w:p>
        </w:tc>
        <w:tc>
          <w:tcPr>
            <w:tcW w:w="1531" w:type="dxa"/>
            <w:tcBorders>
              <w:bottom w:val="single" w:sz="4" w:space="0" w:color="auto"/>
            </w:tcBorders>
            <w:noWrap/>
            <w:vAlign w:val="center"/>
            <w:hideMark/>
          </w:tcPr>
          <w:p w14:paraId="2EF49D48" w14:textId="77777777" w:rsidR="00DB415F" w:rsidRPr="00057F2F" w:rsidRDefault="00DB415F" w:rsidP="00C0398A">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sz w:val="20"/>
                <w:szCs w:val="20"/>
                <w:lang w:val="en-GB"/>
              </w:rPr>
              <w:t>9.3</w:t>
            </w:r>
          </w:p>
        </w:tc>
      </w:tr>
      <w:tr w:rsidR="00DB415F" w:rsidRPr="00057F2F" w14:paraId="1CD1D288" w14:textId="77777777" w:rsidTr="00C0398A">
        <w:trPr>
          <w:trHeight w:val="227"/>
          <w:jc w:val="center"/>
        </w:trPr>
        <w:tc>
          <w:tcPr>
            <w:tcW w:w="2830" w:type="dxa"/>
            <w:noWrap/>
            <w:vAlign w:val="bottom"/>
          </w:tcPr>
          <w:p w14:paraId="0C5596EF"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eastAsia="Times New Roman" w:hAnsi="Times New Roman" w:cs="Times New Roman"/>
                <w:color w:val="000000"/>
                <w:sz w:val="20"/>
                <w:szCs w:val="20"/>
                <w:lang w:val="en-GB" w:eastAsia="it-IT"/>
              </w:rPr>
              <w:t>2003-2008 (pre-crisis)</w:t>
            </w:r>
          </w:p>
        </w:tc>
        <w:tc>
          <w:tcPr>
            <w:tcW w:w="1531" w:type="dxa"/>
            <w:noWrap/>
            <w:vAlign w:val="bottom"/>
          </w:tcPr>
          <w:p w14:paraId="4A8C13FC"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18,382</w:t>
            </w:r>
          </w:p>
        </w:tc>
        <w:tc>
          <w:tcPr>
            <w:tcW w:w="1531" w:type="dxa"/>
            <w:noWrap/>
            <w:vAlign w:val="bottom"/>
          </w:tcPr>
          <w:p w14:paraId="7AE7771F"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32.59</w:t>
            </w:r>
          </w:p>
        </w:tc>
      </w:tr>
      <w:tr w:rsidR="00DB415F" w:rsidRPr="00057F2F" w14:paraId="3DCC466C" w14:textId="77777777" w:rsidTr="00C0398A">
        <w:trPr>
          <w:trHeight w:val="227"/>
          <w:jc w:val="center"/>
        </w:trPr>
        <w:tc>
          <w:tcPr>
            <w:tcW w:w="2830" w:type="dxa"/>
            <w:noWrap/>
            <w:vAlign w:val="bottom"/>
          </w:tcPr>
          <w:p w14:paraId="38865F08"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eastAsia="Times New Roman" w:hAnsi="Times New Roman" w:cs="Times New Roman"/>
                <w:color w:val="000000"/>
                <w:sz w:val="20"/>
                <w:szCs w:val="20"/>
                <w:lang w:val="en-GB" w:eastAsia="it-IT"/>
              </w:rPr>
              <w:t>2009-2012 (crisis)</w:t>
            </w:r>
          </w:p>
        </w:tc>
        <w:tc>
          <w:tcPr>
            <w:tcW w:w="1531" w:type="dxa"/>
            <w:noWrap/>
            <w:vAlign w:val="bottom"/>
          </w:tcPr>
          <w:p w14:paraId="15F89585"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12,572</w:t>
            </w:r>
          </w:p>
        </w:tc>
        <w:tc>
          <w:tcPr>
            <w:tcW w:w="1531" w:type="dxa"/>
            <w:noWrap/>
            <w:vAlign w:val="bottom"/>
          </w:tcPr>
          <w:p w14:paraId="7C8CBA19"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22.29</w:t>
            </w:r>
          </w:p>
        </w:tc>
      </w:tr>
      <w:tr w:rsidR="00DB415F" w:rsidRPr="00057F2F" w14:paraId="33F5AE33" w14:textId="77777777" w:rsidTr="00C0398A">
        <w:trPr>
          <w:trHeight w:val="227"/>
          <w:jc w:val="center"/>
        </w:trPr>
        <w:tc>
          <w:tcPr>
            <w:tcW w:w="2830" w:type="dxa"/>
            <w:tcBorders>
              <w:bottom w:val="single" w:sz="4" w:space="0" w:color="auto"/>
            </w:tcBorders>
            <w:noWrap/>
            <w:vAlign w:val="bottom"/>
          </w:tcPr>
          <w:p w14:paraId="60B66218"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eastAsia="Times New Roman" w:hAnsi="Times New Roman" w:cs="Times New Roman"/>
                <w:color w:val="000000"/>
                <w:sz w:val="20"/>
                <w:szCs w:val="20"/>
                <w:lang w:val="en-GB" w:eastAsia="it-IT"/>
              </w:rPr>
              <w:t>2013-2018 (post-crisis)</w:t>
            </w:r>
          </w:p>
        </w:tc>
        <w:tc>
          <w:tcPr>
            <w:tcW w:w="1531" w:type="dxa"/>
            <w:tcBorders>
              <w:bottom w:val="single" w:sz="4" w:space="0" w:color="auto"/>
            </w:tcBorders>
            <w:noWrap/>
            <w:vAlign w:val="bottom"/>
          </w:tcPr>
          <w:p w14:paraId="4FDE09C9"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25,455</w:t>
            </w:r>
          </w:p>
        </w:tc>
        <w:tc>
          <w:tcPr>
            <w:tcW w:w="1531" w:type="dxa"/>
            <w:tcBorders>
              <w:bottom w:val="single" w:sz="4" w:space="0" w:color="auto"/>
            </w:tcBorders>
            <w:noWrap/>
            <w:vAlign w:val="bottom"/>
          </w:tcPr>
          <w:p w14:paraId="142A4069"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color w:val="000000"/>
                <w:sz w:val="20"/>
                <w:szCs w:val="20"/>
                <w:lang w:val="en-GB"/>
              </w:rPr>
              <w:t>45.13</w:t>
            </w:r>
          </w:p>
        </w:tc>
      </w:tr>
      <w:tr w:rsidR="00DB415F" w:rsidRPr="00057F2F" w14:paraId="13076C51" w14:textId="77777777" w:rsidTr="00C0398A">
        <w:trPr>
          <w:trHeight w:val="227"/>
          <w:jc w:val="center"/>
        </w:trPr>
        <w:tc>
          <w:tcPr>
            <w:tcW w:w="2830" w:type="dxa"/>
            <w:tcBorders>
              <w:top w:val="single" w:sz="4" w:space="0" w:color="auto"/>
              <w:bottom w:val="single" w:sz="4" w:space="0" w:color="auto"/>
            </w:tcBorders>
            <w:noWrap/>
            <w:vAlign w:val="center"/>
          </w:tcPr>
          <w:p w14:paraId="73289AE3"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Total</w:t>
            </w:r>
          </w:p>
        </w:tc>
        <w:tc>
          <w:tcPr>
            <w:tcW w:w="1531" w:type="dxa"/>
            <w:tcBorders>
              <w:top w:val="single" w:sz="4" w:space="0" w:color="auto"/>
              <w:bottom w:val="single" w:sz="4" w:space="0" w:color="auto"/>
            </w:tcBorders>
            <w:noWrap/>
            <w:vAlign w:val="center"/>
          </w:tcPr>
          <w:p w14:paraId="77CAF7CA"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56,409</w:t>
            </w:r>
          </w:p>
        </w:tc>
        <w:tc>
          <w:tcPr>
            <w:tcW w:w="1531" w:type="dxa"/>
            <w:tcBorders>
              <w:top w:val="single" w:sz="4" w:space="0" w:color="auto"/>
              <w:bottom w:val="single" w:sz="4" w:space="0" w:color="auto"/>
            </w:tcBorders>
            <w:noWrap/>
            <w:vAlign w:val="center"/>
          </w:tcPr>
          <w:p w14:paraId="4090EE01" w14:textId="77777777" w:rsidR="00DB415F" w:rsidRPr="00057F2F" w:rsidRDefault="00DB415F" w:rsidP="00C0398A">
            <w:pPr>
              <w:spacing w:after="0" w:line="240" w:lineRule="auto"/>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100</w:t>
            </w:r>
          </w:p>
        </w:tc>
      </w:tr>
    </w:tbl>
    <w:p w14:paraId="048FEDD4" w14:textId="159A2C7D" w:rsidR="00B17EF6" w:rsidRPr="00057F2F" w:rsidRDefault="00A75491" w:rsidP="00A75491">
      <w:pPr>
        <w:spacing w:before="120" w:after="360"/>
        <w:jc w:val="center"/>
        <w:rPr>
          <w:rFonts w:ascii="Times New Roman" w:hAnsi="Times New Roman" w:cs="Times New Roman"/>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20A3A2F4" w14:textId="2180F495" w:rsidR="00B17EF6" w:rsidRPr="00057F2F" w:rsidRDefault="00B17EF6" w:rsidP="00B17EF6">
      <w:pPr>
        <w:jc w:val="both"/>
        <w:rPr>
          <w:rFonts w:ascii="Times New Roman" w:hAnsi="Times New Roman" w:cs="Times New Roman"/>
          <w:lang w:val="en-GB"/>
        </w:rPr>
      </w:pPr>
      <w:r w:rsidRPr="00057F2F">
        <w:rPr>
          <w:rFonts w:ascii="Times New Roman" w:hAnsi="Times New Roman" w:cs="Times New Roman"/>
          <w:b/>
          <w:bCs/>
          <w:lang w:val="en-GB"/>
        </w:rPr>
        <w:t>Table A</w:t>
      </w:r>
      <w:r w:rsidR="00EF5144" w:rsidRPr="00057F2F">
        <w:rPr>
          <w:rFonts w:ascii="Times New Roman" w:hAnsi="Times New Roman" w:cs="Times New Roman"/>
          <w:b/>
          <w:bCs/>
          <w:lang w:val="en-GB"/>
        </w:rPr>
        <w:t>.</w:t>
      </w:r>
      <w:r w:rsidRPr="00057F2F">
        <w:rPr>
          <w:rFonts w:ascii="Times New Roman" w:hAnsi="Times New Roman" w:cs="Times New Roman"/>
          <w:b/>
          <w:bCs/>
          <w:lang w:val="en-GB"/>
        </w:rPr>
        <w:t>1</w:t>
      </w:r>
      <w:r w:rsidRPr="00057F2F">
        <w:rPr>
          <w:rFonts w:ascii="Times New Roman" w:hAnsi="Times New Roman" w:cs="Times New Roman"/>
          <w:lang w:val="en-GB"/>
        </w:rPr>
        <w:t xml:space="preserve"> reports the number of greenfield FDI projects by year and by macro-period. The final dataset includes 56,409 projects over 2003–2018. </w:t>
      </w:r>
      <w:r w:rsidR="004F5E75" w:rsidRPr="00057F2F">
        <w:rPr>
          <w:rFonts w:ascii="Times New Roman" w:hAnsi="Times New Roman" w:cs="Times New Roman"/>
          <w:lang w:val="en-GB"/>
        </w:rPr>
        <w:t xml:space="preserve">With respect to the </w:t>
      </w:r>
      <w:r w:rsidR="00C74370" w:rsidRPr="00057F2F">
        <w:rPr>
          <w:rFonts w:ascii="Times New Roman" w:hAnsi="Times New Roman" w:cs="Times New Roman"/>
          <w:lang w:val="en-GB"/>
        </w:rPr>
        <w:t xml:space="preserve">Global </w:t>
      </w:r>
      <w:r w:rsidR="004F5E75" w:rsidRPr="00057F2F">
        <w:rPr>
          <w:rFonts w:ascii="Times New Roman" w:hAnsi="Times New Roman" w:cs="Times New Roman"/>
          <w:lang w:val="en-GB"/>
        </w:rPr>
        <w:t xml:space="preserve">Financial Crisis (GFC), </w:t>
      </w:r>
      <w:r w:rsidRPr="00057F2F">
        <w:rPr>
          <w:rFonts w:ascii="Times New Roman" w:hAnsi="Times New Roman" w:cs="Times New Roman"/>
          <w:lang w:val="en-GB"/>
        </w:rPr>
        <w:t>FDI activity increased steadily during the pre-crisis years, rising from 1,903 projects in 2003 to 4,039 in 2008. A marked contraction is observed after the global financial crisis, with projects falling to 2,989 in 2009. Flows progressively recovered during the post-crisis period, reaching more than 5,000 projects annually by 2017–2018. Overall, 32.6% of projects belong to the pre-crisis period (2003–2008), 22.3% to the crisis period (2009–2012), and 45.1% to the post-crisis period (2013–2018). The pre/post-crisis discontinuity is therefore clearly visible in the data, with the volume of FDI flows contracting sharply after 2008 before recovering progressively and exceeding pre-crisis levels from 2015 onwards. This temporal pattern motivates our choice of period boundaries and supports treating the 2009–2012 interval as a distinct transition phase rather than assigning it to either the pre- or post-crisis period.</w:t>
      </w:r>
    </w:p>
    <w:p w14:paraId="40AF2250" w14:textId="77777777" w:rsidR="00B17EF6" w:rsidRPr="00057F2F" w:rsidRDefault="00B17EF6" w:rsidP="00B17EF6">
      <w:pPr>
        <w:jc w:val="both"/>
        <w:rPr>
          <w:rFonts w:ascii="Times New Roman" w:hAnsi="Times New Roman" w:cs="Times New Roman"/>
          <w:lang w:val="en-GB"/>
        </w:rPr>
      </w:pPr>
    </w:p>
    <w:p w14:paraId="19C42F55" w14:textId="77777777" w:rsidR="00B17EF6" w:rsidRPr="00057F2F" w:rsidRDefault="00B17EF6" w:rsidP="00B17EF6">
      <w:pPr>
        <w:rPr>
          <w:rFonts w:ascii="Times New Roman" w:hAnsi="Times New Roman" w:cs="Times New Roman"/>
          <w:lang w:val="en-GB"/>
        </w:rPr>
      </w:pPr>
      <w:r w:rsidRPr="00057F2F">
        <w:rPr>
          <w:rFonts w:ascii="Times New Roman" w:hAnsi="Times New Roman" w:cs="Times New Roman"/>
          <w:lang w:val="en-GB"/>
        </w:rPr>
        <w:br w:type="page"/>
      </w:r>
    </w:p>
    <w:p w14:paraId="1658824F" w14:textId="7ACD707C" w:rsidR="00B17EF6" w:rsidRPr="00057F2F" w:rsidRDefault="00B17EF6" w:rsidP="00DB415F">
      <w:pPr>
        <w:pStyle w:val="Titolo3"/>
      </w:pPr>
      <w:r w:rsidRPr="00057F2F">
        <w:rPr>
          <w:b/>
          <w:bCs/>
        </w:rPr>
        <w:lastRenderedPageBreak/>
        <w:t>Figure A.1.</w:t>
      </w:r>
      <w:r w:rsidRPr="00057F2F">
        <w:t xml:space="preserve"> Number of greenfield FDI projects by year (2003–2018)</w:t>
      </w:r>
    </w:p>
    <w:p w14:paraId="5C8BCD8A" w14:textId="77777777" w:rsidR="00B17EF6" w:rsidRPr="00057F2F" w:rsidRDefault="00B17EF6" w:rsidP="00B17EF6">
      <w:pPr>
        <w:jc w:val="center"/>
        <w:rPr>
          <w:rFonts w:ascii="Times New Roman" w:hAnsi="Times New Roman" w:cs="Times New Roman"/>
          <w:lang w:val="en-GB"/>
        </w:rPr>
      </w:pPr>
      <w:r w:rsidRPr="00057F2F">
        <w:rPr>
          <w:noProof/>
          <w:lang w:val="en-GB"/>
        </w:rPr>
        <w:drawing>
          <wp:inline distT="0" distB="0" distL="0" distR="0" wp14:anchorId="5F0E9EA4" wp14:editId="4EE8E8B2">
            <wp:extent cx="5751369" cy="3594754"/>
            <wp:effectExtent l="0" t="0" r="1905" b="5715"/>
            <wp:docPr id="7952118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2614" cy="3608032"/>
                    </a:xfrm>
                    <a:prstGeom prst="rect">
                      <a:avLst/>
                    </a:prstGeom>
                    <a:noFill/>
                    <a:ln>
                      <a:noFill/>
                    </a:ln>
                  </pic:spPr>
                </pic:pic>
              </a:graphicData>
            </a:graphic>
          </wp:inline>
        </w:drawing>
      </w:r>
    </w:p>
    <w:p w14:paraId="3B8D829D" w14:textId="3ED88EF6" w:rsidR="00A75491" w:rsidRPr="00057F2F" w:rsidRDefault="00A75491" w:rsidP="00A75491">
      <w:pPr>
        <w:spacing w:after="240"/>
        <w:jc w:val="center"/>
        <w:rPr>
          <w:rFonts w:ascii="Times New Roman" w:hAnsi="Times New Roman" w:cs="Times New Roman"/>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01A3343A" w14:textId="77777777" w:rsidR="00B92799" w:rsidRPr="00057F2F" w:rsidRDefault="00B92799" w:rsidP="00B17EF6">
      <w:pPr>
        <w:jc w:val="both"/>
        <w:rPr>
          <w:rFonts w:ascii="Times New Roman" w:hAnsi="Times New Roman" w:cs="Times New Roman"/>
          <w:b/>
          <w:bCs/>
          <w:lang w:val="en-GB"/>
        </w:rPr>
      </w:pPr>
    </w:p>
    <w:p w14:paraId="2EEB4FB1" w14:textId="77777777" w:rsidR="00B92799" w:rsidRPr="00057F2F" w:rsidRDefault="00B92799" w:rsidP="00B17EF6">
      <w:pPr>
        <w:jc w:val="both"/>
        <w:rPr>
          <w:rFonts w:ascii="Times New Roman" w:hAnsi="Times New Roman" w:cs="Times New Roman"/>
          <w:b/>
          <w:bCs/>
          <w:lang w:val="en-GB"/>
        </w:rPr>
      </w:pPr>
    </w:p>
    <w:p w14:paraId="7A5913DA" w14:textId="4A3D1554" w:rsidR="00B17EF6" w:rsidRPr="00057F2F" w:rsidRDefault="00B17EF6" w:rsidP="00B17EF6">
      <w:pPr>
        <w:jc w:val="both"/>
        <w:rPr>
          <w:rFonts w:ascii="Times New Roman" w:hAnsi="Times New Roman" w:cs="Times New Roman"/>
          <w:lang w:val="en-GB"/>
        </w:rPr>
      </w:pPr>
      <w:r w:rsidRPr="00057F2F">
        <w:rPr>
          <w:rFonts w:ascii="Times New Roman" w:hAnsi="Times New Roman" w:cs="Times New Roman"/>
          <w:b/>
          <w:bCs/>
          <w:lang w:val="en-GB"/>
        </w:rPr>
        <w:t>Figure A.1</w:t>
      </w:r>
      <w:r w:rsidRPr="00057F2F">
        <w:rPr>
          <w:rFonts w:ascii="Times New Roman" w:hAnsi="Times New Roman" w:cs="Times New Roman"/>
          <w:lang w:val="en-GB"/>
        </w:rPr>
        <w:t xml:space="preserve"> displays the annual number of greenfield FDI projects over the full sample period. The figure confirms a clear pre/post-crisis discontinuity in the volume of FDI flows. Project counts increased steadily during the pre-crisis years, from 1,903 in 2003 to a peak of 4,039 in 2008. The onset of the </w:t>
      </w:r>
      <w:r w:rsidR="00C74370" w:rsidRPr="00057F2F">
        <w:rPr>
          <w:rFonts w:ascii="Times New Roman" w:hAnsi="Times New Roman" w:cs="Times New Roman"/>
          <w:lang w:val="en-GB"/>
        </w:rPr>
        <w:t xml:space="preserve">Global Financial Crisis (GFC) </w:t>
      </w:r>
      <w:r w:rsidRPr="00057F2F">
        <w:rPr>
          <w:rFonts w:ascii="Times New Roman" w:hAnsi="Times New Roman" w:cs="Times New Roman"/>
          <w:lang w:val="en-GB"/>
        </w:rPr>
        <w:t>in 2008–2009 is associated with a sharp contraction, with the number of projects falling to 2,989 in 2009 — a decline of approximately 26% relative to the previous year. During the transition period (2009–2012), FDI activity remained subdued and broadly flat. A sustained recovery is visible from 2013 onwards, with annual project counts rising progressively and exceeding 5,000 by 2017–2018. The dashed vertical line marks the GFC 2008–09 break.</w:t>
      </w:r>
    </w:p>
    <w:p w14:paraId="465B818A" w14:textId="77777777" w:rsidR="00B17EF6" w:rsidRPr="00057F2F" w:rsidRDefault="00B17EF6" w:rsidP="00B17EF6">
      <w:pPr>
        <w:jc w:val="both"/>
        <w:rPr>
          <w:rFonts w:ascii="Times New Roman" w:hAnsi="Times New Roman" w:cs="Times New Roman"/>
          <w:lang w:val="en-GB"/>
        </w:rPr>
      </w:pPr>
    </w:p>
    <w:p w14:paraId="3F8561FA" w14:textId="77777777" w:rsidR="00B17EF6" w:rsidRPr="00057F2F" w:rsidRDefault="00B17EF6" w:rsidP="00B17EF6">
      <w:pPr>
        <w:rPr>
          <w:rFonts w:ascii="Times New Roman" w:hAnsi="Times New Roman" w:cs="Times New Roman"/>
          <w:lang w:val="en-GB"/>
        </w:rPr>
      </w:pPr>
      <w:r w:rsidRPr="00057F2F">
        <w:rPr>
          <w:rFonts w:ascii="Times New Roman" w:hAnsi="Times New Roman" w:cs="Times New Roman"/>
          <w:lang w:val="en-GB"/>
        </w:rPr>
        <w:br w:type="page"/>
      </w:r>
    </w:p>
    <w:p w14:paraId="7B0C7B4C" w14:textId="4AC4AFED" w:rsidR="00B17EF6" w:rsidRPr="00057F2F" w:rsidRDefault="00B17EF6" w:rsidP="00DB415F">
      <w:pPr>
        <w:pStyle w:val="Titolo3"/>
      </w:pPr>
      <w:r w:rsidRPr="00057F2F">
        <w:rPr>
          <w:b/>
          <w:bCs/>
        </w:rPr>
        <w:lastRenderedPageBreak/>
        <w:t>Figure A.2.</w:t>
      </w:r>
      <w:r w:rsidRPr="00057F2F">
        <w:t xml:space="preserve"> FDI by GVC function: total distribution and by period</w:t>
      </w:r>
    </w:p>
    <w:tbl>
      <w:tblPr>
        <w:tblStyle w:val="Grigliatabella"/>
        <w:tblW w:w="0" w:type="auto"/>
        <w:jc w:val="center"/>
        <w:tblLook w:val="04A0" w:firstRow="1" w:lastRow="0" w:firstColumn="1" w:lastColumn="0" w:noHBand="0" w:noVBand="1"/>
      </w:tblPr>
      <w:tblGrid>
        <w:gridCol w:w="8078"/>
      </w:tblGrid>
      <w:tr w:rsidR="00B17EF6" w:rsidRPr="00057F2F" w14:paraId="2BF9346E" w14:textId="77777777" w:rsidTr="00D61B6B">
        <w:trPr>
          <w:jc w:val="center"/>
        </w:trPr>
        <w:tc>
          <w:tcPr>
            <w:tcW w:w="8078" w:type="dxa"/>
            <w:vAlign w:val="center"/>
          </w:tcPr>
          <w:p w14:paraId="28E31DC1" w14:textId="77777777" w:rsidR="00B17EF6" w:rsidRPr="00057F2F" w:rsidRDefault="00B17EF6" w:rsidP="00D61B6B">
            <w:pPr>
              <w:ind w:left="360"/>
              <w:jc w:val="center"/>
              <w:rPr>
                <w:rFonts w:ascii="Times New Roman" w:hAnsi="Times New Roman" w:cs="Times New Roman"/>
                <w:lang w:val="en-GB"/>
              </w:rPr>
            </w:pPr>
            <w:r w:rsidRPr="00057F2F">
              <w:rPr>
                <w:rFonts w:ascii="Times New Roman" w:hAnsi="Times New Roman" w:cs="Times New Roman"/>
                <w:lang w:val="en-GB"/>
              </w:rPr>
              <w:t>Panel (a)</w:t>
            </w:r>
          </w:p>
        </w:tc>
      </w:tr>
      <w:tr w:rsidR="00B17EF6" w:rsidRPr="00057F2F" w14:paraId="1A8B4129" w14:textId="77777777" w:rsidTr="00D61B6B">
        <w:trPr>
          <w:jc w:val="center"/>
        </w:trPr>
        <w:tc>
          <w:tcPr>
            <w:tcW w:w="8078" w:type="dxa"/>
            <w:vAlign w:val="center"/>
          </w:tcPr>
          <w:p w14:paraId="125D2619" w14:textId="77777777" w:rsidR="00B17EF6" w:rsidRPr="00057F2F" w:rsidRDefault="00B17EF6" w:rsidP="00D61B6B">
            <w:pPr>
              <w:pStyle w:val="Paragrafoelenco"/>
              <w:ind w:left="-114"/>
              <w:jc w:val="center"/>
              <w:rPr>
                <w:rFonts w:ascii="Times New Roman" w:hAnsi="Times New Roman" w:cs="Times New Roman"/>
                <w:sz w:val="22"/>
                <w:szCs w:val="22"/>
                <w:lang w:val="en-GB"/>
              </w:rPr>
            </w:pPr>
            <w:r w:rsidRPr="00057F2F">
              <w:rPr>
                <w:rFonts w:ascii="Times New Roman" w:hAnsi="Times New Roman" w:cs="Times New Roman"/>
                <w:noProof/>
                <w:sz w:val="22"/>
                <w:szCs w:val="22"/>
                <w:lang w:val="en-GB"/>
              </w:rPr>
              <w:drawing>
                <wp:inline distT="0" distB="0" distL="0" distR="0" wp14:anchorId="5833DCD0" wp14:editId="58AB03D5">
                  <wp:extent cx="3780000" cy="2520000"/>
                  <wp:effectExtent l="0" t="0" r="0" b="0"/>
                  <wp:docPr id="16256150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0000" cy="2520000"/>
                          </a:xfrm>
                          <a:prstGeom prst="rect">
                            <a:avLst/>
                          </a:prstGeom>
                          <a:noFill/>
                          <a:ln>
                            <a:noFill/>
                          </a:ln>
                        </pic:spPr>
                      </pic:pic>
                    </a:graphicData>
                  </a:graphic>
                </wp:inline>
              </w:drawing>
            </w:r>
          </w:p>
        </w:tc>
      </w:tr>
      <w:tr w:rsidR="00B17EF6" w:rsidRPr="00057F2F" w14:paraId="63B81F46" w14:textId="77777777" w:rsidTr="00D61B6B">
        <w:trPr>
          <w:jc w:val="center"/>
        </w:trPr>
        <w:tc>
          <w:tcPr>
            <w:tcW w:w="8078" w:type="dxa"/>
            <w:vAlign w:val="center"/>
          </w:tcPr>
          <w:p w14:paraId="6B4F7E96" w14:textId="77777777" w:rsidR="00B17EF6" w:rsidRPr="00057F2F" w:rsidRDefault="00B17EF6" w:rsidP="00D61B6B">
            <w:pPr>
              <w:pStyle w:val="Paragrafoelenco"/>
              <w:ind w:left="-114"/>
              <w:jc w:val="center"/>
              <w:rPr>
                <w:rFonts w:ascii="Times New Roman" w:hAnsi="Times New Roman" w:cs="Times New Roman"/>
                <w:noProof/>
                <w:sz w:val="22"/>
                <w:szCs w:val="22"/>
                <w:lang w:val="en-GB"/>
              </w:rPr>
            </w:pPr>
            <w:r w:rsidRPr="00057F2F">
              <w:rPr>
                <w:rFonts w:ascii="Times New Roman" w:hAnsi="Times New Roman" w:cs="Times New Roman"/>
                <w:noProof/>
                <w:sz w:val="22"/>
                <w:szCs w:val="22"/>
                <w:lang w:val="en-GB"/>
              </w:rPr>
              <w:t>Panel (b)</w:t>
            </w:r>
          </w:p>
        </w:tc>
      </w:tr>
      <w:tr w:rsidR="00B17EF6" w:rsidRPr="00057F2F" w14:paraId="49672744" w14:textId="77777777" w:rsidTr="00D61B6B">
        <w:trPr>
          <w:jc w:val="center"/>
        </w:trPr>
        <w:tc>
          <w:tcPr>
            <w:tcW w:w="8078" w:type="dxa"/>
            <w:vAlign w:val="center"/>
          </w:tcPr>
          <w:p w14:paraId="2994B818" w14:textId="77777777" w:rsidR="00B17EF6" w:rsidRPr="00057F2F" w:rsidRDefault="00B17EF6" w:rsidP="00D61B6B">
            <w:pPr>
              <w:pStyle w:val="Paragrafoelenco"/>
              <w:ind w:left="-114"/>
              <w:jc w:val="center"/>
              <w:rPr>
                <w:rFonts w:ascii="Times New Roman" w:hAnsi="Times New Roman" w:cs="Times New Roman"/>
                <w:sz w:val="22"/>
                <w:szCs w:val="22"/>
                <w:lang w:val="en-GB"/>
              </w:rPr>
            </w:pPr>
            <w:r w:rsidRPr="00057F2F">
              <w:rPr>
                <w:rFonts w:ascii="Times New Roman" w:hAnsi="Times New Roman" w:cs="Times New Roman"/>
                <w:noProof/>
                <w:sz w:val="22"/>
                <w:szCs w:val="22"/>
                <w:lang w:val="en-GB"/>
              </w:rPr>
              <w:drawing>
                <wp:inline distT="0" distB="0" distL="0" distR="0" wp14:anchorId="33BEEE47" wp14:editId="33B6A0B2">
                  <wp:extent cx="4536377" cy="2520000"/>
                  <wp:effectExtent l="0" t="0" r="0" b="0"/>
                  <wp:docPr id="169984229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6377" cy="2520000"/>
                          </a:xfrm>
                          <a:prstGeom prst="rect">
                            <a:avLst/>
                          </a:prstGeom>
                          <a:noFill/>
                          <a:ln>
                            <a:noFill/>
                          </a:ln>
                        </pic:spPr>
                      </pic:pic>
                    </a:graphicData>
                  </a:graphic>
                </wp:inline>
              </w:drawing>
            </w:r>
          </w:p>
        </w:tc>
      </w:tr>
    </w:tbl>
    <w:p w14:paraId="155A3E89" w14:textId="43951BE7" w:rsidR="00B17EF6" w:rsidRPr="00057F2F" w:rsidRDefault="00A75491" w:rsidP="00A75491">
      <w:pPr>
        <w:spacing w:before="120" w:after="240"/>
        <w:jc w:val="center"/>
        <w:rPr>
          <w:rFonts w:ascii="Times New Roman" w:hAnsi="Times New Roman" w:cs="Times New Roman"/>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50D3E7D6" w14:textId="77777777" w:rsidR="00B92799" w:rsidRPr="00057F2F" w:rsidRDefault="00B92799" w:rsidP="00B17EF6">
      <w:pPr>
        <w:jc w:val="both"/>
        <w:rPr>
          <w:rFonts w:ascii="Times New Roman" w:hAnsi="Times New Roman" w:cs="Times New Roman"/>
          <w:lang w:val="en-GB"/>
        </w:rPr>
      </w:pPr>
    </w:p>
    <w:p w14:paraId="0DE6D8E5" w14:textId="46656E7F" w:rsidR="00B17EF6" w:rsidRPr="00057F2F" w:rsidRDefault="00B17EF6" w:rsidP="00B92799">
      <w:pPr>
        <w:jc w:val="both"/>
        <w:rPr>
          <w:rFonts w:ascii="Times New Roman" w:hAnsi="Times New Roman" w:cs="Times New Roman"/>
          <w:lang w:val="en-GB"/>
        </w:rPr>
      </w:pPr>
      <w:r w:rsidRPr="00057F2F">
        <w:rPr>
          <w:rFonts w:ascii="Times New Roman" w:hAnsi="Times New Roman" w:cs="Times New Roman"/>
          <w:lang w:val="en-GB"/>
        </w:rPr>
        <w:t xml:space="preserve">The upper </w:t>
      </w:r>
      <w:r w:rsidRPr="00057F2F">
        <w:rPr>
          <w:rFonts w:ascii="Times New Roman" w:hAnsi="Times New Roman" w:cs="Times New Roman"/>
          <w:b/>
          <w:bCs/>
          <w:lang w:val="en-GB"/>
        </w:rPr>
        <w:t>panel (a)</w:t>
      </w:r>
      <w:r w:rsidRPr="00057F2F">
        <w:rPr>
          <w:rFonts w:ascii="Times New Roman" w:hAnsi="Times New Roman" w:cs="Times New Roman"/>
          <w:lang w:val="en-GB"/>
        </w:rPr>
        <w:t xml:space="preserve"> of </w:t>
      </w:r>
      <w:r w:rsidRPr="00057F2F">
        <w:rPr>
          <w:rFonts w:ascii="Times New Roman" w:hAnsi="Times New Roman" w:cs="Times New Roman"/>
          <w:b/>
          <w:bCs/>
          <w:lang w:val="en-GB"/>
        </w:rPr>
        <w:t>Figure A.2</w:t>
      </w:r>
      <w:r w:rsidRPr="00057F2F">
        <w:rPr>
          <w:rFonts w:ascii="Times New Roman" w:hAnsi="Times New Roman" w:cs="Times New Roman"/>
          <w:lang w:val="en-GB"/>
        </w:rPr>
        <w:t xml:space="preserve"> reports the total number of greenfield FDI projects by GVC function over 2003–2018. Downstream activities account for the dominant share (62.75%), followed by production (20.18%) and upstream activities (17.07%). The lower </w:t>
      </w:r>
      <w:r w:rsidRPr="00057F2F">
        <w:rPr>
          <w:rFonts w:ascii="Times New Roman" w:hAnsi="Times New Roman" w:cs="Times New Roman"/>
          <w:b/>
          <w:bCs/>
          <w:lang w:val="en-GB"/>
        </w:rPr>
        <w:t>panel (b)</w:t>
      </w:r>
      <w:r w:rsidRPr="00057F2F">
        <w:rPr>
          <w:rFonts w:ascii="Times New Roman" w:hAnsi="Times New Roman" w:cs="Times New Roman"/>
          <w:lang w:val="en-GB"/>
        </w:rPr>
        <w:t xml:space="preserve"> displays the annual share of greenfield FDI projects by GVC function over 2003–2018. Downstream activities consistently account for the dominant share throughout the entire period, representing around 50% in the early 2000s and </w:t>
      </w:r>
      <w:proofErr w:type="gramStart"/>
      <w:r w:rsidRPr="00057F2F">
        <w:rPr>
          <w:rFonts w:ascii="Times New Roman" w:hAnsi="Times New Roman" w:cs="Times New Roman"/>
          <w:lang w:val="en-GB"/>
        </w:rPr>
        <w:t>rising up</w:t>
      </w:r>
      <w:proofErr w:type="gramEnd"/>
      <w:r w:rsidRPr="00057F2F">
        <w:rPr>
          <w:rFonts w:ascii="Times New Roman" w:hAnsi="Times New Roman" w:cs="Times New Roman"/>
          <w:lang w:val="en-GB"/>
        </w:rPr>
        <w:t xml:space="preserve"> to the global financial crisis (indicated by the dashed vertical line) and stabilising at approximately 65% from 2010 onwards. The production share, by contrast, declines considerably after 2008, falling from around 35% in the pre-crisis years to approximately 15–20% in the post-crisis period. The upstream share remains the smallest of the three functional categories throughout, fluctuating between roughly 10% and 20% with a modest upward trend in the final years of the sample. These compositional shifts are consistent with a structural reorientation of European FDI towards downstream, market-oriented activities following the global financial crisis, at the expense of production-stage investments. Importantly, the transition appears to be largely discontinuous — concentrated around the 2008–2009 break — rather than a gradual long-run trend, which supports the periodization adopted in the main analysis and the treatment of 2009 as a meaningful structural break in the functional composition of FDI flows.</w:t>
      </w:r>
      <w:r w:rsidR="00B92799" w:rsidRPr="00057F2F">
        <w:rPr>
          <w:rFonts w:ascii="Times New Roman" w:hAnsi="Times New Roman" w:cs="Times New Roman"/>
          <w:lang w:val="en-GB"/>
        </w:rPr>
        <w:tab/>
      </w:r>
      <w:r w:rsidR="00B92799" w:rsidRPr="00057F2F">
        <w:rPr>
          <w:rFonts w:ascii="Times New Roman" w:hAnsi="Times New Roman" w:cs="Times New Roman"/>
          <w:lang w:val="en-GB"/>
        </w:rPr>
        <w:tab/>
      </w:r>
      <w:r w:rsidRPr="00057F2F">
        <w:rPr>
          <w:rFonts w:ascii="Times New Roman" w:hAnsi="Times New Roman" w:cs="Times New Roman"/>
          <w:lang w:val="en-GB"/>
        </w:rPr>
        <w:br w:type="page"/>
      </w:r>
    </w:p>
    <w:p w14:paraId="047CA380" w14:textId="6359C5A4" w:rsidR="00B01FED" w:rsidRPr="00057F2F" w:rsidRDefault="00B01FED" w:rsidP="00DB415F">
      <w:pPr>
        <w:pStyle w:val="Titolo3"/>
      </w:pPr>
      <w:r w:rsidRPr="00057F2F">
        <w:rPr>
          <w:b/>
          <w:bCs/>
        </w:rPr>
        <w:lastRenderedPageBreak/>
        <w:t>Figure A.</w:t>
      </w:r>
      <w:r w:rsidR="00DB415F" w:rsidRPr="00057F2F">
        <w:rPr>
          <w:b/>
          <w:bCs/>
        </w:rPr>
        <w:t>3</w:t>
      </w:r>
      <w:r w:rsidR="00A45609" w:rsidRPr="00057F2F">
        <w:rPr>
          <w:b/>
          <w:bCs/>
        </w:rPr>
        <w:t>.</w:t>
      </w:r>
      <w:r w:rsidRPr="00057F2F">
        <w:t xml:space="preserve"> Functional specialization (FS) in FDI across GVC stages</w:t>
      </w:r>
    </w:p>
    <w:p w14:paraId="3C99087E" w14:textId="77777777" w:rsidR="00B01FED" w:rsidRPr="00057F2F" w:rsidRDefault="00B01FED" w:rsidP="00B01FED">
      <w:pPr>
        <w:jc w:val="center"/>
        <w:rPr>
          <w:lang w:val="en-GB"/>
        </w:rPr>
      </w:pPr>
      <w:r w:rsidRPr="00057F2F">
        <w:rPr>
          <w:noProof/>
          <w:lang w:val="en-GB"/>
        </w:rPr>
        <w:drawing>
          <wp:inline distT="0" distB="0" distL="0" distR="0" wp14:anchorId="55E79CF1" wp14:editId="317CBB38">
            <wp:extent cx="4287916" cy="8032750"/>
            <wp:effectExtent l="0" t="0" r="0" b="6350"/>
            <wp:docPr id="357920059" name="Immagine 1" descr="FS&#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20059" name="Immagine 1" descr="FS&#10;&#10;Il contenuto generato dall'IA potrebbe non essere corrett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3007" r="23613"/>
                    <a:stretch>
                      <a:fillRect/>
                    </a:stretch>
                  </pic:blipFill>
                  <pic:spPr bwMode="auto">
                    <a:xfrm>
                      <a:off x="0" y="0"/>
                      <a:ext cx="4297161" cy="8050069"/>
                    </a:xfrm>
                    <a:prstGeom prst="rect">
                      <a:avLst/>
                    </a:prstGeom>
                    <a:noFill/>
                    <a:ln>
                      <a:noFill/>
                    </a:ln>
                    <a:extLst>
                      <a:ext uri="{53640926-AAD7-44D8-BBD7-CCE9431645EC}">
                        <a14:shadowObscured xmlns:a14="http://schemas.microsoft.com/office/drawing/2010/main"/>
                      </a:ext>
                    </a:extLst>
                  </pic:spPr>
                </pic:pic>
              </a:graphicData>
            </a:graphic>
          </wp:inline>
        </w:drawing>
      </w:r>
    </w:p>
    <w:p w14:paraId="0C6533A0" w14:textId="62500E44" w:rsidR="00B01FED" w:rsidRPr="00057F2F" w:rsidRDefault="00112D54" w:rsidP="00112D54">
      <w:pPr>
        <w:shd w:val="clear" w:color="auto" w:fill="FFFFFF" w:themeFill="background1"/>
        <w:spacing w:after="0" w:line="240" w:lineRule="auto"/>
        <w:jc w:val="both"/>
        <w:rPr>
          <w:rFonts w:ascii="Times New Roman" w:hAnsi="Times New Roman" w:cs="Times New Roman"/>
          <w:sz w:val="20"/>
          <w:szCs w:val="20"/>
          <w:lang w:val="en-GB"/>
        </w:rPr>
      </w:pPr>
      <w:r w:rsidRPr="00057F2F">
        <w:rPr>
          <w:rFonts w:ascii="Times New Roman" w:hAnsi="Times New Roman" w:cs="Times New Roman"/>
          <w:sz w:val="18"/>
          <w:szCs w:val="18"/>
          <w:lang w:val="en-GB"/>
        </w:rPr>
        <w:t xml:space="preserve">Note: NA stands for ‘not available’ and includes regions which did not receive FDIs over the periods (e.g., a few Italian and Greek regions) as well as non-EU27 countries (i.e., Albania, Bosnia and Herzegovina, Kosovo, Montenegro, North Macedonia, Norway, Serbia and Switzerland). 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r w:rsidRPr="00057F2F">
        <w:rPr>
          <w:rFonts w:ascii="Times New Roman" w:hAnsi="Times New Roman" w:cs="Times New Roman"/>
          <w:sz w:val="18"/>
          <w:szCs w:val="18"/>
          <w:lang w:val="en-GB"/>
        </w:rPr>
        <w:tab/>
      </w:r>
      <w:r w:rsidRPr="00057F2F">
        <w:rPr>
          <w:rFonts w:ascii="Times New Roman" w:hAnsi="Times New Roman" w:cs="Times New Roman"/>
          <w:sz w:val="18"/>
          <w:szCs w:val="18"/>
          <w:lang w:val="en-GB"/>
        </w:rPr>
        <w:tab/>
      </w:r>
      <w:r w:rsidR="00B01FED" w:rsidRPr="00057F2F">
        <w:rPr>
          <w:rFonts w:ascii="Times New Roman" w:hAnsi="Times New Roman" w:cs="Times New Roman"/>
          <w:sz w:val="20"/>
          <w:szCs w:val="20"/>
          <w:lang w:val="en-GB"/>
        </w:rPr>
        <w:br w:type="page"/>
      </w:r>
    </w:p>
    <w:p w14:paraId="1604621C" w14:textId="0600102E" w:rsidR="00DB415F" w:rsidRPr="00057F2F" w:rsidRDefault="00DB415F" w:rsidP="00DB415F">
      <w:pPr>
        <w:pStyle w:val="Titolo3"/>
      </w:pPr>
      <w:r w:rsidRPr="00057F2F">
        <w:rPr>
          <w:b/>
          <w:bCs/>
        </w:rPr>
        <w:lastRenderedPageBreak/>
        <w:t>Table A.2</w:t>
      </w:r>
      <w:r w:rsidR="00A45609" w:rsidRPr="00057F2F">
        <w:rPr>
          <w:b/>
          <w:bCs/>
        </w:rPr>
        <w:t>.</w:t>
      </w:r>
      <w:r w:rsidRPr="00057F2F">
        <w:t xml:space="preserve"> The Revised Pavitt Taxonomy</w:t>
      </w:r>
    </w:p>
    <w:tbl>
      <w:tblPr>
        <w:tblW w:w="8560" w:type="dxa"/>
        <w:tblCellMar>
          <w:left w:w="70" w:type="dxa"/>
          <w:right w:w="70" w:type="dxa"/>
        </w:tblCellMar>
        <w:tblLook w:val="04A0" w:firstRow="1" w:lastRow="0" w:firstColumn="1" w:lastColumn="0" w:noHBand="0" w:noVBand="1"/>
      </w:tblPr>
      <w:tblGrid>
        <w:gridCol w:w="1700"/>
        <w:gridCol w:w="4940"/>
        <w:gridCol w:w="1920"/>
      </w:tblGrid>
      <w:tr w:rsidR="00DB415F" w:rsidRPr="00057F2F" w14:paraId="651EADA6" w14:textId="77777777" w:rsidTr="00C0398A">
        <w:trPr>
          <w:trHeight w:val="792"/>
        </w:trPr>
        <w:tc>
          <w:tcPr>
            <w:tcW w:w="1700" w:type="dxa"/>
            <w:tcBorders>
              <w:top w:val="single" w:sz="4" w:space="0" w:color="auto"/>
              <w:left w:val="nil"/>
              <w:bottom w:val="single" w:sz="4" w:space="0" w:color="auto"/>
              <w:right w:val="nil"/>
            </w:tcBorders>
            <w:vAlign w:val="center"/>
            <w:hideMark/>
          </w:tcPr>
          <w:p w14:paraId="41349A06" w14:textId="77777777" w:rsidR="00DB415F" w:rsidRPr="00057F2F" w:rsidRDefault="00DB415F" w:rsidP="00C0398A">
            <w:pPr>
              <w:spacing w:after="0" w:line="240" w:lineRule="auto"/>
              <w:rPr>
                <w:rFonts w:ascii="Times New Roman" w:eastAsia="Times New Roman" w:hAnsi="Times New Roman" w:cs="Times New Roman"/>
                <w:b/>
                <w:bCs/>
                <w:color w:val="000000"/>
                <w:sz w:val="20"/>
                <w:szCs w:val="20"/>
                <w:lang w:val="en-GB" w:eastAsia="it-IT"/>
              </w:rPr>
            </w:pPr>
            <w:r w:rsidRPr="00057F2F">
              <w:rPr>
                <w:rFonts w:ascii="Times New Roman" w:eastAsia="Times New Roman" w:hAnsi="Times New Roman" w:cs="Times New Roman"/>
                <w:b/>
                <w:bCs/>
                <w:color w:val="000000"/>
                <w:sz w:val="20"/>
                <w:szCs w:val="20"/>
                <w:lang w:val="en-GB" w:eastAsia="it-IT"/>
              </w:rPr>
              <w:t>RPC</w:t>
            </w:r>
          </w:p>
        </w:tc>
        <w:tc>
          <w:tcPr>
            <w:tcW w:w="4940" w:type="dxa"/>
            <w:tcBorders>
              <w:top w:val="single" w:sz="4" w:space="0" w:color="auto"/>
              <w:left w:val="nil"/>
              <w:bottom w:val="single" w:sz="4" w:space="0" w:color="auto"/>
              <w:right w:val="nil"/>
            </w:tcBorders>
            <w:vAlign w:val="center"/>
            <w:hideMark/>
          </w:tcPr>
          <w:p w14:paraId="1A05BE76" w14:textId="77777777" w:rsidR="00DB415F" w:rsidRPr="00057F2F" w:rsidRDefault="00DB415F" w:rsidP="00C0398A">
            <w:pPr>
              <w:spacing w:after="0" w:line="240" w:lineRule="auto"/>
              <w:jc w:val="both"/>
              <w:rPr>
                <w:rFonts w:ascii="Times New Roman" w:eastAsia="Times New Roman" w:hAnsi="Times New Roman" w:cs="Times New Roman"/>
                <w:b/>
                <w:bCs/>
                <w:color w:val="000000"/>
                <w:sz w:val="20"/>
                <w:szCs w:val="20"/>
                <w:lang w:val="en-GB" w:eastAsia="it-IT"/>
              </w:rPr>
            </w:pPr>
            <w:r w:rsidRPr="00057F2F">
              <w:rPr>
                <w:rFonts w:ascii="Times New Roman" w:eastAsia="Times New Roman" w:hAnsi="Times New Roman" w:cs="Times New Roman"/>
                <w:b/>
                <w:bCs/>
                <w:color w:val="000000"/>
                <w:sz w:val="20"/>
                <w:szCs w:val="20"/>
                <w:lang w:val="en-GB" w:eastAsia="it-IT"/>
              </w:rPr>
              <w:t>Description</w:t>
            </w:r>
          </w:p>
        </w:tc>
        <w:tc>
          <w:tcPr>
            <w:tcW w:w="1920" w:type="dxa"/>
            <w:tcBorders>
              <w:top w:val="single" w:sz="4" w:space="0" w:color="auto"/>
              <w:left w:val="nil"/>
              <w:bottom w:val="single" w:sz="4" w:space="0" w:color="auto"/>
              <w:right w:val="nil"/>
            </w:tcBorders>
            <w:vAlign w:val="center"/>
            <w:hideMark/>
          </w:tcPr>
          <w:p w14:paraId="69686605" w14:textId="77777777" w:rsidR="00DB415F" w:rsidRPr="00057F2F" w:rsidRDefault="00DB415F" w:rsidP="00C0398A">
            <w:pPr>
              <w:spacing w:after="0" w:line="240" w:lineRule="auto"/>
              <w:rPr>
                <w:rFonts w:ascii="Times New Roman" w:eastAsia="Times New Roman" w:hAnsi="Times New Roman" w:cs="Times New Roman"/>
                <w:b/>
                <w:bCs/>
                <w:color w:val="000000"/>
                <w:sz w:val="20"/>
                <w:szCs w:val="20"/>
                <w:lang w:val="en-GB" w:eastAsia="it-IT"/>
              </w:rPr>
            </w:pPr>
            <w:r w:rsidRPr="00057F2F">
              <w:rPr>
                <w:rFonts w:ascii="Times New Roman" w:eastAsia="Times New Roman" w:hAnsi="Times New Roman" w:cs="Times New Roman"/>
                <w:b/>
                <w:bCs/>
                <w:color w:val="000000"/>
                <w:sz w:val="20"/>
                <w:szCs w:val="20"/>
                <w:lang w:val="en-GB" w:eastAsia="it-IT"/>
              </w:rPr>
              <w:t>Industry examples (NACE Rev. 2 code)</w:t>
            </w:r>
          </w:p>
        </w:tc>
      </w:tr>
      <w:tr w:rsidR="00DB415F" w:rsidRPr="00057F2F" w14:paraId="1F131460" w14:textId="77777777" w:rsidTr="00C0398A">
        <w:trPr>
          <w:trHeight w:val="1584"/>
        </w:trPr>
        <w:tc>
          <w:tcPr>
            <w:tcW w:w="1700" w:type="dxa"/>
            <w:tcBorders>
              <w:top w:val="nil"/>
              <w:left w:val="nil"/>
              <w:bottom w:val="nil"/>
              <w:right w:val="nil"/>
            </w:tcBorders>
            <w:vAlign w:val="center"/>
            <w:hideMark/>
          </w:tcPr>
          <w:p w14:paraId="64F89F5B"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Science-Based industries (SB) </w:t>
            </w:r>
          </w:p>
        </w:tc>
        <w:tc>
          <w:tcPr>
            <w:tcW w:w="4940" w:type="dxa"/>
            <w:tcBorders>
              <w:top w:val="nil"/>
              <w:left w:val="nil"/>
              <w:bottom w:val="nil"/>
              <w:right w:val="nil"/>
            </w:tcBorders>
            <w:vAlign w:val="center"/>
            <w:hideMark/>
          </w:tcPr>
          <w:p w14:paraId="31064F09" w14:textId="77777777" w:rsidR="00DB415F" w:rsidRPr="00057F2F" w:rsidRDefault="00DB415F" w:rsidP="00C0398A">
            <w:pPr>
              <w:spacing w:after="0" w:line="240" w:lineRule="auto"/>
              <w:jc w:val="both"/>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Sectors where innovation is based on advances in science and R&amp;D (such as the pharmaceuticals, electronics, computer services) where research laboratories are important, leading to intense product innovation and a high propensity to patent.</w:t>
            </w:r>
          </w:p>
        </w:tc>
        <w:tc>
          <w:tcPr>
            <w:tcW w:w="1920" w:type="dxa"/>
            <w:tcBorders>
              <w:top w:val="nil"/>
              <w:left w:val="nil"/>
              <w:bottom w:val="nil"/>
              <w:right w:val="nil"/>
            </w:tcBorders>
            <w:vAlign w:val="center"/>
            <w:hideMark/>
          </w:tcPr>
          <w:p w14:paraId="5A12D21A"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Chemical (C20); </w:t>
            </w:r>
            <w:proofErr w:type="spellStart"/>
            <w:r w:rsidRPr="00057F2F">
              <w:rPr>
                <w:rFonts w:ascii="Times New Roman" w:eastAsia="Times New Roman" w:hAnsi="Times New Roman" w:cs="Times New Roman"/>
                <w:color w:val="000000"/>
                <w:sz w:val="20"/>
                <w:szCs w:val="20"/>
                <w:lang w:val="en-GB" w:eastAsia="it-IT"/>
              </w:rPr>
              <w:t>pharmaceutial</w:t>
            </w:r>
            <w:proofErr w:type="spellEnd"/>
            <w:r w:rsidRPr="00057F2F">
              <w:rPr>
                <w:rFonts w:ascii="Times New Roman" w:eastAsia="Times New Roman" w:hAnsi="Times New Roman" w:cs="Times New Roman"/>
                <w:color w:val="000000"/>
                <w:sz w:val="20"/>
                <w:szCs w:val="20"/>
                <w:lang w:val="en-GB" w:eastAsia="it-IT"/>
              </w:rPr>
              <w:t xml:space="preserve"> (C21); electronics (C26); computer programming (J62-J63)</w:t>
            </w:r>
          </w:p>
        </w:tc>
      </w:tr>
      <w:tr w:rsidR="00DB415F" w:rsidRPr="00057F2F" w14:paraId="2237C4E9" w14:textId="77777777" w:rsidTr="00C0398A">
        <w:trPr>
          <w:trHeight w:val="2112"/>
        </w:trPr>
        <w:tc>
          <w:tcPr>
            <w:tcW w:w="1700" w:type="dxa"/>
            <w:tcBorders>
              <w:top w:val="nil"/>
              <w:left w:val="nil"/>
              <w:bottom w:val="nil"/>
              <w:right w:val="nil"/>
            </w:tcBorders>
            <w:vAlign w:val="center"/>
            <w:hideMark/>
          </w:tcPr>
          <w:p w14:paraId="3A01740D"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Specialised Supplier industries (SS) </w:t>
            </w:r>
          </w:p>
        </w:tc>
        <w:tc>
          <w:tcPr>
            <w:tcW w:w="4940" w:type="dxa"/>
            <w:tcBorders>
              <w:top w:val="nil"/>
              <w:left w:val="nil"/>
              <w:bottom w:val="nil"/>
              <w:right w:val="nil"/>
            </w:tcBorders>
            <w:vAlign w:val="center"/>
            <w:hideMark/>
          </w:tcPr>
          <w:p w14:paraId="64CDF402" w14:textId="77777777" w:rsidR="00DB415F" w:rsidRPr="00057F2F" w:rsidRDefault="00DB415F" w:rsidP="00C0398A">
            <w:pPr>
              <w:spacing w:after="0" w:line="240" w:lineRule="auto"/>
              <w:jc w:val="both"/>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Sectors producing machinery and equipment; their products are new processes for other industries. R&amp;D is </w:t>
            </w:r>
            <w:proofErr w:type="gramStart"/>
            <w:r w:rsidRPr="00057F2F">
              <w:rPr>
                <w:rFonts w:ascii="Times New Roman" w:eastAsia="Times New Roman" w:hAnsi="Times New Roman" w:cs="Times New Roman"/>
                <w:color w:val="000000"/>
                <w:sz w:val="20"/>
                <w:szCs w:val="20"/>
                <w:lang w:val="en-GB" w:eastAsia="it-IT"/>
              </w:rPr>
              <w:t>present</w:t>
            </w:r>
            <w:proofErr w:type="gramEnd"/>
            <w:r w:rsidRPr="00057F2F">
              <w:rPr>
                <w:rFonts w:ascii="Times New Roman" w:eastAsia="Times New Roman" w:hAnsi="Times New Roman" w:cs="Times New Roman"/>
                <w:color w:val="000000"/>
                <w:sz w:val="20"/>
                <w:szCs w:val="20"/>
                <w:lang w:val="en-GB" w:eastAsia="it-IT"/>
              </w:rPr>
              <w:t xml:space="preserve"> but an important innovative input comes from tacit knowledge and design skills embodied in the labour force. Average firm size is </w:t>
            </w:r>
            <w:proofErr w:type="gramStart"/>
            <w:r w:rsidRPr="00057F2F">
              <w:rPr>
                <w:rFonts w:ascii="Times New Roman" w:eastAsia="Times New Roman" w:hAnsi="Times New Roman" w:cs="Times New Roman"/>
                <w:color w:val="000000"/>
                <w:sz w:val="20"/>
                <w:szCs w:val="20"/>
                <w:lang w:val="en-GB" w:eastAsia="it-IT"/>
              </w:rPr>
              <w:t>small</w:t>
            </w:r>
            <w:proofErr w:type="gramEnd"/>
            <w:r w:rsidRPr="00057F2F">
              <w:rPr>
                <w:rFonts w:ascii="Times New Roman" w:eastAsia="Times New Roman" w:hAnsi="Times New Roman" w:cs="Times New Roman"/>
                <w:color w:val="000000"/>
                <w:sz w:val="20"/>
                <w:szCs w:val="20"/>
                <w:lang w:val="en-GB" w:eastAsia="it-IT"/>
              </w:rPr>
              <w:t xml:space="preserve"> and innovation is carried out in close relation with customers.</w:t>
            </w:r>
          </w:p>
        </w:tc>
        <w:tc>
          <w:tcPr>
            <w:tcW w:w="1920" w:type="dxa"/>
            <w:tcBorders>
              <w:top w:val="nil"/>
              <w:left w:val="nil"/>
              <w:bottom w:val="nil"/>
              <w:right w:val="nil"/>
            </w:tcBorders>
            <w:vAlign w:val="center"/>
            <w:hideMark/>
          </w:tcPr>
          <w:p w14:paraId="4C16D009"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Electrical equipment (C27); machinery and equipment (C28); legal and accounting activities (M69-M70); architectural and engineering activities (M71)</w:t>
            </w:r>
          </w:p>
        </w:tc>
      </w:tr>
      <w:tr w:rsidR="00DB415F" w:rsidRPr="00057F2F" w14:paraId="2FEF0D6A" w14:textId="77777777" w:rsidTr="00C0398A">
        <w:trPr>
          <w:trHeight w:val="1584"/>
        </w:trPr>
        <w:tc>
          <w:tcPr>
            <w:tcW w:w="1700" w:type="dxa"/>
            <w:tcBorders>
              <w:top w:val="nil"/>
              <w:left w:val="nil"/>
              <w:bottom w:val="nil"/>
              <w:right w:val="nil"/>
            </w:tcBorders>
            <w:vAlign w:val="center"/>
            <w:hideMark/>
          </w:tcPr>
          <w:p w14:paraId="5089D7BD"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Scale and Information Intensive industries (SI) </w:t>
            </w:r>
          </w:p>
        </w:tc>
        <w:tc>
          <w:tcPr>
            <w:tcW w:w="4940" w:type="dxa"/>
            <w:tcBorders>
              <w:top w:val="nil"/>
              <w:left w:val="nil"/>
              <w:bottom w:val="nil"/>
              <w:right w:val="nil"/>
            </w:tcBorders>
            <w:vAlign w:val="center"/>
            <w:hideMark/>
          </w:tcPr>
          <w:p w14:paraId="5326573C" w14:textId="77777777" w:rsidR="00DB415F" w:rsidRPr="00057F2F" w:rsidRDefault="00DB415F" w:rsidP="00C0398A">
            <w:pPr>
              <w:spacing w:after="0" w:line="240" w:lineRule="auto"/>
              <w:jc w:val="both"/>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Sectors (such as the automotive sector and financial services) characterized by large economies of scale and oligopolistic markets where technological change is usually incremental. New processes (often related to information technology) shape the organisation of production and coexist with new product development.</w:t>
            </w:r>
          </w:p>
        </w:tc>
        <w:tc>
          <w:tcPr>
            <w:tcW w:w="1920" w:type="dxa"/>
            <w:tcBorders>
              <w:top w:val="nil"/>
              <w:left w:val="nil"/>
              <w:bottom w:val="nil"/>
              <w:right w:val="nil"/>
            </w:tcBorders>
            <w:vAlign w:val="center"/>
            <w:hideMark/>
          </w:tcPr>
          <w:p w14:paraId="00ED7005"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Basic metals (C24); Motor vehicles (C29); publishing activities (J58); Financial services (K64)</w:t>
            </w:r>
          </w:p>
        </w:tc>
      </w:tr>
      <w:tr w:rsidR="00DB415F" w:rsidRPr="00057F2F" w14:paraId="20662DE7" w14:textId="77777777" w:rsidTr="00C0398A">
        <w:trPr>
          <w:trHeight w:val="1584"/>
        </w:trPr>
        <w:tc>
          <w:tcPr>
            <w:tcW w:w="1700" w:type="dxa"/>
            <w:tcBorders>
              <w:top w:val="nil"/>
              <w:left w:val="nil"/>
              <w:bottom w:val="single" w:sz="4" w:space="0" w:color="auto"/>
              <w:right w:val="nil"/>
            </w:tcBorders>
            <w:vAlign w:val="center"/>
            <w:hideMark/>
          </w:tcPr>
          <w:p w14:paraId="00E26BB0"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Supplier Dominated industries (SD) </w:t>
            </w:r>
          </w:p>
        </w:tc>
        <w:tc>
          <w:tcPr>
            <w:tcW w:w="4940" w:type="dxa"/>
            <w:tcBorders>
              <w:top w:val="nil"/>
              <w:left w:val="nil"/>
              <w:bottom w:val="single" w:sz="4" w:space="0" w:color="auto"/>
              <w:right w:val="nil"/>
            </w:tcBorders>
            <w:vAlign w:val="center"/>
            <w:hideMark/>
          </w:tcPr>
          <w:p w14:paraId="0949E531" w14:textId="77777777" w:rsidR="00DB415F" w:rsidRPr="00057F2F" w:rsidRDefault="00DB415F" w:rsidP="00C0398A">
            <w:pPr>
              <w:spacing w:after="0" w:line="240" w:lineRule="auto"/>
              <w:jc w:val="both"/>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Sectors (such as food, textile, retail services) where internal innovative activities are less relevant, small firms are prevalent and technological change is mainly introduced through the inputs and machinery provided by suppliers from other industries. Firms in this group do not carry out much R&amp;D or other innovative activities.</w:t>
            </w:r>
          </w:p>
        </w:tc>
        <w:tc>
          <w:tcPr>
            <w:tcW w:w="1920" w:type="dxa"/>
            <w:tcBorders>
              <w:top w:val="nil"/>
              <w:left w:val="nil"/>
              <w:bottom w:val="single" w:sz="4" w:space="0" w:color="auto"/>
              <w:right w:val="nil"/>
            </w:tcBorders>
            <w:vAlign w:val="center"/>
            <w:hideMark/>
          </w:tcPr>
          <w:p w14:paraId="72EA4501" w14:textId="77777777" w:rsidR="00DB415F" w:rsidRPr="00057F2F" w:rsidRDefault="00DB415F" w:rsidP="00C0398A">
            <w:pPr>
              <w:spacing w:after="0" w:line="240" w:lineRule="auto"/>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 xml:space="preserve">Food (C10-C12); textile (C13-C15); wholesale trade (G46); </w:t>
            </w:r>
            <w:proofErr w:type="spellStart"/>
            <w:r w:rsidRPr="00057F2F">
              <w:rPr>
                <w:rFonts w:ascii="Times New Roman" w:eastAsia="Times New Roman" w:hAnsi="Times New Roman" w:cs="Times New Roman"/>
                <w:color w:val="000000"/>
                <w:sz w:val="20"/>
                <w:szCs w:val="20"/>
                <w:lang w:val="en-GB" w:eastAsia="it-IT"/>
              </w:rPr>
              <w:t>accomodation</w:t>
            </w:r>
            <w:proofErr w:type="spellEnd"/>
            <w:r w:rsidRPr="00057F2F">
              <w:rPr>
                <w:rFonts w:ascii="Times New Roman" w:eastAsia="Times New Roman" w:hAnsi="Times New Roman" w:cs="Times New Roman"/>
                <w:color w:val="000000"/>
                <w:sz w:val="20"/>
                <w:szCs w:val="20"/>
                <w:lang w:val="en-GB" w:eastAsia="it-IT"/>
              </w:rPr>
              <w:t xml:space="preserve"> (I)</w:t>
            </w:r>
          </w:p>
        </w:tc>
      </w:tr>
    </w:tbl>
    <w:p w14:paraId="0AFBB82F" w14:textId="77777777" w:rsidR="00DB415F" w:rsidRPr="00057F2F" w:rsidRDefault="00DB415F" w:rsidP="00DB415F">
      <w:pPr>
        <w:spacing w:after="0" w:line="240" w:lineRule="auto"/>
        <w:jc w:val="both"/>
        <w:rPr>
          <w:rFonts w:ascii="Times New Roman" w:hAnsi="Times New Roman" w:cs="Times New Roman"/>
          <w:sz w:val="18"/>
          <w:szCs w:val="18"/>
          <w:lang w:val="en-GB"/>
        </w:rPr>
      </w:pPr>
      <w:r w:rsidRPr="00057F2F">
        <w:rPr>
          <w:rFonts w:ascii="Times New Roman" w:hAnsi="Times New Roman" w:cs="Times New Roman"/>
          <w:sz w:val="18"/>
          <w:szCs w:val="18"/>
          <w:lang w:val="en-GB"/>
        </w:rPr>
        <w:t xml:space="preserve">Note: RPC stands for Revised Pavitt Paxonomy. </w:t>
      </w:r>
    </w:p>
    <w:p w14:paraId="75D59E90" w14:textId="77777777" w:rsidR="00DB415F" w:rsidRPr="00057F2F" w:rsidRDefault="00DB415F" w:rsidP="00DB415F">
      <w:pPr>
        <w:spacing w:after="360"/>
        <w:jc w:val="both"/>
        <w:rPr>
          <w:rFonts w:ascii="Times New Roman" w:hAnsi="Times New Roman" w:cs="Times New Roman"/>
          <w:sz w:val="18"/>
          <w:szCs w:val="18"/>
          <w:lang w:val="en-GB"/>
        </w:rPr>
      </w:pPr>
      <w:r w:rsidRPr="00057F2F">
        <w:rPr>
          <w:rFonts w:ascii="Times New Roman" w:hAnsi="Times New Roman" w:cs="Times New Roman"/>
          <w:sz w:val="18"/>
          <w:szCs w:val="18"/>
          <w:lang w:val="en-GB"/>
        </w:rPr>
        <w:t>Source: authors’ elaboration based on Bogliacino and Pianta (2010, pp. 801, 807).</w:t>
      </w:r>
    </w:p>
    <w:p w14:paraId="1F31030F" w14:textId="77777777" w:rsidR="00DB415F" w:rsidRPr="00057F2F" w:rsidRDefault="00DB415F" w:rsidP="00DB415F">
      <w:pPr>
        <w:rPr>
          <w:rFonts w:ascii="Times New Roman" w:eastAsiaTheme="majorEastAsia" w:hAnsi="Times New Roman" w:cs="Times New Roman"/>
          <w:b/>
          <w:bCs/>
          <w:sz w:val="24"/>
          <w:szCs w:val="24"/>
          <w:lang w:val="en-GB"/>
        </w:rPr>
      </w:pPr>
    </w:p>
    <w:p w14:paraId="63D20E9D" w14:textId="77777777" w:rsidR="00DB415F" w:rsidRPr="00057F2F" w:rsidRDefault="00DB415F" w:rsidP="00B17EF6">
      <w:pPr>
        <w:jc w:val="center"/>
        <w:rPr>
          <w:rFonts w:ascii="Times New Roman" w:hAnsi="Times New Roman" w:cs="Times New Roman"/>
          <w:lang w:val="en-GB"/>
        </w:rPr>
      </w:pPr>
    </w:p>
    <w:p w14:paraId="476ED870" w14:textId="77777777" w:rsidR="00DB415F" w:rsidRPr="00057F2F" w:rsidRDefault="00DB415F">
      <w:pPr>
        <w:rPr>
          <w:rFonts w:ascii="Times New Roman" w:hAnsi="Times New Roman" w:cs="Times New Roman"/>
          <w:lang w:val="en-GB"/>
        </w:rPr>
      </w:pPr>
      <w:r w:rsidRPr="00057F2F">
        <w:rPr>
          <w:rFonts w:ascii="Times New Roman" w:hAnsi="Times New Roman" w:cs="Times New Roman"/>
          <w:lang w:val="en-GB"/>
        </w:rPr>
        <w:br w:type="page"/>
      </w:r>
    </w:p>
    <w:p w14:paraId="6C1B77A5" w14:textId="56AD96FC" w:rsidR="00B17EF6" w:rsidRPr="00057F2F" w:rsidRDefault="00B17EF6" w:rsidP="00DB415F">
      <w:pPr>
        <w:pStyle w:val="Titolo3"/>
      </w:pPr>
      <w:r w:rsidRPr="00057F2F">
        <w:rPr>
          <w:b/>
          <w:bCs/>
        </w:rPr>
        <w:lastRenderedPageBreak/>
        <w:t>Figure A.</w:t>
      </w:r>
      <w:r w:rsidR="007119B9" w:rsidRPr="00057F2F">
        <w:rPr>
          <w:b/>
          <w:bCs/>
        </w:rPr>
        <w:t>4</w:t>
      </w:r>
      <w:r w:rsidRPr="00057F2F">
        <w:rPr>
          <w:b/>
          <w:bCs/>
        </w:rPr>
        <w:t>.</w:t>
      </w:r>
      <w:r w:rsidRPr="00057F2F">
        <w:t xml:space="preserve"> FDI by Pavitt class: total distribution and by period</w:t>
      </w:r>
    </w:p>
    <w:tbl>
      <w:tblPr>
        <w:tblStyle w:val="Grigliatabella"/>
        <w:tblW w:w="0" w:type="auto"/>
        <w:jc w:val="center"/>
        <w:tblLook w:val="04A0" w:firstRow="1" w:lastRow="0" w:firstColumn="1" w:lastColumn="0" w:noHBand="0" w:noVBand="1"/>
      </w:tblPr>
      <w:tblGrid>
        <w:gridCol w:w="8266"/>
      </w:tblGrid>
      <w:tr w:rsidR="00B17EF6" w:rsidRPr="00057F2F" w14:paraId="009AF78A" w14:textId="77777777" w:rsidTr="00A75491">
        <w:trPr>
          <w:jc w:val="center"/>
        </w:trPr>
        <w:tc>
          <w:tcPr>
            <w:tcW w:w="8266" w:type="dxa"/>
            <w:vAlign w:val="center"/>
          </w:tcPr>
          <w:p w14:paraId="74C9E674" w14:textId="77777777" w:rsidR="00B17EF6" w:rsidRPr="00057F2F" w:rsidRDefault="00B17EF6" w:rsidP="00D61B6B">
            <w:pPr>
              <w:ind w:left="360"/>
              <w:jc w:val="center"/>
              <w:rPr>
                <w:rFonts w:ascii="Times New Roman" w:hAnsi="Times New Roman" w:cs="Times New Roman"/>
                <w:lang w:val="en-GB"/>
              </w:rPr>
            </w:pPr>
            <w:r w:rsidRPr="00057F2F">
              <w:rPr>
                <w:rFonts w:ascii="Times New Roman" w:hAnsi="Times New Roman" w:cs="Times New Roman"/>
                <w:lang w:val="en-GB"/>
              </w:rPr>
              <w:t>Panel (a)</w:t>
            </w:r>
          </w:p>
        </w:tc>
      </w:tr>
      <w:tr w:rsidR="00B17EF6" w:rsidRPr="00057F2F" w14:paraId="16FECF59" w14:textId="77777777" w:rsidTr="00A75491">
        <w:trPr>
          <w:jc w:val="center"/>
        </w:trPr>
        <w:tc>
          <w:tcPr>
            <w:tcW w:w="8266" w:type="dxa"/>
            <w:vAlign w:val="center"/>
          </w:tcPr>
          <w:p w14:paraId="5417254D" w14:textId="77777777" w:rsidR="00B17EF6" w:rsidRPr="00057F2F" w:rsidRDefault="00B17EF6" w:rsidP="00D61B6B">
            <w:pPr>
              <w:pStyle w:val="Paragrafoelenco"/>
              <w:ind w:left="-114"/>
              <w:jc w:val="center"/>
              <w:rPr>
                <w:rFonts w:ascii="Times New Roman" w:hAnsi="Times New Roman" w:cs="Times New Roman"/>
                <w:sz w:val="22"/>
                <w:szCs w:val="22"/>
                <w:lang w:val="en-GB"/>
              </w:rPr>
            </w:pPr>
            <w:r w:rsidRPr="00057F2F">
              <w:rPr>
                <w:noProof/>
                <w:lang w:val="en-GB"/>
              </w:rPr>
              <w:drawing>
                <wp:inline distT="0" distB="0" distL="0" distR="0" wp14:anchorId="15567C7F" wp14:editId="31F2C990">
                  <wp:extent cx="4410343" cy="2520000"/>
                  <wp:effectExtent l="0" t="0" r="0" b="0"/>
                  <wp:docPr id="153451992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0343" cy="2520000"/>
                          </a:xfrm>
                          <a:prstGeom prst="rect">
                            <a:avLst/>
                          </a:prstGeom>
                          <a:noFill/>
                          <a:ln>
                            <a:noFill/>
                          </a:ln>
                        </pic:spPr>
                      </pic:pic>
                    </a:graphicData>
                  </a:graphic>
                </wp:inline>
              </w:drawing>
            </w:r>
          </w:p>
        </w:tc>
      </w:tr>
      <w:tr w:rsidR="00B17EF6" w:rsidRPr="00057F2F" w14:paraId="6DDACE61" w14:textId="77777777" w:rsidTr="00A75491">
        <w:trPr>
          <w:jc w:val="center"/>
        </w:trPr>
        <w:tc>
          <w:tcPr>
            <w:tcW w:w="8266" w:type="dxa"/>
            <w:vAlign w:val="center"/>
          </w:tcPr>
          <w:p w14:paraId="48653624" w14:textId="77777777" w:rsidR="00B17EF6" w:rsidRPr="00057F2F" w:rsidRDefault="00B17EF6" w:rsidP="00D61B6B">
            <w:pPr>
              <w:pStyle w:val="Paragrafoelenco"/>
              <w:ind w:left="-114"/>
              <w:jc w:val="center"/>
              <w:rPr>
                <w:rFonts w:ascii="Times New Roman" w:hAnsi="Times New Roman" w:cs="Times New Roman"/>
                <w:noProof/>
                <w:sz w:val="22"/>
                <w:szCs w:val="22"/>
                <w:lang w:val="en-GB"/>
              </w:rPr>
            </w:pPr>
            <w:r w:rsidRPr="00057F2F">
              <w:rPr>
                <w:rFonts w:ascii="Times New Roman" w:hAnsi="Times New Roman" w:cs="Times New Roman"/>
                <w:noProof/>
                <w:sz w:val="22"/>
                <w:szCs w:val="22"/>
                <w:lang w:val="en-GB"/>
              </w:rPr>
              <w:t>Panel (b)</w:t>
            </w:r>
          </w:p>
        </w:tc>
      </w:tr>
      <w:tr w:rsidR="00B17EF6" w:rsidRPr="00057F2F" w14:paraId="04BE419A" w14:textId="77777777" w:rsidTr="00A75491">
        <w:trPr>
          <w:jc w:val="center"/>
        </w:trPr>
        <w:tc>
          <w:tcPr>
            <w:tcW w:w="8266" w:type="dxa"/>
            <w:vAlign w:val="center"/>
          </w:tcPr>
          <w:p w14:paraId="7E2C4E21" w14:textId="77777777" w:rsidR="00B17EF6" w:rsidRPr="00057F2F" w:rsidRDefault="00B17EF6" w:rsidP="00D61B6B">
            <w:pPr>
              <w:pStyle w:val="Paragrafoelenco"/>
              <w:ind w:left="-114"/>
              <w:jc w:val="center"/>
              <w:rPr>
                <w:rFonts w:ascii="Times New Roman" w:hAnsi="Times New Roman" w:cs="Times New Roman"/>
                <w:sz w:val="22"/>
                <w:szCs w:val="22"/>
                <w:lang w:val="en-GB"/>
              </w:rPr>
            </w:pPr>
            <w:r w:rsidRPr="00057F2F">
              <w:rPr>
                <w:noProof/>
                <w:lang w:val="en-GB"/>
              </w:rPr>
              <w:drawing>
                <wp:inline distT="0" distB="0" distL="0" distR="0" wp14:anchorId="4A2B6058" wp14:editId="44420495">
                  <wp:extent cx="5184430" cy="2880000"/>
                  <wp:effectExtent l="0" t="0" r="0" b="0"/>
                  <wp:docPr id="83936795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84430" cy="2880000"/>
                          </a:xfrm>
                          <a:prstGeom prst="rect">
                            <a:avLst/>
                          </a:prstGeom>
                          <a:noFill/>
                          <a:ln>
                            <a:noFill/>
                          </a:ln>
                        </pic:spPr>
                      </pic:pic>
                    </a:graphicData>
                  </a:graphic>
                </wp:inline>
              </w:drawing>
            </w:r>
          </w:p>
        </w:tc>
      </w:tr>
    </w:tbl>
    <w:p w14:paraId="11E75CEE" w14:textId="2BDEC721" w:rsidR="00B17EF6" w:rsidRPr="00057F2F" w:rsidRDefault="00A75491" w:rsidP="00A75491">
      <w:pPr>
        <w:spacing w:before="120" w:after="240"/>
        <w:jc w:val="center"/>
        <w:rPr>
          <w:rFonts w:ascii="Times New Roman" w:hAnsi="Times New Roman" w:cs="Times New Roman"/>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73E4E1D6" w14:textId="1C89F8C9" w:rsidR="00B17EF6" w:rsidRPr="00057F2F" w:rsidRDefault="00B17EF6" w:rsidP="00B17EF6">
      <w:pPr>
        <w:jc w:val="both"/>
        <w:rPr>
          <w:rFonts w:ascii="Times New Roman" w:hAnsi="Times New Roman" w:cs="Times New Roman"/>
          <w:color w:val="EE0000"/>
          <w:lang w:val="en-GB"/>
        </w:rPr>
      </w:pPr>
      <w:r w:rsidRPr="00057F2F">
        <w:rPr>
          <w:rFonts w:ascii="Times New Roman" w:hAnsi="Times New Roman" w:cs="Times New Roman"/>
          <w:b/>
          <w:bCs/>
          <w:lang w:val="en-GB"/>
        </w:rPr>
        <w:t>Figure A.</w:t>
      </w:r>
      <w:r w:rsidR="00A45609" w:rsidRPr="00057F2F">
        <w:rPr>
          <w:rFonts w:ascii="Times New Roman" w:hAnsi="Times New Roman" w:cs="Times New Roman"/>
          <w:b/>
          <w:bCs/>
          <w:lang w:val="en-GB"/>
        </w:rPr>
        <w:t>4</w:t>
      </w:r>
      <w:r w:rsidRPr="00057F2F">
        <w:rPr>
          <w:rFonts w:ascii="Times New Roman" w:hAnsi="Times New Roman" w:cs="Times New Roman"/>
          <w:lang w:val="en-GB"/>
        </w:rPr>
        <w:t xml:space="preserve"> reports the sectoral composition of greenfield FDI projects across Pavitt technological classes. The bar chart in panel (a) shows the total distribution over 2003–2018: Scale &amp; Information Intensive industries (SII) account for the largest share (31.94%), followed by Science-Based (SB) (24.54%), Supplier Dominated (SD) (21.93%), and Specialised Supplier (SS) sectors (21.59%). The distribution is relatively balanced across technological classes, with no single category accounting for more than a third of total projects, which reflects the broad sectoral coverage of the greenfield FDI dataset. The figure in in panel (b) reveals that this sectoral composition is remarkably stable over time. The shares of all four Pavitt classes fluctuate only modestly around their long-run averages throughout the 2003–2018 period, with no discernible structural break around the global financial crisis (indicated by the dashed vertical line). SB industries maintain a broadly constant share of approximately 20–25%, while SII industries consistently account for the largest portion, oscillating between roughly 35% and 45%. SS and SD sectors each contribute approximately 20–25% throughout.</w:t>
      </w:r>
    </w:p>
    <w:p w14:paraId="2EB8C49B" w14:textId="77777777" w:rsidR="00B17EF6" w:rsidRPr="00057F2F" w:rsidRDefault="00B17EF6" w:rsidP="00B17EF6">
      <w:pPr>
        <w:rPr>
          <w:rFonts w:ascii="Times New Roman" w:hAnsi="Times New Roman" w:cs="Times New Roman"/>
          <w:lang w:val="en-GB"/>
        </w:rPr>
      </w:pPr>
      <w:r w:rsidRPr="00057F2F">
        <w:rPr>
          <w:rFonts w:ascii="Times New Roman" w:hAnsi="Times New Roman" w:cs="Times New Roman"/>
          <w:lang w:val="en-GB"/>
        </w:rPr>
        <w:br w:type="page"/>
      </w:r>
    </w:p>
    <w:p w14:paraId="015B3D83" w14:textId="77777777" w:rsidR="00B17EF6" w:rsidRPr="00057F2F" w:rsidRDefault="00B17EF6" w:rsidP="00B17EF6">
      <w:pPr>
        <w:rPr>
          <w:rFonts w:ascii="Times New Roman" w:hAnsi="Times New Roman" w:cs="Times New Roman"/>
          <w:lang w:val="en-GB"/>
        </w:rPr>
      </w:pPr>
    </w:p>
    <w:p w14:paraId="24537DD8" w14:textId="23FFFF84" w:rsidR="00B17EF6" w:rsidRPr="00057F2F" w:rsidRDefault="00B17EF6" w:rsidP="00DB415F">
      <w:pPr>
        <w:pStyle w:val="Titolo3"/>
      </w:pPr>
      <w:r w:rsidRPr="00057F2F">
        <w:rPr>
          <w:b/>
          <w:bCs/>
        </w:rPr>
        <w:t>Table A.</w:t>
      </w:r>
      <w:r w:rsidR="00DB415F" w:rsidRPr="00057F2F">
        <w:rPr>
          <w:b/>
          <w:bCs/>
        </w:rPr>
        <w:t>3</w:t>
      </w:r>
      <w:r w:rsidR="00511CB9" w:rsidRPr="00057F2F">
        <w:rPr>
          <w:b/>
          <w:bCs/>
        </w:rPr>
        <w:t>.</w:t>
      </w:r>
      <w:r w:rsidRPr="00057F2F">
        <w:t xml:space="preserve"> Spatial distribution of greenfield FDI projects across Europe </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
        <w:gridCol w:w="740"/>
        <w:gridCol w:w="1014"/>
        <w:gridCol w:w="1077"/>
        <w:gridCol w:w="1238"/>
        <w:gridCol w:w="923"/>
        <w:gridCol w:w="1123"/>
        <w:gridCol w:w="899"/>
        <w:gridCol w:w="1123"/>
      </w:tblGrid>
      <w:tr w:rsidR="00B17EF6" w:rsidRPr="00057F2F" w14:paraId="24C455B1" w14:textId="77777777" w:rsidTr="00A75491">
        <w:trPr>
          <w:trHeight w:val="227"/>
          <w:jc w:val="center"/>
        </w:trPr>
        <w:tc>
          <w:tcPr>
            <w:tcW w:w="846" w:type="dxa"/>
            <w:noWrap/>
            <w:vAlign w:val="center"/>
            <w:hideMark/>
          </w:tcPr>
          <w:p w14:paraId="320F843D"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p>
        </w:tc>
        <w:tc>
          <w:tcPr>
            <w:tcW w:w="740" w:type="dxa"/>
            <w:noWrap/>
            <w:vAlign w:val="center"/>
            <w:hideMark/>
          </w:tcPr>
          <w:p w14:paraId="1850E30E"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Num. </w:t>
            </w:r>
          </w:p>
          <w:p w14:paraId="72234578"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regions</w:t>
            </w:r>
          </w:p>
        </w:tc>
        <w:tc>
          <w:tcPr>
            <w:tcW w:w="0" w:type="auto"/>
            <w:vAlign w:val="center"/>
          </w:tcPr>
          <w:p w14:paraId="4E2D09B0"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of total</w:t>
            </w:r>
          </w:p>
          <w:p w14:paraId="30D97530"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projects</w:t>
            </w:r>
          </w:p>
          <w:p w14:paraId="21717A85"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per region</w:t>
            </w:r>
          </w:p>
        </w:tc>
        <w:tc>
          <w:tcPr>
            <w:tcW w:w="0" w:type="auto"/>
            <w:vAlign w:val="center"/>
          </w:tcPr>
          <w:p w14:paraId="1976101E"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Mean num.</w:t>
            </w:r>
          </w:p>
          <w:p w14:paraId="61551388" w14:textId="17E00CBF" w:rsidR="00B17EF6" w:rsidRPr="00057F2F" w:rsidRDefault="00EE2B8E"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of </w:t>
            </w:r>
            <w:r w:rsidR="00B17EF6" w:rsidRPr="00057F2F">
              <w:rPr>
                <w:rFonts w:ascii="Times New Roman" w:eastAsia="Times New Roman" w:hAnsi="Times New Roman" w:cs="Times New Roman"/>
                <w:i/>
                <w:iCs/>
                <w:color w:val="000000"/>
                <w:sz w:val="20"/>
                <w:szCs w:val="20"/>
                <w:lang w:val="en-GB" w:eastAsia="it-IT"/>
              </w:rPr>
              <w:t>projects</w:t>
            </w:r>
          </w:p>
          <w:p w14:paraId="17DB30EF"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per region</w:t>
            </w:r>
          </w:p>
        </w:tc>
        <w:tc>
          <w:tcPr>
            <w:tcW w:w="0" w:type="auto"/>
            <w:vAlign w:val="center"/>
          </w:tcPr>
          <w:p w14:paraId="4EF10336"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Median num.</w:t>
            </w:r>
          </w:p>
          <w:p w14:paraId="0F1505E9" w14:textId="4735E724" w:rsidR="00B17EF6" w:rsidRPr="00057F2F" w:rsidRDefault="00EE2B8E"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of </w:t>
            </w:r>
            <w:r w:rsidR="00B17EF6" w:rsidRPr="00057F2F">
              <w:rPr>
                <w:rFonts w:ascii="Times New Roman" w:eastAsia="Times New Roman" w:hAnsi="Times New Roman" w:cs="Times New Roman"/>
                <w:i/>
                <w:iCs/>
                <w:color w:val="000000"/>
                <w:sz w:val="20"/>
                <w:szCs w:val="20"/>
                <w:lang w:val="en-GB" w:eastAsia="it-IT"/>
              </w:rPr>
              <w:t>projects</w:t>
            </w:r>
          </w:p>
          <w:p w14:paraId="34908693"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per region</w:t>
            </w:r>
          </w:p>
        </w:tc>
        <w:tc>
          <w:tcPr>
            <w:tcW w:w="0" w:type="auto"/>
            <w:noWrap/>
            <w:vAlign w:val="center"/>
            <w:hideMark/>
          </w:tcPr>
          <w:p w14:paraId="27878175" w14:textId="33000F09"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Num.</w:t>
            </w:r>
            <w:r w:rsidR="00EE2B8E" w:rsidRPr="00057F2F">
              <w:rPr>
                <w:rFonts w:ascii="Times New Roman" w:eastAsia="Times New Roman" w:hAnsi="Times New Roman" w:cs="Times New Roman"/>
                <w:i/>
                <w:iCs/>
                <w:color w:val="000000"/>
                <w:sz w:val="20"/>
                <w:szCs w:val="20"/>
                <w:lang w:val="en-GB" w:eastAsia="it-IT"/>
              </w:rPr>
              <w:t xml:space="preserve"> of</w:t>
            </w:r>
            <w:r w:rsidRPr="00057F2F">
              <w:rPr>
                <w:rFonts w:ascii="Times New Roman" w:eastAsia="Times New Roman" w:hAnsi="Times New Roman" w:cs="Times New Roman"/>
                <w:i/>
                <w:iCs/>
                <w:color w:val="000000"/>
                <w:sz w:val="20"/>
                <w:szCs w:val="20"/>
                <w:lang w:val="en-GB" w:eastAsia="it-IT"/>
              </w:rPr>
              <w:t xml:space="preserve"> </w:t>
            </w:r>
          </w:p>
          <w:p w14:paraId="147E26FF"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sparse</w:t>
            </w:r>
          </w:p>
          <w:p w14:paraId="46AAAEAC"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regions</w:t>
            </w:r>
          </w:p>
          <w:p w14:paraId="1CFBD281" w14:textId="51B89F41"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(&lt;5 </w:t>
            </w:r>
            <w:r w:rsidR="0024519B" w:rsidRPr="00057F2F">
              <w:rPr>
                <w:rFonts w:ascii="Times New Roman" w:eastAsia="Times New Roman" w:hAnsi="Times New Roman" w:cs="Times New Roman"/>
                <w:i/>
                <w:iCs/>
                <w:color w:val="000000"/>
                <w:sz w:val="20"/>
                <w:szCs w:val="20"/>
                <w:lang w:val="en-GB" w:eastAsia="it-IT"/>
              </w:rPr>
              <w:t>FDI</w:t>
            </w:r>
            <w:r w:rsidRPr="00057F2F">
              <w:rPr>
                <w:rFonts w:ascii="Times New Roman" w:eastAsia="Times New Roman" w:hAnsi="Times New Roman" w:cs="Times New Roman"/>
                <w:i/>
                <w:iCs/>
                <w:color w:val="000000"/>
                <w:sz w:val="20"/>
                <w:szCs w:val="20"/>
                <w:lang w:val="en-GB" w:eastAsia="it-IT"/>
              </w:rPr>
              <w:t>)</w:t>
            </w:r>
          </w:p>
        </w:tc>
        <w:tc>
          <w:tcPr>
            <w:tcW w:w="0" w:type="auto"/>
            <w:noWrap/>
            <w:vAlign w:val="center"/>
            <w:hideMark/>
          </w:tcPr>
          <w:p w14:paraId="03C7666C" w14:textId="060A9818"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 </w:t>
            </w:r>
            <w:r w:rsidR="00EE2B8E" w:rsidRPr="00057F2F">
              <w:rPr>
                <w:rFonts w:ascii="Times New Roman" w:eastAsia="Times New Roman" w:hAnsi="Times New Roman" w:cs="Times New Roman"/>
                <w:i/>
                <w:iCs/>
                <w:color w:val="000000"/>
                <w:sz w:val="20"/>
                <w:szCs w:val="20"/>
                <w:lang w:val="en-GB" w:eastAsia="it-IT"/>
              </w:rPr>
              <w:t xml:space="preserve">of </w:t>
            </w:r>
            <w:r w:rsidRPr="00057F2F">
              <w:rPr>
                <w:rFonts w:ascii="Times New Roman" w:eastAsia="Times New Roman" w:hAnsi="Times New Roman" w:cs="Times New Roman"/>
                <w:i/>
                <w:iCs/>
                <w:color w:val="000000"/>
                <w:sz w:val="20"/>
                <w:szCs w:val="20"/>
                <w:lang w:val="en-GB" w:eastAsia="it-IT"/>
              </w:rPr>
              <w:t>sparse</w:t>
            </w:r>
          </w:p>
          <w:p w14:paraId="13B1029F" w14:textId="7569BDAA" w:rsidR="00B17EF6" w:rsidRPr="00057F2F" w:rsidRDefault="00264638"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r</w:t>
            </w:r>
            <w:r w:rsidR="00B17EF6" w:rsidRPr="00057F2F">
              <w:rPr>
                <w:rFonts w:ascii="Times New Roman" w:eastAsia="Times New Roman" w:hAnsi="Times New Roman" w:cs="Times New Roman"/>
                <w:i/>
                <w:iCs/>
                <w:color w:val="000000"/>
                <w:sz w:val="20"/>
                <w:szCs w:val="20"/>
                <w:lang w:val="en-GB" w:eastAsia="it-IT"/>
              </w:rPr>
              <w:t>egions</w:t>
            </w:r>
          </w:p>
          <w:p w14:paraId="08BE48E2" w14:textId="20B0563A"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(&lt;5 </w:t>
            </w:r>
            <w:r w:rsidR="0024519B" w:rsidRPr="00057F2F">
              <w:rPr>
                <w:rFonts w:ascii="Times New Roman" w:eastAsia="Times New Roman" w:hAnsi="Times New Roman" w:cs="Times New Roman"/>
                <w:i/>
                <w:iCs/>
                <w:color w:val="000000"/>
                <w:sz w:val="20"/>
                <w:szCs w:val="20"/>
                <w:lang w:val="en-GB" w:eastAsia="it-IT"/>
              </w:rPr>
              <w:t>FDI</w:t>
            </w:r>
            <w:r w:rsidRPr="00057F2F">
              <w:rPr>
                <w:rFonts w:ascii="Times New Roman" w:eastAsia="Times New Roman" w:hAnsi="Times New Roman" w:cs="Times New Roman"/>
                <w:i/>
                <w:iCs/>
                <w:color w:val="000000"/>
                <w:sz w:val="20"/>
                <w:szCs w:val="20"/>
                <w:lang w:val="en-GB" w:eastAsia="it-IT"/>
              </w:rPr>
              <w:t>)</w:t>
            </w:r>
          </w:p>
        </w:tc>
        <w:tc>
          <w:tcPr>
            <w:tcW w:w="0" w:type="auto"/>
            <w:noWrap/>
            <w:vAlign w:val="center"/>
            <w:hideMark/>
          </w:tcPr>
          <w:p w14:paraId="06FEC5A5"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Num. </w:t>
            </w:r>
          </w:p>
          <w:p w14:paraId="76F0FF9D" w14:textId="6E3B19FF" w:rsidR="00B17EF6" w:rsidRPr="00057F2F" w:rsidRDefault="00EE2B8E"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of s</w:t>
            </w:r>
            <w:r w:rsidR="00B17EF6" w:rsidRPr="00057F2F">
              <w:rPr>
                <w:rFonts w:ascii="Times New Roman" w:eastAsia="Times New Roman" w:hAnsi="Times New Roman" w:cs="Times New Roman"/>
                <w:i/>
                <w:iCs/>
                <w:color w:val="000000"/>
                <w:sz w:val="20"/>
                <w:szCs w:val="20"/>
                <w:lang w:val="en-GB" w:eastAsia="it-IT"/>
              </w:rPr>
              <w:t>parse</w:t>
            </w:r>
          </w:p>
          <w:p w14:paraId="168B1E7A" w14:textId="77777777"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regions</w:t>
            </w:r>
          </w:p>
          <w:p w14:paraId="721CEC49" w14:textId="272B92EF"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w:t>
            </w:r>
            <w:r w:rsidR="0024519B" w:rsidRPr="00057F2F">
              <w:rPr>
                <w:rFonts w:ascii="Times New Roman" w:eastAsia="Times New Roman" w:hAnsi="Times New Roman" w:cs="Times New Roman"/>
                <w:i/>
                <w:iCs/>
                <w:color w:val="000000"/>
                <w:sz w:val="20"/>
                <w:szCs w:val="20"/>
                <w:lang w:val="en-GB" w:eastAsia="it-IT"/>
              </w:rPr>
              <w:t>Q</w:t>
            </w:r>
            <w:r w:rsidRPr="00057F2F">
              <w:rPr>
                <w:rFonts w:ascii="Times New Roman" w:eastAsia="Times New Roman" w:hAnsi="Times New Roman" w:cs="Times New Roman"/>
                <w:i/>
                <w:iCs/>
                <w:color w:val="000000"/>
                <w:sz w:val="20"/>
                <w:szCs w:val="20"/>
                <w:lang w:val="en-GB" w:eastAsia="it-IT"/>
              </w:rPr>
              <w:t>1)</w:t>
            </w:r>
          </w:p>
        </w:tc>
        <w:tc>
          <w:tcPr>
            <w:tcW w:w="0" w:type="auto"/>
            <w:noWrap/>
            <w:vAlign w:val="center"/>
            <w:hideMark/>
          </w:tcPr>
          <w:p w14:paraId="5AA18EAD" w14:textId="1563622A"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 xml:space="preserve">% </w:t>
            </w:r>
            <w:r w:rsidR="00EE2B8E" w:rsidRPr="00057F2F">
              <w:rPr>
                <w:rFonts w:ascii="Times New Roman" w:eastAsia="Times New Roman" w:hAnsi="Times New Roman" w:cs="Times New Roman"/>
                <w:i/>
                <w:iCs/>
                <w:color w:val="000000"/>
                <w:sz w:val="20"/>
                <w:szCs w:val="20"/>
                <w:lang w:val="en-GB" w:eastAsia="it-IT"/>
              </w:rPr>
              <w:t xml:space="preserve">of </w:t>
            </w:r>
            <w:r w:rsidRPr="00057F2F">
              <w:rPr>
                <w:rFonts w:ascii="Times New Roman" w:eastAsia="Times New Roman" w:hAnsi="Times New Roman" w:cs="Times New Roman"/>
                <w:i/>
                <w:iCs/>
                <w:color w:val="000000"/>
                <w:sz w:val="20"/>
                <w:szCs w:val="20"/>
                <w:lang w:val="en-GB" w:eastAsia="it-IT"/>
              </w:rPr>
              <w:t>sparse</w:t>
            </w:r>
          </w:p>
          <w:p w14:paraId="02EB5AE4" w14:textId="0CA664A4" w:rsidR="00B17EF6" w:rsidRPr="00057F2F" w:rsidRDefault="00EE2B8E"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r</w:t>
            </w:r>
            <w:r w:rsidR="00B17EF6" w:rsidRPr="00057F2F">
              <w:rPr>
                <w:rFonts w:ascii="Times New Roman" w:eastAsia="Times New Roman" w:hAnsi="Times New Roman" w:cs="Times New Roman"/>
                <w:i/>
                <w:iCs/>
                <w:color w:val="000000"/>
                <w:sz w:val="20"/>
                <w:szCs w:val="20"/>
                <w:lang w:val="en-GB" w:eastAsia="it-IT"/>
              </w:rPr>
              <w:t xml:space="preserve">egions </w:t>
            </w:r>
          </w:p>
          <w:p w14:paraId="1A0AA0B7" w14:textId="0A0AC93E" w:rsidR="00B17EF6" w:rsidRPr="00057F2F" w:rsidRDefault="00B17EF6" w:rsidP="00D61B6B">
            <w:pPr>
              <w:spacing w:after="0" w:line="240" w:lineRule="auto"/>
              <w:jc w:val="center"/>
              <w:rPr>
                <w:rFonts w:ascii="Times New Roman" w:eastAsia="Times New Roman" w:hAnsi="Times New Roman" w:cs="Times New Roman"/>
                <w:i/>
                <w:iCs/>
                <w:color w:val="000000"/>
                <w:sz w:val="20"/>
                <w:szCs w:val="20"/>
                <w:lang w:val="en-GB" w:eastAsia="it-IT"/>
              </w:rPr>
            </w:pPr>
            <w:r w:rsidRPr="00057F2F">
              <w:rPr>
                <w:rFonts w:ascii="Times New Roman" w:eastAsia="Times New Roman" w:hAnsi="Times New Roman" w:cs="Times New Roman"/>
                <w:i/>
                <w:iCs/>
                <w:color w:val="000000"/>
                <w:sz w:val="20"/>
                <w:szCs w:val="20"/>
                <w:lang w:val="en-GB" w:eastAsia="it-IT"/>
              </w:rPr>
              <w:t>(</w:t>
            </w:r>
            <w:r w:rsidR="0024519B" w:rsidRPr="00057F2F">
              <w:rPr>
                <w:rFonts w:ascii="Times New Roman" w:eastAsia="Times New Roman" w:hAnsi="Times New Roman" w:cs="Times New Roman"/>
                <w:i/>
                <w:iCs/>
                <w:color w:val="000000"/>
                <w:sz w:val="20"/>
                <w:szCs w:val="20"/>
                <w:lang w:val="en-GB" w:eastAsia="it-IT"/>
              </w:rPr>
              <w:t>Q</w:t>
            </w:r>
            <w:r w:rsidRPr="00057F2F">
              <w:rPr>
                <w:rFonts w:ascii="Times New Roman" w:eastAsia="Times New Roman" w:hAnsi="Times New Roman" w:cs="Times New Roman"/>
                <w:i/>
                <w:iCs/>
                <w:color w:val="000000"/>
                <w:sz w:val="20"/>
                <w:szCs w:val="20"/>
                <w:lang w:val="en-GB" w:eastAsia="it-IT"/>
              </w:rPr>
              <w:t>1)</w:t>
            </w:r>
          </w:p>
        </w:tc>
      </w:tr>
      <w:tr w:rsidR="00B17EF6" w:rsidRPr="00057F2F" w14:paraId="33944D4F" w14:textId="77777777" w:rsidTr="00A75491">
        <w:trPr>
          <w:trHeight w:val="227"/>
          <w:jc w:val="center"/>
        </w:trPr>
        <w:tc>
          <w:tcPr>
            <w:tcW w:w="846" w:type="dxa"/>
            <w:noWrap/>
            <w:vAlign w:val="center"/>
            <w:hideMark/>
          </w:tcPr>
          <w:p w14:paraId="1B181D2D"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East</w:t>
            </w:r>
          </w:p>
        </w:tc>
        <w:tc>
          <w:tcPr>
            <w:tcW w:w="740" w:type="dxa"/>
            <w:noWrap/>
            <w:vAlign w:val="bottom"/>
            <w:hideMark/>
          </w:tcPr>
          <w:p w14:paraId="072411D5"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51</w:t>
            </w:r>
          </w:p>
        </w:tc>
        <w:tc>
          <w:tcPr>
            <w:tcW w:w="0" w:type="auto"/>
            <w:vAlign w:val="bottom"/>
          </w:tcPr>
          <w:p w14:paraId="0DCCBAA0"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18.2%</w:t>
            </w:r>
          </w:p>
        </w:tc>
        <w:tc>
          <w:tcPr>
            <w:tcW w:w="0" w:type="auto"/>
            <w:vAlign w:val="bottom"/>
          </w:tcPr>
          <w:p w14:paraId="02203FFB"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181.9</w:t>
            </w:r>
          </w:p>
        </w:tc>
        <w:tc>
          <w:tcPr>
            <w:tcW w:w="0" w:type="auto"/>
            <w:vAlign w:val="bottom"/>
          </w:tcPr>
          <w:p w14:paraId="2A4327F9"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133</w:t>
            </w:r>
          </w:p>
        </w:tc>
        <w:tc>
          <w:tcPr>
            <w:tcW w:w="0" w:type="auto"/>
            <w:noWrap/>
            <w:vAlign w:val="bottom"/>
            <w:hideMark/>
          </w:tcPr>
          <w:p w14:paraId="6D61403E"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0</w:t>
            </w:r>
          </w:p>
        </w:tc>
        <w:tc>
          <w:tcPr>
            <w:tcW w:w="0" w:type="auto"/>
            <w:noWrap/>
            <w:vAlign w:val="bottom"/>
            <w:hideMark/>
          </w:tcPr>
          <w:p w14:paraId="46EA71A0"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0</w:t>
            </w:r>
          </w:p>
        </w:tc>
        <w:tc>
          <w:tcPr>
            <w:tcW w:w="0" w:type="auto"/>
            <w:noWrap/>
            <w:vAlign w:val="bottom"/>
            <w:hideMark/>
          </w:tcPr>
          <w:p w14:paraId="2B15DE91"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14</w:t>
            </w:r>
          </w:p>
        </w:tc>
        <w:tc>
          <w:tcPr>
            <w:tcW w:w="0" w:type="auto"/>
            <w:noWrap/>
            <w:vAlign w:val="bottom"/>
            <w:hideMark/>
          </w:tcPr>
          <w:p w14:paraId="0108398B"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27.5</w:t>
            </w:r>
          </w:p>
        </w:tc>
      </w:tr>
      <w:tr w:rsidR="00B17EF6" w:rsidRPr="00057F2F" w14:paraId="501E13BB" w14:textId="77777777" w:rsidTr="00A75491">
        <w:trPr>
          <w:trHeight w:val="227"/>
          <w:jc w:val="center"/>
        </w:trPr>
        <w:tc>
          <w:tcPr>
            <w:tcW w:w="846" w:type="dxa"/>
            <w:noWrap/>
            <w:vAlign w:val="center"/>
            <w:hideMark/>
          </w:tcPr>
          <w:p w14:paraId="5B6691F0"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North</w:t>
            </w:r>
          </w:p>
        </w:tc>
        <w:tc>
          <w:tcPr>
            <w:tcW w:w="740" w:type="dxa"/>
            <w:noWrap/>
            <w:vAlign w:val="bottom"/>
            <w:hideMark/>
          </w:tcPr>
          <w:p w14:paraId="08F9790C"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59</w:t>
            </w:r>
          </w:p>
        </w:tc>
        <w:tc>
          <w:tcPr>
            <w:tcW w:w="0" w:type="auto"/>
            <w:vAlign w:val="bottom"/>
          </w:tcPr>
          <w:p w14:paraId="65A57CDA"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29.9%</w:t>
            </w:r>
          </w:p>
        </w:tc>
        <w:tc>
          <w:tcPr>
            <w:tcW w:w="0" w:type="auto"/>
            <w:vAlign w:val="bottom"/>
          </w:tcPr>
          <w:p w14:paraId="18B39994"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258.1</w:t>
            </w:r>
          </w:p>
        </w:tc>
        <w:tc>
          <w:tcPr>
            <w:tcW w:w="0" w:type="auto"/>
            <w:vAlign w:val="bottom"/>
          </w:tcPr>
          <w:p w14:paraId="3D178933"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115</w:t>
            </w:r>
          </w:p>
        </w:tc>
        <w:tc>
          <w:tcPr>
            <w:tcW w:w="0" w:type="auto"/>
            <w:noWrap/>
            <w:vAlign w:val="bottom"/>
            <w:hideMark/>
          </w:tcPr>
          <w:p w14:paraId="4AF7397A"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1</w:t>
            </w:r>
          </w:p>
        </w:tc>
        <w:tc>
          <w:tcPr>
            <w:tcW w:w="0" w:type="auto"/>
            <w:noWrap/>
            <w:vAlign w:val="bottom"/>
            <w:hideMark/>
          </w:tcPr>
          <w:p w14:paraId="0964CFE5"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3.4</w:t>
            </w:r>
          </w:p>
        </w:tc>
        <w:tc>
          <w:tcPr>
            <w:tcW w:w="0" w:type="auto"/>
            <w:noWrap/>
            <w:vAlign w:val="bottom"/>
            <w:hideMark/>
          </w:tcPr>
          <w:p w14:paraId="7B883E1C"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15</w:t>
            </w:r>
          </w:p>
        </w:tc>
        <w:tc>
          <w:tcPr>
            <w:tcW w:w="0" w:type="auto"/>
            <w:noWrap/>
            <w:vAlign w:val="bottom"/>
            <w:hideMark/>
          </w:tcPr>
          <w:p w14:paraId="34C3A1AC"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25.4</w:t>
            </w:r>
          </w:p>
        </w:tc>
      </w:tr>
      <w:tr w:rsidR="00B17EF6" w:rsidRPr="00057F2F" w14:paraId="03FC990A" w14:textId="77777777" w:rsidTr="00A75491">
        <w:trPr>
          <w:trHeight w:val="227"/>
          <w:jc w:val="center"/>
        </w:trPr>
        <w:tc>
          <w:tcPr>
            <w:tcW w:w="846" w:type="dxa"/>
            <w:noWrap/>
            <w:vAlign w:val="center"/>
            <w:hideMark/>
          </w:tcPr>
          <w:p w14:paraId="2CE7DB61"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South</w:t>
            </w:r>
          </w:p>
        </w:tc>
        <w:tc>
          <w:tcPr>
            <w:tcW w:w="740" w:type="dxa"/>
            <w:noWrap/>
            <w:vAlign w:val="bottom"/>
            <w:hideMark/>
          </w:tcPr>
          <w:p w14:paraId="55D7E809"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62</w:t>
            </w:r>
          </w:p>
        </w:tc>
        <w:tc>
          <w:tcPr>
            <w:tcW w:w="0" w:type="auto"/>
            <w:vAlign w:val="bottom"/>
          </w:tcPr>
          <w:p w14:paraId="56ED8C44"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12.6%</w:t>
            </w:r>
          </w:p>
        </w:tc>
        <w:tc>
          <w:tcPr>
            <w:tcW w:w="0" w:type="auto"/>
            <w:vAlign w:val="bottom"/>
          </w:tcPr>
          <w:p w14:paraId="722AF53A"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103.3</w:t>
            </w:r>
          </w:p>
        </w:tc>
        <w:tc>
          <w:tcPr>
            <w:tcW w:w="0" w:type="auto"/>
            <w:vAlign w:val="bottom"/>
          </w:tcPr>
          <w:p w14:paraId="750E9AD1"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31.5</w:t>
            </w:r>
          </w:p>
        </w:tc>
        <w:tc>
          <w:tcPr>
            <w:tcW w:w="0" w:type="auto"/>
            <w:noWrap/>
            <w:vAlign w:val="bottom"/>
            <w:hideMark/>
          </w:tcPr>
          <w:p w14:paraId="4C5641BB"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9</w:t>
            </w:r>
          </w:p>
        </w:tc>
        <w:tc>
          <w:tcPr>
            <w:tcW w:w="0" w:type="auto"/>
            <w:noWrap/>
            <w:vAlign w:val="bottom"/>
            <w:hideMark/>
          </w:tcPr>
          <w:p w14:paraId="24247BE0"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14.5</w:t>
            </w:r>
          </w:p>
        </w:tc>
        <w:tc>
          <w:tcPr>
            <w:tcW w:w="0" w:type="auto"/>
            <w:noWrap/>
            <w:vAlign w:val="bottom"/>
            <w:hideMark/>
          </w:tcPr>
          <w:p w14:paraId="26B10B28"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17</w:t>
            </w:r>
          </w:p>
        </w:tc>
        <w:tc>
          <w:tcPr>
            <w:tcW w:w="0" w:type="auto"/>
            <w:noWrap/>
            <w:vAlign w:val="bottom"/>
            <w:hideMark/>
          </w:tcPr>
          <w:p w14:paraId="7105BBA5"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27.4</w:t>
            </w:r>
          </w:p>
        </w:tc>
      </w:tr>
      <w:tr w:rsidR="00B17EF6" w:rsidRPr="00057F2F" w14:paraId="48AB09C4" w14:textId="77777777" w:rsidTr="00A75491">
        <w:trPr>
          <w:trHeight w:val="227"/>
          <w:jc w:val="center"/>
        </w:trPr>
        <w:tc>
          <w:tcPr>
            <w:tcW w:w="846" w:type="dxa"/>
            <w:noWrap/>
            <w:vAlign w:val="center"/>
            <w:hideMark/>
          </w:tcPr>
          <w:p w14:paraId="0C87BDEC"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eastAsia="Times New Roman" w:hAnsi="Times New Roman" w:cs="Times New Roman"/>
                <w:color w:val="000000"/>
                <w:sz w:val="20"/>
                <w:szCs w:val="20"/>
                <w:lang w:val="en-GB" w:eastAsia="it-IT"/>
              </w:rPr>
              <w:t>West</w:t>
            </w:r>
          </w:p>
        </w:tc>
        <w:tc>
          <w:tcPr>
            <w:tcW w:w="740" w:type="dxa"/>
            <w:noWrap/>
            <w:vAlign w:val="bottom"/>
            <w:hideMark/>
          </w:tcPr>
          <w:p w14:paraId="4E8DBD6E"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94</w:t>
            </w:r>
          </w:p>
        </w:tc>
        <w:tc>
          <w:tcPr>
            <w:tcW w:w="0" w:type="auto"/>
            <w:vAlign w:val="bottom"/>
          </w:tcPr>
          <w:p w14:paraId="2EA915BB"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39.3%</w:t>
            </w:r>
          </w:p>
        </w:tc>
        <w:tc>
          <w:tcPr>
            <w:tcW w:w="0" w:type="auto"/>
            <w:vAlign w:val="bottom"/>
          </w:tcPr>
          <w:p w14:paraId="27B36893"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213</w:t>
            </w:r>
          </w:p>
        </w:tc>
        <w:tc>
          <w:tcPr>
            <w:tcW w:w="0" w:type="auto"/>
            <w:vAlign w:val="bottom"/>
          </w:tcPr>
          <w:p w14:paraId="28BF8760" w14:textId="77777777" w:rsidR="00B17EF6" w:rsidRPr="00057F2F" w:rsidRDefault="00B17EF6" w:rsidP="00D61B6B">
            <w:pPr>
              <w:spacing w:after="0" w:line="240" w:lineRule="auto"/>
              <w:jc w:val="center"/>
              <w:rPr>
                <w:rFonts w:ascii="Times New Roman" w:hAnsi="Times New Roman" w:cs="Times New Roman"/>
                <w:color w:val="000000"/>
                <w:sz w:val="20"/>
                <w:szCs w:val="20"/>
                <w:lang w:val="en-GB"/>
              </w:rPr>
            </w:pPr>
            <w:r w:rsidRPr="00057F2F">
              <w:rPr>
                <w:rFonts w:ascii="Times New Roman" w:hAnsi="Times New Roman" w:cs="Times New Roman"/>
                <w:color w:val="000000"/>
                <w:sz w:val="20"/>
                <w:szCs w:val="20"/>
                <w:lang w:val="en-GB"/>
              </w:rPr>
              <w:t>92.5</w:t>
            </w:r>
          </w:p>
        </w:tc>
        <w:tc>
          <w:tcPr>
            <w:tcW w:w="0" w:type="auto"/>
            <w:noWrap/>
            <w:vAlign w:val="bottom"/>
            <w:hideMark/>
          </w:tcPr>
          <w:p w14:paraId="56B93BA6"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2</w:t>
            </w:r>
          </w:p>
        </w:tc>
        <w:tc>
          <w:tcPr>
            <w:tcW w:w="0" w:type="auto"/>
            <w:noWrap/>
            <w:vAlign w:val="bottom"/>
            <w:hideMark/>
          </w:tcPr>
          <w:p w14:paraId="1B323DFA" w14:textId="77777777" w:rsidR="00B17EF6" w:rsidRPr="00057F2F" w:rsidRDefault="00B17EF6" w:rsidP="00D61B6B">
            <w:pPr>
              <w:spacing w:after="0" w:line="240" w:lineRule="auto"/>
              <w:jc w:val="center"/>
              <w:rPr>
                <w:rFonts w:ascii="Times New Roman" w:eastAsia="Times New Roman" w:hAnsi="Times New Roman" w:cs="Times New Roman"/>
                <w:color w:val="000000"/>
                <w:sz w:val="20"/>
                <w:szCs w:val="20"/>
                <w:lang w:val="en-GB" w:eastAsia="it-IT"/>
              </w:rPr>
            </w:pPr>
            <w:r w:rsidRPr="00057F2F">
              <w:rPr>
                <w:rFonts w:ascii="Times New Roman" w:hAnsi="Times New Roman" w:cs="Times New Roman"/>
                <w:color w:val="000000"/>
                <w:sz w:val="20"/>
                <w:szCs w:val="20"/>
                <w:lang w:val="en-GB"/>
              </w:rPr>
              <w:t>2.1</w:t>
            </w:r>
          </w:p>
        </w:tc>
        <w:tc>
          <w:tcPr>
            <w:tcW w:w="0" w:type="auto"/>
            <w:noWrap/>
            <w:vAlign w:val="bottom"/>
            <w:hideMark/>
          </w:tcPr>
          <w:p w14:paraId="71805E28"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24</w:t>
            </w:r>
          </w:p>
        </w:tc>
        <w:tc>
          <w:tcPr>
            <w:tcW w:w="0" w:type="auto"/>
            <w:noWrap/>
            <w:vAlign w:val="bottom"/>
            <w:hideMark/>
          </w:tcPr>
          <w:p w14:paraId="64A92987" w14:textId="77777777" w:rsidR="00B17EF6" w:rsidRPr="00057F2F" w:rsidRDefault="00B17EF6" w:rsidP="00D61B6B">
            <w:pPr>
              <w:spacing w:after="0" w:line="240" w:lineRule="auto"/>
              <w:jc w:val="center"/>
              <w:rPr>
                <w:rFonts w:ascii="Times New Roman" w:eastAsia="Times New Roman" w:hAnsi="Times New Roman" w:cs="Times New Roman"/>
                <w:color w:val="EE0000"/>
                <w:sz w:val="20"/>
                <w:szCs w:val="20"/>
                <w:lang w:val="en-GB" w:eastAsia="it-IT"/>
              </w:rPr>
            </w:pPr>
            <w:r w:rsidRPr="00057F2F">
              <w:rPr>
                <w:rFonts w:ascii="Times New Roman" w:hAnsi="Times New Roman" w:cs="Times New Roman"/>
                <w:color w:val="000000"/>
                <w:sz w:val="20"/>
                <w:szCs w:val="20"/>
                <w:lang w:val="en-GB"/>
              </w:rPr>
              <w:t>25.5</w:t>
            </w:r>
          </w:p>
        </w:tc>
      </w:tr>
    </w:tbl>
    <w:p w14:paraId="64A2895B" w14:textId="7421CDB0" w:rsidR="00B17EF6" w:rsidRPr="00057F2F" w:rsidRDefault="00A75491" w:rsidP="00A75491">
      <w:pPr>
        <w:spacing w:before="120" w:after="360"/>
        <w:jc w:val="center"/>
        <w:rPr>
          <w:rFonts w:ascii="Times New Roman" w:hAnsi="Times New Roman" w:cs="Times New Roman"/>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4A7C4A24" w14:textId="7B0D6AC4" w:rsidR="00B17EF6" w:rsidRPr="00057F2F" w:rsidRDefault="00B17EF6" w:rsidP="00B17EF6">
      <w:pPr>
        <w:jc w:val="both"/>
        <w:rPr>
          <w:rFonts w:ascii="Times New Roman" w:hAnsi="Times New Roman" w:cs="Times New Roman"/>
          <w:lang w:val="en-GB"/>
        </w:rPr>
      </w:pPr>
      <w:r w:rsidRPr="00057F2F">
        <w:rPr>
          <w:rFonts w:ascii="Times New Roman" w:hAnsi="Times New Roman" w:cs="Times New Roman"/>
          <w:b/>
          <w:bCs/>
          <w:lang w:val="en-GB"/>
        </w:rPr>
        <w:t>Table A.</w:t>
      </w:r>
      <w:r w:rsidR="00DB415F" w:rsidRPr="00057F2F">
        <w:rPr>
          <w:rFonts w:ascii="Times New Roman" w:hAnsi="Times New Roman" w:cs="Times New Roman"/>
          <w:b/>
          <w:bCs/>
          <w:lang w:val="en-GB"/>
        </w:rPr>
        <w:t>3</w:t>
      </w:r>
      <w:r w:rsidRPr="00057F2F">
        <w:rPr>
          <w:rFonts w:ascii="Times New Roman" w:hAnsi="Times New Roman" w:cs="Times New Roman"/>
          <w:lang w:val="en-GB"/>
        </w:rPr>
        <w:t xml:space="preserve"> reports the spatial distribution of greenfield FDI projects across four European macro-regions, defined as follows: </w:t>
      </w:r>
      <w:r w:rsidRPr="00057F2F">
        <w:rPr>
          <w:rFonts w:ascii="Times New Roman" w:hAnsi="Times New Roman" w:cs="Times New Roman"/>
          <w:i/>
          <w:iCs/>
          <w:lang w:val="en-GB"/>
        </w:rPr>
        <w:t>Northern</w:t>
      </w:r>
      <w:r w:rsidRPr="00057F2F">
        <w:rPr>
          <w:rFonts w:ascii="Times New Roman" w:hAnsi="Times New Roman" w:cs="Times New Roman"/>
          <w:lang w:val="en-GB"/>
        </w:rPr>
        <w:t xml:space="preserve"> Europe includes Denmark, Estonia, Finland, Ireland, Lithuania, Latvia, Sweden, and the United Kingdom</w:t>
      </w:r>
      <w:r w:rsidR="00D7771A" w:rsidRPr="00057F2F">
        <w:rPr>
          <w:rFonts w:ascii="Times New Roman" w:hAnsi="Times New Roman" w:cs="Times New Roman"/>
          <w:lang w:val="en-GB"/>
        </w:rPr>
        <w:t>;</w:t>
      </w:r>
      <w:r w:rsidRPr="00057F2F">
        <w:rPr>
          <w:rFonts w:ascii="Times New Roman" w:hAnsi="Times New Roman" w:cs="Times New Roman"/>
          <w:lang w:val="en-GB"/>
        </w:rPr>
        <w:t xml:space="preserve"> </w:t>
      </w:r>
      <w:r w:rsidRPr="00057F2F">
        <w:rPr>
          <w:rFonts w:ascii="Times New Roman" w:hAnsi="Times New Roman" w:cs="Times New Roman"/>
          <w:i/>
          <w:iCs/>
          <w:lang w:val="en-GB"/>
        </w:rPr>
        <w:t>Western</w:t>
      </w:r>
      <w:r w:rsidRPr="00057F2F">
        <w:rPr>
          <w:rFonts w:ascii="Times New Roman" w:hAnsi="Times New Roman" w:cs="Times New Roman"/>
          <w:lang w:val="en-GB"/>
        </w:rPr>
        <w:t xml:space="preserve"> Europe includes Austria, Belgium, Germany, France, Luxembourg, and the Netherlands</w:t>
      </w:r>
      <w:r w:rsidR="00D7771A" w:rsidRPr="00057F2F">
        <w:rPr>
          <w:rFonts w:ascii="Times New Roman" w:hAnsi="Times New Roman" w:cs="Times New Roman"/>
          <w:lang w:val="en-GB"/>
        </w:rPr>
        <w:t>;</w:t>
      </w:r>
      <w:r w:rsidRPr="00057F2F">
        <w:rPr>
          <w:rFonts w:ascii="Times New Roman" w:hAnsi="Times New Roman" w:cs="Times New Roman"/>
          <w:lang w:val="en-GB"/>
        </w:rPr>
        <w:t xml:space="preserve"> </w:t>
      </w:r>
      <w:r w:rsidRPr="00057F2F">
        <w:rPr>
          <w:rFonts w:ascii="Times New Roman" w:hAnsi="Times New Roman" w:cs="Times New Roman"/>
          <w:i/>
          <w:iCs/>
          <w:lang w:val="en-GB"/>
        </w:rPr>
        <w:t>Southern</w:t>
      </w:r>
      <w:r w:rsidRPr="00057F2F">
        <w:rPr>
          <w:rFonts w:ascii="Times New Roman" w:hAnsi="Times New Roman" w:cs="Times New Roman"/>
          <w:lang w:val="en-GB"/>
        </w:rPr>
        <w:t xml:space="preserve"> Europe includes Cyprus, Greece, Spain, Croatia, Italy, Malta, Portugal, and Slovenia</w:t>
      </w:r>
      <w:r w:rsidR="00D7771A" w:rsidRPr="00057F2F">
        <w:rPr>
          <w:rFonts w:ascii="Times New Roman" w:hAnsi="Times New Roman" w:cs="Times New Roman"/>
          <w:lang w:val="en-GB"/>
        </w:rPr>
        <w:t>;</w:t>
      </w:r>
      <w:r w:rsidRPr="00057F2F">
        <w:rPr>
          <w:rFonts w:ascii="Times New Roman" w:hAnsi="Times New Roman" w:cs="Times New Roman"/>
          <w:lang w:val="en-GB"/>
        </w:rPr>
        <w:t xml:space="preserve"> </w:t>
      </w:r>
      <w:r w:rsidRPr="00057F2F">
        <w:rPr>
          <w:rFonts w:ascii="Times New Roman" w:hAnsi="Times New Roman" w:cs="Times New Roman"/>
          <w:i/>
          <w:iCs/>
          <w:lang w:val="en-GB"/>
        </w:rPr>
        <w:t>Eastern</w:t>
      </w:r>
      <w:r w:rsidRPr="00057F2F">
        <w:rPr>
          <w:rFonts w:ascii="Times New Roman" w:hAnsi="Times New Roman" w:cs="Times New Roman"/>
          <w:lang w:val="en-GB"/>
        </w:rPr>
        <w:t xml:space="preserve"> Europe includes Bulgaria, Czech Republic, Hungary, Poland, Romania, and Slovakia.</w:t>
      </w:r>
    </w:p>
    <w:p w14:paraId="58D3726B" w14:textId="2C67CB8B" w:rsidR="0024519B" w:rsidRPr="00057F2F" w:rsidRDefault="00B17EF6" w:rsidP="00B17EF6">
      <w:pPr>
        <w:jc w:val="both"/>
        <w:rPr>
          <w:rFonts w:ascii="Times New Roman" w:hAnsi="Times New Roman" w:cs="Times New Roman"/>
          <w:lang w:val="en-GB"/>
        </w:rPr>
      </w:pPr>
      <w:r w:rsidRPr="00057F2F">
        <w:rPr>
          <w:rFonts w:ascii="Times New Roman" w:hAnsi="Times New Roman" w:cs="Times New Roman"/>
          <w:lang w:val="en-GB"/>
        </w:rPr>
        <w:t xml:space="preserve">Western Europe hosts the largest number of NUTS-2 regions in the dataset (94) and accounts for the largest share of total projects (39.3%), followed by Northern Europe (29.9%), Eastern Europe (18.2%), and Southern Europe (12.6%). Mean project counts per region are highest in Northern Europe (258.1) and Western Europe (213.0), while Southern Europe records the lowest mean (103.3) and by far the lowest median (31.5 projects per region), indicating a skewed within-group distribution with many regions attracting very limited FDI activity. </w:t>
      </w:r>
    </w:p>
    <w:p w14:paraId="18E6986F" w14:textId="25DEADC4" w:rsidR="00B17EF6" w:rsidRPr="00057F2F" w:rsidRDefault="0024519B" w:rsidP="00B17EF6">
      <w:pPr>
        <w:jc w:val="both"/>
        <w:rPr>
          <w:rFonts w:ascii="Times New Roman" w:hAnsi="Times New Roman" w:cs="Times New Roman"/>
          <w:lang w:val="en-GB"/>
        </w:rPr>
      </w:pPr>
      <w:r w:rsidRPr="00057F2F">
        <w:rPr>
          <w:rFonts w:ascii="Times New Roman" w:hAnsi="Times New Roman" w:cs="Times New Roman"/>
          <w:lang w:val="en-GB"/>
        </w:rPr>
        <w:t>Two complementary measures of sparsity are reported. The first identifies regions that recorded fewer than five FDI projects over the 2003–2018 period, thereby providing a direct indicator of areas with very limited FDI activity (</w:t>
      </w:r>
      <w:r w:rsidRPr="00057F2F">
        <w:rPr>
          <w:rFonts w:ascii="Times New Roman" w:hAnsi="Times New Roman" w:cs="Times New Roman"/>
          <w:i/>
          <w:iCs/>
          <w:lang w:val="en-GB"/>
        </w:rPr>
        <w:t>absolute</w:t>
      </w:r>
      <w:r w:rsidRPr="00057F2F">
        <w:rPr>
          <w:rFonts w:ascii="Times New Roman" w:hAnsi="Times New Roman" w:cs="Times New Roman"/>
          <w:lang w:val="en-GB"/>
        </w:rPr>
        <w:t xml:space="preserve">-threshold measure). The second is a </w:t>
      </w:r>
      <w:r w:rsidRPr="00057F2F">
        <w:rPr>
          <w:rFonts w:ascii="Times New Roman" w:hAnsi="Times New Roman" w:cs="Times New Roman"/>
          <w:i/>
          <w:iCs/>
          <w:lang w:val="en-GB"/>
        </w:rPr>
        <w:t>relative</w:t>
      </w:r>
      <w:r w:rsidRPr="00057F2F">
        <w:rPr>
          <w:rFonts w:ascii="Times New Roman" w:hAnsi="Times New Roman" w:cs="Times New Roman"/>
          <w:lang w:val="en-GB"/>
        </w:rPr>
        <w:t xml:space="preserve"> measure based on the bottom quartile of the within-group distribution of NUTS-2 project counts, capturing concentration patterns within each macro-region independently of overall project volumes. </w:t>
      </w:r>
      <w:r w:rsidR="00B17EF6" w:rsidRPr="00057F2F">
        <w:rPr>
          <w:rFonts w:ascii="Times New Roman" w:hAnsi="Times New Roman" w:cs="Times New Roman"/>
          <w:lang w:val="en-GB"/>
        </w:rPr>
        <w:t xml:space="preserve">The degree of </w:t>
      </w:r>
      <w:r w:rsidR="00B17EF6" w:rsidRPr="00057F2F">
        <w:rPr>
          <w:rFonts w:ascii="Times New Roman" w:hAnsi="Times New Roman" w:cs="Times New Roman"/>
          <w:i/>
          <w:iCs/>
          <w:lang w:val="en-GB"/>
        </w:rPr>
        <w:t>absolute</w:t>
      </w:r>
      <w:r w:rsidR="00B17EF6" w:rsidRPr="00057F2F">
        <w:rPr>
          <w:rFonts w:ascii="Times New Roman" w:hAnsi="Times New Roman" w:cs="Times New Roman"/>
          <w:lang w:val="en-GB"/>
        </w:rPr>
        <w:t xml:space="preserve"> sparsity is markedly higher in Southern Europe, where 9 out of 62 regions (14.5%) record fewer than five projects over the full sample period — compared to just 1 region in Northern Europe (3.4%), 2 in Western Europe (2.1%), and none in Eastern Europe. The relative bottom-quartile measure reveals a more uniform pattern across macro-regions, with approximately 25–28% of regions in each group falling in the bottom quartile of their within-group distribution, suggesting that within-region concentration is a pervasive structural feature of FDI geography rather than a problem confined to specific macro-areas.</w:t>
      </w:r>
    </w:p>
    <w:p w14:paraId="233CC371" w14:textId="52E19153" w:rsidR="00B17EF6" w:rsidRPr="00057F2F" w:rsidRDefault="00B17EF6" w:rsidP="004D64A3">
      <w:pPr>
        <w:jc w:val="both"/>
        <w:rPr>
          <w:rFonts w:ascii="Times New Roman" w:hAnsi="Times New Roman" w:cs="Times New Roman"/>
          <w:lang w:val="en-GB"/>
        </w:rPr>
      </w:pPr>
      <w:r w:rsidRPr="00057F2F">
        <w:rPr>
          <w:rFonts w:ascii="Times New Roman" w:hAnsi="Times New Roman" w:cs="Times New Roman"/>
          <w:lang w:val="en-GB"/>
        </w:rPr>
        <w:t xml:space="preserve">Taken together, </w:t>
      </w:r>
      <w:r w:rsidR="004D64A3" w:rsidRPr="00057F2F">
        <w:rPr>
          <w:rFonts w:ascii="Times New Roman" w:hAnsi="Times New Roman" w:cs="Times New Roman"/>
          <w:lang w:val="en-GB"/>
        </w:rPr>
        <w:t>this descriptive evidence highlights the uneven spatial distribution of FDI activity across European regions and provides useful context for interpreting the FS and RFS indicators presented in the main analysis. In particular, the presence of regions characterised by very limited FDI activity, and the heterogeneity in project counts across European regions suggest that specialisation measures are likely to be more informative when based on sufficiently large pools of observations, allowing them to reflect persistent structural characteristics rather than short-term fluctuations.</w:t>
      </w:r>
    </w:p>
    <w:p w14:paraId="2EA52556" w14:textId="77777777" w:rsidR="00B17EF6" w:rsidRPr="00057F2F" w:rsidRDefault="00B17EF6" w:rsidP="00B17EF6">
      <w:pPr>
        <w:rPr>
          <w:lang w:val="en-GB"/>
        </w:rPr>
      </w:pPr>
    </w:p>
    <w:p w14:paraId="7ED269F4" w14:textId="77777777" w:rsidR="00B17EF6" w:rsidRPr="00057F2F" w:rsidRDefault="00B17EF6">
      <w:pPr>
        <w:rPr>
          <w:rFonts w:ascii="Times New Roman" w:hAnsi="Times New Roman" w:cs="Times New Roman"/>
          <w:b/>
          <w:bCs/>
          <w:sz w:val="24"/>
          <w:szCs w:val="24"/>
          <w:lang w:val="en-GB"/>
        </w:rPr>
      </w:pPr>
      <w:r w:rsidRPr="00057F2F">
        <w:rPr>
          <w:lang w:val="en-GB"/>
        </w:rPr>
        <w:br w:type="page"/>
      </w:r>
    </w:p>
    <w:p w14:paraId="01A251A3" w14:textId="4E8BD01E" w:rsidR="003E1A9D" w:rsidRPr="00057F2F" w:rsidRDefault="003E1A9D" w:rsidP="003E1A9D">
      <w:pPr>
        <w:pStyle w:val="Titolo2"/>
      </w:pPr>
      <w:r w:rsidRPr="00057F2F">
        <w:lastRenderedPageBreak/>
        <w:t xml:space="preserve">Appendix </w:t>
      </w:r>
      <w:r w:rsidR="00EF5144" w:rsidRPr="00057F2F">
        <w:t>B</w:t>
      </w:r>
      <w:r w:rsidRPr="00057F2F">
        <w:t>. Speciali</w:t>
      </w:r>
      <w:r w:rsidR="007D5D48" w:rsidRPr="00057F2F">
        <w:t>z</w:t>
      </w:r>
      <w:r w:rsidRPr="00057F2F">
        <w:t>ation by Pavitt macro-sectors: compari</w:t>
      </w:r>
      <w:r w:rsidR="007D5D48" w:rsidRPr="00057F2F">
        <w:t xml:space="preserve">ng </w:t>
      </w:r>
      <w:r w:rsidRPr="00057F2F">
        <w:t xml:space="preserve">FDI-based </w:t>
      </w:r>
      <w:r w:rsidR="007D5D48" w:rsidRPr="00057F2F">
        <w:t xml:space="preserve">with employment-based </w:t>
      </w:r>
      <w:r w:rsidRPr="00057F2F">
        <w:t>indices</w:t>
      </w:r>
    </w:p>
    <w:p w14:paraId="4B229063" w14:textId="77777777" w:rsidR="003E1A9D" w:rsidRPr="00057F2F" w:rsidRDefault="003E1A9D" w:rsidP="003E1A9D">
      <w:pPr>
        <w:spacing w:after="120"/>
        <w:jc w:val="both"/>
        <w:rPr>
          <w:rFonts w:ascii="Times New Roman" w:hAnsi="Times New Roman" w:cs="Times New Roman"/>
          <w:sz w:val="24"/>
          <w:szCs w:val="24"/>
          <w:lang w:val="en-GB"/>
        </w:rPr>
      </w:pPr>
      <w:r w:rsidRPr="00057F2F">
        <w:rPr>
          <w:rFonts w:ascii="Times New Roman" w:hAnsi="Times New Roman" w:cs="Times New Roman"/>
          <w:sz w:val="24"/>
          <w:szCs w:val="24"/>
          <w:lang w:val="en-GB"/>
        </w:rPr>
        <w:t>As a robustness test, we compared our FDI-based specialisation indices by Pavitt macro-sectors with the same indices computed using Eurostat employment data. As already mentioned, this validation exercise allows to measure the extent to which our indicator accurately proxies the specialization of the regions’ domestic economic activity.</w:t>
      </w:r>
    </w:p>
    <w:p w14:paraId="080A0C52" w14:textId="77777777" w:rsidR="003E1A9D" w:rsidRPr="00057F2F" w:rsidRDefault="003E1A9D" w:rsidP="003E1A9D">
      <w:pPr>
        <w:spacing w:after="120"/>
        <w:jc w:val="both"/>
        <w:rPr>
          <w:rFonts w:ascii="Times New Roman" w:hAnsi="Times New Roman" w:cs="Times New Roman"/>
          <w:sz w:val="24"/>
          <w:szCs w:val="24"/>
          <w:lang w:val="en-GB"/>
        </w:rPr>
      </w:pPr>
      <w:r w:rsidRPr="00057F2F">
        <w:rPr>
          <w:rFonts w:ascii="Times New Roman" w:hAnsi="Times New Roman" w:cs="Times New Roman"/>
          <w:sz w:val="24"/>
          <w:szCs w:val="24"/>
          <w:lang w:val="en-GB"/>
        </w:rPr>
        <w:t xml:space="preserve">In developing this analysis, we measure the domestic economic activity in each region by relying on employment data (retrieved from the </w:t>
      </w:r>
      <w:bookmarkStart w:id="0" w:name="_Hlk154053978"/>
      <w:r w:rsidRPr="00057F2F">
        <w:rPr>
          <w:rFonts w:ascii="Times New Roman" w:hAnsi="Times New Roman" w:cs="Times New Roman"/>
          <w:sz w:val="24"/>
          <w:szCs w:val="24"/>
          <w:lang w:val="en-GB"/>
        </w:rPr>
        <w:t>Eurostat’s regional Structural Business Statistics</w:t>
      </w:r>
      <w:bookmarkEnd w:id="0"/>
      <w:r w:rsidRPr="00057F2F">
        <w:rPr>
          <w:rFonts w:ascii="Times New Roman" w:hAnsi="Times New Roman" w:cs="Times New Roman"/>
          <w:sz w:val="24"/>
          <w:szCs w:val="24"/>
          <w:lang w:val="en-GB"/>
        </w:rPr>
        <w:t xml:space="preserve">) and compute a specialization index of (domestic) regional economies following the same approach as in Eq. 3 (i.e., Balassa’s index by Pavitt macro-sectors). Although employment data cannot be used to directly compute an alternative measure of functional specialization, they can be used to measure the sectoral specialization of the domestic (regional) economy. Hence, we use regional employment data to measure the sectoral specialization of regions’ domestic economy and compare it to our FDI-based indicators of sectoral specialization. This validation exercise allows us to assess to which extent the specialization patterns computed by relying on FDI data are a good proxy for the specialization patterns of the domestic economic activity of regions. In analytical terms, we focus on the Pavitt macro-sectors and, for each region </w:t>
      </w:r>
      <w:proofErr w:type="spellStart"/>
      <w:r w:rsidRPr="00057F2F">
        <w:rPr>
          <w:rFonts w:ascii="Times New Roman" w:hAnsi="Times New Roman" w:cs="Times New Roman"/>
          <w:i/>
          <w:iCs/>
          <w:sz w:val="24"/>
          <w:szCs w:val="24"/>
          <w:lang w:val="en-GB"/>
        </w:rPr>
        <w:t>i</w:t>
      </w:r>
      <w:proofErr w:type="spellEnd"/>
      <w:r w:rsidRPr="00057F2F">
        <w:rPr>
          <w:rFonts w:ascii="Times New Roman" w:hAnsi="Times New Roman" w:cs="Times New Roman"/>
          <w:sz w:val="24"/>
          <w:szCs w:val="24"/>
          <w:lang w:val="en-GB"/>
        </w:rPr>
        <w:t xml:space="preserve"> and each sector </w:t>
      </w:r>
      <w:r w:rsidRPr="00057F2F">
        <w:rPr>
          <w:rFonts w:ascii="Times New Roman" w:hAnsi="Times New Roman" w:cs="Times New Roman"/>
          <w:i/>
          <w:iCs/>
          <w:sz w:val="24"/>
          <w:szCs w:val="24"/>
          <w:lang w:val="en-GB"/>
        </w:rPr>
        <w:t>s</w:t>
      </w:r>
      <w:r w:rsidRPr="00057F2F">
        <w:rPr>
          <w:rFonts w:ascii="Times New Roman" w:hAnsi="Times New Roman" w:cs="Times New Roman"/>
          <w:sz w:val="24"/>
          <w:szCs w:val="24"/>
          <w:lang w:val="en-GB"/>
        </w:rPr>
        <w:t xml:space="preserve">, we compute the Balassa index based on domestic employment data (i.e.,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RCA</m:t>
            </m:r>
          </m:e>
          <m:sub>
            <m:r>
              <w:rPr>
                <w:rFonts w:ascii="Cambria Math" w:hAnsi="Cambria Math" w:cs="Times New Roman"/>
                <w:sz w:val="24"/>
                <w:szCs w:val="24"/>
                <w:lang w:val="en-GB"/>
              </w:rPr>
              <m:t>Empl(i,s)</m:t>
            </m:r>
          </m:sub>
        </m:sSub>
      </m:oMath>
      <w:r w:rsidRPr="00057F2F">
        <w:rPr>
          <w:rFonts w:ascii="Times New Roman" w:hAnsi="Times New Roman" w:cs="Times New Roman"/>
          <w:sz w:val="24"/>
          <w:szCs w:val="24"/>
          <w:lang w:val="en-GB"/>
        </w:rPr>
        <w:t xml:space="preserve">); then, we compare it to the FDI-based index of sectoral specialization (i.e.,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RCA</m:t>
            </m:r>
          </m:e>
          <m:sub>
            <m:r>
              <w:rPr>
                <w:rFonts w:ascii="Cambria Math" w:hAnsi="Cambria Math" w:cs="Times New Roman"/>
                <w:sz w:val="24"/>
                <w:szCs w:val="24"/>
                <w:lang w:val="en-GB"/>
              </w:rPr>
              <m:t>FDI(i,s)</m:t>
            </m:r>
          </m:sub>
        </m:sSub>
      </m:oMath>
      <w:r w:rsidRPr="00057F2F">
        <w:rPr>
          <w:rFonts w:ascii="Times New Roman" w:hAnsi="Times New Roman" w:cs="Times New Roman"/>
          <w:sz w:val="24"/>
          <w:szCs w:val="24"/>
          <w:lang w:val="en-GB"/>
        </w:rPr>
        <w:t xml:space="preserve">). This allows us to assess to which extent, given the employment-based specialisation of each region </w:t>
      </w:r>
      <w:proofErr w:type="gramStart"/>
      <w:r w:rsidRPr="00057F2F">
        <w:rPr>
          <w:rFonts w:ascii="Times New Roman" w:hAnsi="Times New Roman" w:cs="Times New Roman"/>
          <w:sz w:val="24"/>
          <w:szCs w:val="24"/>
          <w:lang w:val="en-GB"/>
        </w:rPr>
        <w:t>in a given</w:t>
      </w:r>
      <w:proofErr w:type="gramEnd"/>
      <w:r w:rsidRPr="00057F2F">
        <w:rPr>
          <w:rFonts w:ascii="Times New Roman" w:hAnsi="Times New Roman" w:cs="Times New Roman"/>
          <w:sz w:val="24"/>
          <w:szCs w:val="24"/>
          <w:lang w:val="en-GB"/>
        </w:rPr>
        <w:t xml:space="preserve"> macro-sector (i.e., if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RCA</m:t>
            </m:r>
          </m:e>
          <m:sub>
            <m:r>
              <w:rPr>
                <w:rFonts w:ascii="Cambria Math" w:hAnsi="Cambria Math" w:cs="Times New Roman"/>
                <w:sz w:val="24"/>
                <w:szCs w:val="24"/>
                <w:lang w:val="en-GB"/>
              </w:rPr>
              <m:t>Empl(i,s)</m:t>
            </m:r>
          </m:sub>
        </m:sSub>
        <m:r>
          <w:rPr>
            <w:rFonts w:ascii="Cambria Math" w:hAnsi="Cambria Math" w:cs="Times New Roman"/>
            <w:sz w:val="24"/>
            <w:szCs w:val="24"/>
            <w:lang w:val="en-GB"/>
          </w:rPr>
          <m:t>≥1</m:t>
        </m:r>
      </m:oMath>
      <w:r w:rsidRPr="00057F2F">
        <w:rPr>
          <w:rFonts w:ascii="Times New Roman" w:eastAsiaTheme="minorEastAsia" w:hAnsi="Times New Roman" w:cs="Times New Roman"/>
          <w:sz w:val="24"/>
          <w:szCs w:val="24"/>
          <w:lang w:val="en-GB"/>
        </w:rPr>
        <w:t>)</w:t>
      </w:r>
      <w:r w:rsidRPr="00057F2F">
        <w:rPr>
          <w:rFonts w:ascii="Times New Roman" w:hAnsi="Times New Roman" w:cs="Times New Roman"/>
          <w:sz w:val="24"/>
          <w:szCs w:val="24"/>
          <w:lang w:val="en-GB"/>
        </w:rPr>
        <w:t>, we observe that the same region is specialised in that given macro-sector also according to FDI data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RCA</m:t>
            </m:r>
          </m:e>
          <m:sub>
            <m:r>
              <w:rPr>
                <w:rFonts w:ascii="Cambria Math" w:hAnsi="Cambria Math" w:cs="Times New Roman"/>
                <w:sz w:val="24"/>
                <w:szCs w:val="24"/>
                <w:lang w:val="en-GB"/>
              </w:rPr>
              <m:t>FDI(i,s)</m:t>
            </m:r>
          </m:sub>
        </m:sSub>
        <m:r>
          <w:rPr>
            <w:rFonts w:ascii="Cambria Math" w:hAnsi="Cambria Math" w:cs="Times New Roman"/>
            <w:sz w:val="24"/>
            <w:szCs w:val="24"/>
            <w:lang w:val="en-GB"/>
          </w:rPr>
          <m:t>≥1</m:t>
        </m:r>
      </m:oMath>
      <w:r w:rsidRPr="00057F2F">
        <w:rPr>
          <w:rFonts w:ascii="Times New Roman" w:hAnsi="Times New Roman" w:cs="Times New Roman"/>
          <w:sz w:val="24"/>
          <w:szCs w:val="24"/>
          <w:lang w:val="en-GB"/>
        </w:rPr>
        <w:t>).</w:t>
      </w:r>
    </w:p>
    <w:p w14:paraId="04876961" w14:textId="1D6305F3" w:rsidR="003E1A9D" w:rsidRPr="00057F2F" w:rsidRDefault="003E1A9D" w:rsidP="003E1A9D">
      <w:pPr>
        <w:spacing w:after="120"/>
        <w:jc w:val="both"/>
        <w:rPr>
          <w:rFonts w:ascii="Times New Roman" w:hAnsi="Times New Roman" w:cs="Times New Roman"/>
          <w:sz w:val="24"/>
          <w:szCs w:val="24"/>
          <w:lang w:val="en-GB"/>
        </w:rPr>
      </w:pPr>
      <w:r w:rsidRPr="00057F2F">
        <w:rPr>
          <w:rFonts w:ascii="Times New Roman" w:hAnsi="Times New Roman" w:cs="Times New Roman"/>
          <w:sz w:val="24"/>
          <w:szCs w:val="24"/>
          <w:lang w:val="en-GB"/>
        </w:rPr>
        <w:t xml:space="preserve">Results reported by </w:t>
      </w:r>
      <w:r w:rsidRPr="00057F2F">
        <w:rPr>
          <w:rFonts w:ascii="Times New Roman" w:hAnsi="Times New Roman" w:cs="Times New Roman"/>
          <w:b/>
          <w:bCs/>
          <w:sz w:val="24"/>
          <w:szCs w:val="24"/>
          <w:lang w:val="en-GB"/>
        </w:rPr>
        <w:t xml:space="preserve">Table </w:t>
      </w:r>
      <w:r w:rsidR="00EF5144" w:rsidRPr="00057F2F">
        <w:rPr>
          <w:rFonts w:ascii="Times New Roman" w:hAnsi="Times New Roman" w:cs="Times New Roman"/>
          <w:b/>
          <w:bCs/>
          <w:sz w:val="24"/>
          <w:szCs w:val="24"/>
          <w:lang w:val="en-GB"/>
        </w:rPr>
        <w:t>B</w:t>
      </w:r>
      <w:r w:rsidRPr="00057F2F">
        <w:rPr>
          <w:rFonts w:ascii="Times New Roman" w:hAnsi="Times New Roman" w:cs="Times New Roman"/>
          <w:b/>
          <w:bCs/>
          <w:sz w:val="24"/>
          <w:szCs w:val="24"/>
          <w:lang w:val="en-GB"/>
        </w:rPr>
        <w:t>.1</w:t>
      </w:r>
      <w:r w:rsidRPr="00057F2F">
        <w:rPr>
          <w:rFonts w:ascii="Times New Roman" w:hAnsi="Times New Roman" w:cs="Times New Roman"/>
          <w:sz w:val="24"/>
          <w:szCs w:val="24"/>
          <w:lang w:val="en-GB"/>
        </w:rPr>
        <w:t xml:space="preserve"> suggest that, on average, in 60% of the cases the FDI-based specialisation index predicts the same outcome as the employment-based specialization index over the period 2003-2007. Interestingly, the share increases to 68% in the years 2013-2018, signalling an even higher correspondence in the more recent </w:t>
      </w:r>
      <w:proofErr w:type="gramStart"/>
      <w:r w:rsidRPr="00057F2F">
        <w:rPr>
          <w:rFonts w:ascii="Times New Roman" w:hAnsi="Times New Roman" w:cs="Times New Roman"/>
          <w:sz w:val="24"/>
          <w:szCs w:val="24"/>
          <w:lang w:val="en-GB"/>
        </w:rPr>
        <w:t>time period</w:t>
      </w:r>
      <w:proofErr w:type="gramEnd"/>
      <w:r w:rsidRPr="00057F2F">
        <w:rPr>
          <w:rFonts w:ascii="Times New Roman" w:hAnsi="Times New Roman" w:cs="Times New Roman"/>
          <w:sz w:val="24"/>
          <w:szCs w:val="24"/>
          <w:lang w:val="en-GB"/>
        </w:rPr>
        <w:t>.</w:t>
      </w:r>
    </w:p>
    <w:p w14:paraId="59E25B92" w14:textId="77777777" w:rsidR="003E1A9D" w:rsidRPr="00057F2F" w:rsidRDefault="003E1A9D" w:rsidP="003E1A9D">
      <w:pPr>
        <w:spacing w:after="120"/>
        <w:jc w:val="both"/>
        <w:rPr>
          <w:rFonts w:ascii="Times New Roman" w:hAnsi="Times New Roman" w:cs="Times New Roman"/>
          <w:sz w:val="24"/>
          <w:szCs w:val="24"/>
          <w:lang w:val="en-GB"/>
        </w:rPr>
      </w:pPr>
      <w:r w:rsidRPr="00057F2F">
        <w:rPr>
          <w:rFonts w:ascii="Times New Roman" w:hAnsi="Times New Roman" w:cs="Times New Roman"/>
          <w:sz w:val="24"/>
          <w:szCs w:val="24"/>
          <w:lang w:val="en-GB"/>
        </w:rPr>
        <w:t xml:space="preserve">Finally, since employment data are classified according to NACE Rev. 1.1 until 2007 and according to NACE Rev. 2 from 2008 onwards, we conducted the same analysis including data for 2008 in the first </w:t>
      </w:r>
      <w:proofErr w:type="gramStart"/>
      <w:r w:rsidRPr="00057F2F">
        <w:rPr>
          <w:rFonts w:ascii="Times New Roman" w:hAnsi="Times New Roman" w:cs="Times New Roman"/>
          <w:sz w:val="24"/>
          <w:szCs w:val="24"/>
          <w:lang w:val="en-GB"/>
        </w:rPr>
        <w:t>time period</w:t>
      </w:r>
      <w:proofErr w:type="gramEnd"/>
      <w:r w:rsidRPr="00057F2F">
        <w:rPr>
          <w:lang w:val="en-GB"/>
        </w:rPr>
        <w:t xml:space="preserve"> </w:t>
      </w:r>
      <w:r w:rsidRPr="00057F2F">
        <w:rPr>
          <w:rFonts w:ascii="Times New Roman" w:hAnsi="Times New Roman" w:cs="Times New Roman"/>
          <w:sz w:val="24"/>
          <w:szCs w:val="24"/>
          <w:lang w:val="en-GB"/>
        </w:rPr>
        <w:t>as an additional robustness test. In both cases, results remain qualitatively unchanged and are available upon request.</w:t>
      </w:r>
    </w:p>
    <w:p w14:paraId="4BEAE5B3" w14:textId="77777777" w:rsidR="00B92799" w:rsidRPr="00057F2F" w:rsidRDefault="00B92799" w:rsidP="003E1A9D">
      <w:pPr>
        <w:spacing w:after="120"/>
        <w:jc w:val="both"/>
        <w:rPr>
          <w:rFonts w:ascii="Times New Roman" w:hAnsi="Times New Roman" w:cs="Times New Roman"/>
          <w:sz w:val="24"/>
          <w:szCs w:val="24"/>
          <w:lang w:val="en-GB"/>
        </w:rPr>
      </w:pPr>
    </w:p>
    <w:p w14:paraId="5BDFC5C1" w14:textId="2EFA4252" w:rsidR="003E1A9D" w:rsidRPr="00057F2F" w:rsidRDefault="003E1A9D" w:rsidP="003E1A9D">
      <w:pPr>
        <w:pStyle w:val="Titolo3"/>
      </w:pPr>
      <w:r w:rsidRPr="00057F2F">
        <w:rPr>
          <w:b/>
          <w:bCs/>
        </w:rPr>
        <w:t xml:space="preserve">Table </w:t>
      </w:r>
      <w:r w:rsidR="00EF5144" w:rsidRPr="00057F2F">
        <w:rPr>
          <w:b/>
          <w:bCs/>
        </w:rPr>
        <w:t>B</w:t>
      </w:r>
      <w:r w:rsidRPr="00057F2F">
        <w:rPr>
          <w:b/>
          <w:bCs/>
        </w:rPr>
        <w:t>.1</w:t>
      </w:r>
      <w:r w:rsidR="00511CB9" w:rsidRPr="00057F2F">
        <w:rPr>
          <w:b/>
          <w:bCs/>
        </w:rPr>
        <w:t>.</w:t>
      </w:r>
      <w:r w:rsidRPr="00057F2F">
        <w:t xml:space="preserve"> Comparison between (domestic) employment-based and FDI-based sectoral specialization of regions</w:t>
      </w:r>
    </w:p>
    <w:tbl>
      <w:tblPr>
        <w:tblStyle w:val="Grigliatabella"/>
        <w:tblW w:w="0" w:type="auto"/>
        <w:tblLook w:val="04A0" w:firstRow="1" w:lastRow="0" w:firstColumn="1" w:lastColumn="0" w:noHBand="0" w:noVBand="1"/>
      </w:tblPr>
      <w:tblGrid>
        <w:gridCol w:w="4252"/>
        <w:gridCol w:w="2268"/>
        <w:gridCol w:w="2268"/>
      </w:tblGrid>
      <w:tr w:rsidR="003E1A9D" w:rsidRPr="00057F2F" w14:paraId="0453611A" w14:textId="77777777" w:rsidTr="00C0398A">
        <w:trPr>
          <w:trHeight w:val="397"/>
        </w:trPr>
        <w:tc>
          <w:tcPr>
            <w:tcW w:w="4252" w:type="dxa"/>
            <w:tcBorders>
              <w:top w:val="single" w:sz="4" w:space="0" w:color="auto"/>
              <w:bottom w:val="single" w:sz="4" w:space="0" w:color="auto"/>
            </w:tcBorders>
            <w:vAlign w:val="center"/>
          </w:tcPr>
          <w:p w14:paraId="32B27586" w14:textId="77777777" w:rsidR="003E1A9D" w:rsidRPr="00057F2F" w:rsidRDefault="003E1A9D" w:rsidP="00C0398A">
            <w:pPr>
              <w:rPr>
                <w:rFonts w:ascii="Times New Roman" w:hAnsi="Times New Roman" w:cs="Times New Roman"/>
                <w:b/>
                <w:bCs/>
                <w:lang w:val="en-GB"/>
              </w:rPr>
            </w:pPr>
          </w:p>
        </w:tc>
        <w:tc>
          <w:tcPr>
            <w:tcW w:w="2268" w:type="dxa"/>
            <w:tcBorders>
              <w:top w:val="single" w:sz="4" w:space="0" w:color="auto"/>
              <w:bottom w:val="single" w:sz="4" w:space="0" w:color="auto"/>
            </w:tcBorders>
            <w:vAlign w:val="center"/>
          </w:tcPr>
          <w:p w14:paraId="03536B8D"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2003-2007</w:t>
            </w:r>
          </w:p>
        </w:tc>
        <w:tc>
          <w:tcPr>
            <w:tcW w:w="2268" w:type="dxa"/>
            <w:tcBorders>
              <w:top w:val="single" w:sz="4" w:space="0" w:color="auto"/>
              <w:bottom w:val="single" w:sz="4" w:space="0" w:color="auto"/>
            </w:tcBorders>
            <w:vAlign w:val="center"/>
          </w:tcPr>
          <w:p w14:paraId="3251B9D8"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2013-2018</w:t>
            </w:r>
          </w:p>
        </w:tc>
      </w:tr>
      <w:tr w:rsidR="003E1A9D" w:rsidRPr="00057F2F" w14:paraId="2EE6624C" w14:textId="77777777" w:rsidTr="00C0398A">
        <w:trPr>
          <w:trHeight w:val="397"/>
        </w:trPr>
        <w:tc>
          <w:tcPr>
            <w:tcW w:w="4252" w:type="dxa"/>
            <w:tcBorders>
              <w:top w:val="single" w:sz="4" w:space="0" w:color="auto"/>
            </w:tcBorders>
            <w:vAlign w:val="center"/>
          </w:tcPr>
          <w:p w14:paraId="0DC0CD75" w14:textId="77777777" w:rsidR="003E1A9D" w:rsidRPr="00057F2F" w:rsidRDefault="003E1A9D" w:rsidP="00C0398A">
            <w:pPr>
              <w:rPr>
                <w:rFonts w:ascii="Times New Roman" w:hAnsi="Times New Roman" w:cs="Times New Roman"/>
                <w:b/>
                <w:bCs/>
                <w:lang w:val="en-GB"/>
              </w:rPr>
            </w:pPr>
            <w:r w:rsidRPr="00057F2F">
              <w:rPr>
                <w:rFonts w:ascii="Times New Roman" w:hAnsi="Times New Roman" w:cs="Times New Roman"/>
                <w:lang w:val="en-GB"/>
              </w:rPr>
              <w:t>Science-Based sectors</w:t>
            </w:r>
          </w:p>
        </w:tc>
        <w:tc>
          <w:tcPr>
            <w:tcW w:w="2268" w:type="dxa"/>
            <w:tcBorders>
              <w:top w:val="single" w:sz="4" w:space="0" w:color="auto"/>
            </w:tcBorders>
            <w:vAlign w:val="center"/>
          </w:tcPr>
          <w:p w14:paraId="3896BF05"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63%</w:t>
            </w:r>
          </w:p>
        </w:tc>
        <w:tc>
          <w:tcPr>
            <w:tcW w:w="2268" w:type="dxa"/>
            <w:tcBorders>
              <w:top w:val="single" w:sz="4" w:space="0" w:color="auto"/>
            </w:tcBorders>
            <w:vAlign w:val="center"/>
          </w:tcPr>
          <w:p w14:paraId="0A2B0188"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73%</w:t>
            </w:r>
          </w:p>
        </w:tc>
      </w:tr>
      <w:tr w:rsidR="003E1A9D" w:rsidRPr="00057F2F" w14:paraId="1CDA3975" w14:textId="77777777" w:rsidTr="00C0398A">
        <w:trPr>
          <w:trHeight w:val="397"/>
        </w:trPr>
        <w:tc>
          <w:tcPr>
            <w:tcW w:w="4252" w:type="dxa"/>
            <w:vAlign w:val="center"/>
          </w:tcPr>
          <w:p w14:paraId="5755D7AC" w14:textId="77777777" w:rsidR="003E1A9D" w:rsidRPr="00057F2F" w:rsidRDefault="003E1A9D" w:rsidP="00C0398A">
            <w:pPr>
              <w:rPr>
                <w:rFonts w:ascii="Times New Roman" w:hAnsi="Times New Roman" w:cs="Times New Roman"/>
                <w:b/>
                <w:bCs/>
                <w:lang w:val="en-GB"/>
              </w:rPr>
            </w:pPr>
            <w:r w:rsidRPr="00057F2F">
              <w:rPr>
                <w:rFonts w:ascii="Times New Roman" w:hAnsi="Times New Roman" w:cs="Times New Roman"/>
                <w:lang w:val="en-GB"/>
              </w:rPr>
              <w:t>Specialized Supplier sectors</w:t>
            </w:r>
          </w:p>
        </w:tc>
        <w:tc>
          <w:tcPr>
            <w:tcW w:w="2268" w:type="dxa"/>
            <w:vAlign w:val="center"/>
          </w:tcPr>
          <w:p w14:paraId="133FC810"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61%</w:t>
            </w:r>
          </w:p>
        </w:tc>
        <w:tc>
          <w:tcPr>
            <w:tcW w:w="2268" w:type="dxa"/>
            <w:vAlign w:val="center"/>
          </w:tcPr>
          <w:p w14:paraId="10EADAD8"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69%</w:t>
            </w:r>
          </w:p>
        </w:tc>
      </w:tr>
      <w:tr w:rsidR="003E1A9D" w:rsidRPr="00057F2F" w14:paraId="07293D7C" w14:textId="77777777" w:rsidTr="00C0398A">
        <w:trPr>
          <w:trHeight w:val="397"/>
        </w:trPr>
        <w:tc>
          <w:tcPr>
            <w:tcW w:w="4252" w:type="dxa"/>
            <w:vAlign w:val="center"/>
          </w:tcPr>
          <w:p w14:paraId="7ADAFEB0" w14:textId="77777777" w:rsidR="003E1A9D" w:rsidRPr="00057F2F" w:rsidRDefault="003E1A9D" w:rsidP="00C0398A">
            <w:pPr>
              <w:rPr>
                <w:rFonts w:ascii="Times New Roman" w:hAnsi="Times New Roman" w:cs="Times New Roman"/>
                <w:b/>
                <w:bCs/>
                <w:lang w:val="en-GB"/>
              </w:rPr>
            </w:pPr>
            <w:r w:rsidRPr="00057F2F">
              <w:rPr>
                <w:rFonts w:ascii="Times New Roman" w:hAnsi="Times New Roman" w:cs="Times New Roman"/>
                <w:lang w:val="en-GB"/>
              </w:rPr>
              <w:t xml:space="preserve">Scale and Information Intensive sectors </w:t>
            </w:r>
          </w:p>
        </w:tc>
        <w:tc>
          <w:tcPr>
            <w:tcW w:w="2268" w:type="dxa"/>
            <w:vAlign w:val="center"/>
          </w:tcPr>
          <w:p w14:paraId="3E69A730"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65%</w:t>
            </w:r>
          </w:p>
        </w:tc>
        <w:tc>
          <w:tcPr>
            <w:tcW w:w="2268" w:type="dxa"/>
            <w:vAlign w:val="center"/>
          </w:tcPr>
          <w:p w14:paraId="763FC303"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70%</w:t>
            </w:r>
          </w:p>
        </w:tc>
      </w:tr>
      <w:tr w:rsidR="003E1A9D" w:rsidRPr="00057F2F" w14:paraId="1F5E46D5" w14:textId="77777777" w:rsidTr="00C0398A">
        <w:trPr>
          <w:trHeight w:val="397"/>
        </w:trPr>
        <w:tc>
          <w:tcPr>
            <w:tcW w:w="4252" w:type="dxa"/>
            <w:tcBorders>
              <w:bottom w:val="single" w:sz="4" w:space="0" w:color="auto"/>
            </w:tcBorders>
            <w:vAlign w:val="center"/>
          </w:tcPr>
          <w:p w14:paraId="54286708" w14:textId="77777777" w:rsidR="003E1A9D" w:rsidRPr="00057F2F" w:rsidRDefault="003E1A9D" w:rsidP="00C0398A">
            <w:pPr>
              <w:rPr>
                <w:rFonts w:ascii="Times New Roman" w:hAnsi="Times New Roman" w:cs="Times New Roman"/>
                <w:b/>
                <w:bCs/>
                <w:lang w:val="en-GB"/>
              </w:rPr>
            </w:pPr>
            <w:r w:rsidRPr="00057F2F">
              <w:rPr>
                <w:rFonts w:ascii="Times New Roman" w:hAnsi="Times New Roman" w:cs="Times New Roman"/>
                <w:lang w:val="en-GB"/>
              </w:rPr>
              <w:t>Supplier Dominated sectors</w:t>
            </w:r>
          </w:p>
        </w:tc>
        <w:tc>
          <w:tcPr>
            <w:tcW w:w="2268" w:type="dxa"/>
            <w:tcBorders>
              <w:bottom w:val="single" w:sz="4" w:space="0" w:color="auto"/>
            </w:tcBorders>
            <w:vAlign w:val="center"/>
          </w:tcPr>
          <w:p w14:paraId="2D058575"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48%</w:t>
            </w:r>
          </w:p>
        </w:tc>
        <w:tc>
          <w:tcPr>
            <w:tcW w:w="2268" w:type="dxa"/>
            <w:tcBorders>
              <w:bottom w:val="single" w:sz="4" w:space="0" w:color="auto"/>
            </w:tcBorders>
            <w:vAlign w:val="center"/>
          </w:tcPr>
          <w:p w14:paraId="47DDB464"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lang w:val="en-GB"/>
              </w:rPr>
              <w:t>61%</w:t>
            </w:r>
          </w:p>
        </w:tc>
      </w:tr>
      <w:tr w:rsidR="003E1A9D" w:rsidRPr="00057F2F" w14:paraId="68BD05E7" w14:textId="77777777" w:rsidTr="00C0398A">
        <w:trPr>
          <w:trHeight w:val="397"/>
        </w:trPr>
        <w:tc>
          <w:tcPr>
            <w:tcW w:w="4252" w:type="dxa"/>
            <w:tcBorders>
              <w:top w:val="single" w:sz="4" w:space="0" w:color="auto"/>
              <w:bottom w:val="single" w:sz="4" w:space="0" w:color="auto"/>
            </w:tcBorders>
            <w:vAlign w:val="center"/>
          </w:tcPr>
          <w:p w14:paraId="7ED01F6F" w14:textId="77777777" w:rsidR="003E1A9D" w:rsidRPr="00057F2F" w:rsidRDefault="003E1A9D" w:rsidP="00C0398A">
            <w:pPr>
              <w:jc w:val="right"/>
              <w:rPr>
                <w:rFonts w:ascii="Times New Roman" w:hAnsi="Times New Roman" w:cs="Times New Roman"/>
                <w:b/>
                <w:bCs/>
                <w:lang w:val="en-GB"/>
              </w:rPr>
            </w:pPr>
            <w:r w:rsidRPr="00057F2F">
              <w:rPr>
                <w:rFonts w:ascii="Times New Roman" w:hAnsi="Times New Roman" w:cs="Times New Roman"/>
                <w:i/>
                <w:iCs/>
                <w:lang w:val="en-GB"/>
              </w:rPr>
              <w:t xml:space="preserve">Avg. </w:t>
            </w:r>
          </w:p>
        </w:tc>
        <w:tc>
          <w:tcPr>
            <w:tcW w:w="2268" w:type="dxa"/>
            <w:tcBorders>
              <w:top w:val="single" w:sz="4" w:space="0" w:color="auto"/>
              <w:bottom w:val="single" w:sz="4" w:space="0" w:color="auto"/>
            </w:tcBorders>
            <w:vAlign w:val="center"/>
          </w:tcPr>
          <w:p w14:paraId="1152DF29"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i/>
                <w:iCs/>
                <w:lang w:val="en-GB"/>
              </w:rPr>
              <w:t>60%</w:t>
            </w:r>
          </w:p>
        </w:tc>
        <w:tc>
          <w:tcPr>
            <w:tcW w:w="2268" w:type="dxa"/>
            <w:tcBorders>
              <w:top w:val="single" w:sz="4" w:space="0" w:color="auto"/>
              <w:bottom w:val="single" w:sz="4" w:space="0" w:color="auto"/>
            </w:tcBorders>
            <w:vAlign w:val="center"/>
          </w:tcPr>
          <w:p w14:paraId="3347E8DC" w14:textId="77777777" w:rsidR="003E1A9D" w:rsidRPr="00057F2F" w:rsidRDefault="003E1A9D" w:rsidP="00C0398A">
            <w:pPr>
              <w:jc w:val="center"/>
              <w:rPr>
                <w:rFonts w:ascii="Times New Roman" w:hAnsi="Times New Roman" w:cs="Times New Roman"/>
                <w:b/>
                <w:bCs/>
                <w:lang w:val="en-GB"/>
              </w:rPr>
            </w:pPr>
            <w:r w:rsidRPr="00057F2F">
              <w:rPr>
                <w:rFonts w:ascii="Times New Roman" w:hAnsi="Times New Roman" w:cs="Times New Roman"/>
                <w:i/>
                <w:iCs/>
                <w:lang w:val="en-GB"/>
              </w:rPr>
              <w:t>68%</w:t>
            </w:r>
          </w:p>
        </w:tc>
      </w:tr>
    </w:tbl>
    <w:p w14:paraId="369861C9" w14:textId="77777777" w:rsidR="003E1A9D" w:rsidRPr="00057F2F" w:rsidRDefault="003E1A9D" w:rsidP="0019644D">
      <w:pPr>
        <w:spacing w:after="0"/>
        <w:ind w:right="850"/>
        <w:jc w:val="both"/>
        <w:rPr>
          <w:rFonts w:ascii="Times New Roman" w:hAnsi="Times New Roman" w:cs="Times New Roman"/>
          <w:sz w:val="18"/>
          <w:szCs w:val="18"/>
          <w:lang w:val="en-GB"/>
        </w:rPr>
      </w:pPr>
      <w:r w:rsidRPr="00057F2F">
        <w:rPr>
          <w:rFonts w:ascii="Times New Roman" w:hAnsi="Times New Roman" w:cs="Times New Roman"/>
          <w:sz w:val="18"/>
          <w:szCs w:val="18"/>
          <w:lang w:val="en-GB"/>
        </w:rPr>
        <w:t>Note: Percentages represent the share of region-sector cases in which the FDI-based specialisation index predicts the same outcome as the employment-based index. Source: authors’ elaboration on Eurostat’s regional Structural Business Statistics.</w:t>
      </w:r>
    </w:p>
    <w:p w14:paraId="3AA25BA3" w14:textId="77777777" w:rsidR="003E1A9D" w:rsidRPr="00057F2F" w:rsidRDefault="003E1A9D">
      <w:pPr>
        <w:rPr>
          <w:rFonts w:ascii="Times New Roman" w:hAnsi="Times New Roman" w:cs="Times New Roman"/>
          <w:b/>
          <w:bCs/>
          <w:sz w:val="24"/>
          <w:szCs w:val="24"/>
          <w:lang w:val="en-GB"/>
        </w:rPr>
      </w:pPr>
      <w:r w:rsidRPr="00057F2F">
        <w:rPr>
          <w:lang w:val="en-GB"/>
        </w:rPr>
        <w:br w:type="page"/>
      </w:r>
    </w:p>
    <w:p w14:paraId="0AF3DF12" w14:textId="3D4DC758" w:rsidR="00B17EF6" w:rsidRPr="00057F2F" w:rsidRDefault="00B17EF6" w:rsidP="00B17EF6">
      <w:pPr>
        <w:pStyle w:val="Titolo2"/>
      </w:pPr>
      <w:r w:rsidRPr="00057F2F">
        <w:lastRenderedPageBreak/>
        <w:t xml:space="preserve">Appendix </w:t>
      </w:r>
      <w:r w:rsidR="001E3BB9" w:rsidRPr="00057F2F">
        <w:t>C</w:t>
      </w:r>
      <w:r w:rsidRPr="00057F2F">
        <w:t>. Robustness on time period</w:t>
      </w:r>
      <w:r w:rsidR="00E52554" w:rsidRPr="00057F2F">
        <w:t>s</w:t>
      </w:r>
    </w:p>
    <w:p w14:paraId="073BF096" w14:textId="2197B47A" w:rsidR="00B17EF6" w:rsidRPr="00057F2F" w:rsidRDefault="00B17EF6" w:rsidP="00B17EF6">
      <w:pPr>
        <w:jc w:val="both"/>
        <w:rPr>
          <w:rFonts w:ascii="Times New Roman" w:hAnsi="Times New Roman" w:cs="Times New Roman"/>
          <w:lang w:val="en-GB"/>
        </w:rPr>
      </w:pPr>
      <w:r w:rsidRPr="00057F2F">
        <w:rPr>
          <w:rFonts w:ascii="Times New Roman" w:hAnsi="Times New Roman" w:cs="Times New Roman"/>
          <w:lang w:val="en-GB"/>
        </w:rPr>
        <w:t>We assess the sensitivity of our results to the definition of period boundaries and to the use of pooled discrete periods rather than annual or rolling-window measures of functional specialization.</w:t>
      </w:r>
    </w:p>
    <w:p w14:paraId="2189652A" w14:textId="77777777" w:rsidR="00B17EF6" w:rsidRPr="00057F2F" w:rsidRDefault="00B17EF6" w:rsidP="00B17EF6">
      <w:pPr>
        <w:jc w:val="both"/>
        <w:rPr>
          <w:rFonts w:ascii="Times New Roman" w:hAnsi="Times New Roman" w:cs="Times New Roman"/>
          <w:b/>
          <w:bCs/>
          <w:lang w:val="en-GB"/>
        </w:rPr>
      </w:pPr>
    </w:p>
    <w:p w14:paraId="2EFAB85A" w14:textId="7D67B1AD" w:rsidR="00B17EF6" w:rsidRPr="00057F2F" w:rsidRDefault="00B17EF6" w:rsidP="001E3BB9">
      <w:pPr>
        <w:pStyle w:val="Titolo3"/>
      </w:pPr>
      <w:r w:rsidRPr="00057F2F">
        <w:rPr>
          <w:b/>
          <w:bCs/>
        </w:rPr>
        <w:t xml:space="preserve">Table </w:t>
      </w:r>
      <w:r w:rsidR="001E3BB9" w:rsidRPr="00057F2F">
        <w:rPr>
          <w:b/>
          <w:bCs/>
        </w:rPr>
        <w:t>C</w:t>
      </w:r>
      <w:r w:rsidRPr="00057F2F">
        <w:rPr>
          <w:b/>
          <w:bCs/>
        </w:rPr>
        <w:t>.1.</w:t>
      </w:r>
      <w:r w:rsidRPr="00057F2F">
        <w:t xml:space="preserve"> Robustness of transition patterns to alternative period splits</w:t>
      </w:r>
    </w:p>
    <w:tbl>
      <w:tblPr>
        <w:tblW w:w="9067" w:type="dxa"/>
        <w:jc w:val="center"/>
        <w:tblCellMar>
          <w:left w:w="70" w:type="dxa"/>
          <w:right w:w="70" w:type="dxa"/>
        </w:tblCellMar>
        <w:tblLook w:val="04A0" w:firstRow="1" w:lastRow="0" w:firstColumn="1" w:lastColumn="0" w:noHBand="0" w:noVBand="1"/>
      </w:tblPr>
      <w:tblGrid>
        <w:gridCol w:w="3720"/>
        <w:gridCol w:w="960"/>
        <w:gridCol w:w="960"/>
        <w:gridCol w:w="960"/>
        <w:gridCol w:w="960"/>
        <w:gridCol w:w="1507"/>
      </w:tblGrid>
      <w:tr w:rsidR="00B17EF6" w:rsidRPr="00057F2F" w14:paraId="4C112469" w14:textId="77777777" w:rsidTr="00B92799">
        <w:trPr>
          <w:trHeight w:val="255"/>
          <w:jc w:val="center"/>
        </w:trPr>
        <w:tc>
          <w:tcPr>
            <w:tcW w:w="3720" w:type="dxa"/>
            <w:tcBorders>
              <w:top w:val="single" w:sz="4" w:space="0" w:color="auto"/>
              <w:bottom w:val="single" w:sz="4" w:space="0" w:color="auto"/>
            </w:tcBorders>
            <w:noWrap/>
            <w:vAlign w:val="center"/>
            <w:hideMark/>
          </w:tcPr>
          <w:p w14:paraId="637F2218" w14:textId="77777777" w:rsidR="00B17EF6" w:rsidRPr="00057F2F" w:rsidRDefault="00B17EF6" w:rsidP="001E3BB9">
            <w:pPr>
              <w:spacing w:after="0" w:line="240" w:lineRule="auto"/>
              <w:jc w:val="center"/>
              <w:rPr>
                <w:rFonts w:ascii="Times New Roman" w:eastAsia="Times New Roman" w:hAnsi="Times New Roman" w:cs="Times New Roman"/>
                <w:b/>
                <w:bCs/>
                <w:sz w:val="20"/>
                <w:szCs w:val="20"/>
                <w:lang w:val="en-GB" w:eastAsia="it-IT"/>
              </w:rPr>
            </w:pPr>
          </w:p>
        </w:tc>
        <w:tc>
          <w:tcPr>
            <w:tcW w:w="960" w:type="dxa"/>
            <w:tcBorders>
              <w:top w:val="single" w:sz="4" w:space="0" w:color="auto"/>
              <w:bottom w:val="single" w:sz="4" w:space="0" w:color="auto"/>
            </w:tcBorders>
            <w:noWrap/>
            <w:vAlign w:val="center"/>
            <w:hideMark/>
          </w:tcPr>
          <w:p w14:paraId="1F4BE4E9" w14:textId="77777777" w:rsidR="00B17EF6"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Baseline</w:t>
            </w:r>
          </w:p>
        </w:tc>
        <w:tc>
          <w:tcPr>
            <w:tcW w:w="960" w:type="dxa"/>
            <w:tcBorders>
              <w:top w:val="single" w:sz="4" w:space="0" w:color="auto"/>
              <w:bottom w:val="single" w:sz="4" w:space="0" w:color="auto"/>
            </w:tcBorders>
            <w:noWrap/>
            <w:vAlign w:val="center"/>
            <w:hideMark/>
          </w:tcPr>
          <w:p w14:paraId="3D999197" w14:textId="46722563" w:rsidR="001E3BB9"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A</w:t>
            </w:r>
          </w:p>
        </w:tc>
        <w:tc>
          <w:tcPr>
            <w:tcW w:w="960" w:type="dxa"/>
            <w:tcBorders>
              <w:top w:val="single" w:sz="4" w:space="0" w:color="auto"/>
              <w:bottom w:val="single" w:sz="4" w:space="0" w:color="auto"/>
            </w:tcBorders>
            <w:noWrap/>
            <w:vAlign w:val="center"/>
            <w:hideMark/>
          </w:tcPr>
          <w:p w14:paraId="2DFB830E" w14:textId="77777777" w:rsidR="00B17EF6"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B</w:t>
            </w:r>
          </w:p>
          <w:p w14:paraId="47732A9E" w14:textId="77777777" w:rsidR="001E3BB9" w:rsidRPr="00057F2F" w:rsidRDefault="001E3BB9" w:rsidP="00B92799">
            <w:pPr>
              <w:spacing w:after="0" w:line="240" w:lineRule="auto"/>
              <w:jc w:val="center"/>
              <w:rPr>
                <w:rFonts w:ascii="Times New Roman" w:eastAsia="Times New Roman" w:hAnsi="Times New Roman" w:cs="Times New Roman"/>
                <w:b/>
                <w:bCs/>
                <w:sz w:val="20"/>
                <w:szCs w:val="20"/>
                <w:lang w:val="en-GB" w:eastAsia="it-IT"/>
              </w:rPr>
            </w:pPr>
          </w:p>
        </w:tc>
        <w:tc>
          <w:tcPr>
            <w:tcW w:w="960" w:type="dxa"/>
            <w:tcBorders>
              <w:top w:val="single" w:sz="4" w:space="0" w:color="auto"/>
              <w:bottom w:val="single" w:sz="4" w:space="0" w:color="auto"/>
            </w:tcBorders>
            <w:noWrap/>
            <w:vAlign w:val="center"/>
            <w:hideMark/>
          </w:tcPr>
          <w:p w14:paraId="2836C44B" w14:textId="77777777" w:rsidR="00B17EF6"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C</w:t>
            </w:r>
          </w:p>
        </w:tc>
        <w:tc>
          <w:tcPr>
            <w:tcW w:w="1507" w:type="dxa"/>
            <w:tcBorders>
              <w:top w:val="single" w:sz="4" w:space="0" w:color="auto"/>
              <w:bottom w:val="single" w:sz="4" w:space="0" w:color="auto"/>
            </w:tcBorders>
            <w:noWrap/>
            <w:vAlign w:val="center"/>
            <w:hideMark/>
          </w:tcPr>
          <w:p w14:paraId="5815435E" w14:textId="77777777" w:rsidR="00B17EF6"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Avg.</w:t>
            </w:r>
          </w:p>
          <w:p w14:paraId="42C649FC" w14:textId="77777777" w:rsidR="00B17EF6" w:rsidRPr="00057F2F" w:rsidRDefault="00B17EF6" w:rsidP="00B92799">
            <w:pPr>
              <w:spacing w:after="0" w:line="240" w:lineRule="auto"/>
              <w:jc w:val="center"/>
              <w:rPr>
                <w:rFonts w:ascii="Times New Roman" w:eastAsia="Times New Roman" w:hAnsi="Times New Roman" w:cs="Times New Roman"/>
                <w:b/>
                <w:bCs/>
                <w:sz w:val="20"/>
                <w:szCs w:val="20"/>
                <w:lang w:val="en-GB" w:eastAsia="it-IT"/>
              </w:rPr>
            </w:pPr>
            <w:r w:rsidRPr="00057F2F">
              <w:rPr>
                <w:rFonts w:ascii="Times New Roman" w:eastAsia="Times New Roman" w:hAnsi="Times New Roman" w:cs="Times New Roman"/>
                <w:b/>
                <w:bCs/>
                <w:sz w:val="20"/>
                <w:szCs w:val="20"/>
                <w:lang w:val="en-GB" w:eastAsia="it-IT"/>
              </w:rPr>
              <w:t>A-B-C</w:t>
            </w:r>
          </w:p>
        </w:tc>
      </w:tr>
      <w:tr w:rsidR="00B17EF6" w:rsidRPr="00057F2F" w14:paraId="5B6819A7" w14:textId="77777777" w:rsidTr="00B92799">
        <w:trPr>
          <w:trHeight w:val="255"/>
          <w:jc w:val="center"/>
        </w:trPr>
        <w:tc>
          <w:tcPr>
            <w:tcW w:w="3720" w:type="dxa"/>
            <w:tcBorders>
              <w:top w:val="single" w:sz="4" w:space="0" w:color="auto"/>
            </w:tcBorders>
            <w:noWrap/>
            <w:vAlign w:val="bottom"/>
          </w:tcPr>
          <w:p w14:paraId="48AE9E25" w14:textId="77777777" w:rsidR="00B17EF6" w:rsidRPr="00057F2F" w:rsidRDefault="00B17EF6" w:rsidP="00D61B6B">
            <w:pPr>
              <w:spacing w:after="0" w:line="240" w:lineRule="auto"/>
              <w:rPr>
                <w:rFonts w:ascii="Times New Roman" w:eastAsia="Times New Roman" w:hAnsi="Times New Roman" w:cs="Times New Roman"/>
                <w:b/>
                <w:bCs/>
                <w:i/>
                <w:iCs/>
                <w:sz w:val="20"/>
                <w:szCs w:val="20"/>
                <w:lang w:val="en-GB" w:eastAsia="it-IT"/>
              </w:rPr>
            </w:pPr>
            <w:r w:rsidRPr="00057F2F">
              <w:rPr>
                <w:rFonts w:ascii="Times New Roman" w:eastAsia="Times New Roman" w:hAnsi="Times New Roman" w:cs="Times New Roman"/>
                <w:b/>
                <w:bCs/>
                <w:i/>
                <w:iCs/>
                <w:sz w:val="20"/>
                <w:szCs w:val="20"/>
                <w:lang w:val="en-GB" w:eastAsia="it-IT"/>
              </w:rPr>
              <w:t>Persistent</w:t>
            </w:r>
          </w:p>
        </w:tc>
        <w:tc>
          <w:tcPr>
            <w:tcW w:w="960" w:type="dxa"/>
            <w:tcBorders>
              <w:top w:val="single" w:sz="4" w:space="0" w:color="auto"/>
            </w:tcBorders>
            <w:noWrap/>
            <w:vAlign w:val="center"/>
          </w:tcPr>
          <w:p w14:paraId="6DF5CEA6"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0A05B503"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17FDED90"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038F6D01"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1507" w:type="dxa"/>
            <w:tcBorders>
              <w:top w:val="single" w:sz="4" w:space="0" w:color="auto"/>
            </w:tcBorders>
            <w:noWrap/>
            <w:vAlign w:val="center"/>
          </w:tcPr>
          <w:p w14:paraId="305581FA"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r>
      <w:tr w:rsidR="00B17EF6" w:rsidRPr="00057F2F" w14:paraId="1BB9B8F4" w14:textId="77777777" w:rsidTr="00B92799">
        <w:trPr>
          <w:trHeight w:val="255"/>
          <w:jc w:val="center"/>
        </w:trPr>
        <w:tc>
          <w:tcPr>
            <w:tcW w:w="3720" w:type="dxa"/>
            <w:noWrap/>
            <w:vAlign w:val="bottom"/>
            <w:hideMark/>
          </w:tcPr>
          <w:p w14:paraId="43AD0099"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Persistently upstream</w:t>
            </w:r>
          </w:p>
        </w:tc>
        <w:tc>
          <w:tcPr>
            <w:tcW w:w="960" w:type="dxa"/>
            <w:noWrap/>
            <w:vAlign w:val="center"/>
            <w:hideMark/>
          </w:tcPr>
          <w:p w14:paraId="5EFCBAC2"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73%</w:t>
            </w:r>
          </w:p>
        </w:tc>
        <w:tc>
          <w:tcPr>
            <w:tcW w:w="960" w:type="dxa"/>
            <w:noWrap/>
            <w:vAlign w:val="center"/>
            <w:hideMark/>
          </w:tcPr>
          <w:p w14:paraId="209581C4"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70%</w:t>
            </w:r>
          </w:p>
        </w:tc>
        <w:tc>
          <w:tcPr>
            <w:tcW w:w="960" w:type="dxa"/>
            <w:noWrap/>
            <w:vAlign w:val="center"/>
            <w:hideMark/>
          </w:tcPr>
          <w:p w14:paraId="229FF527"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66%</w:t>
            </w:r>
          </w:p>
        </w:tc>
        <w:tc>
          <w:tcPr>
            <w:tcW w:w="960" w:type="dxa"/>
            <w:noWrap/>
            <w:vAlign w:val="center"/>
            <w:hideMark/>
          </w:tcPr>
          <w:p w14:paraId="6D8C8E71"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84%</w:t>
            </w:r>
          </w:p>
        </w:tc>
        <w:tc>
          <w:tcPr>
            <w:tcW w:w="1507" w:type="dxa"/>
            <w:noWrap/>
            <w:vAlign w:val="center"/>
            <w:hideMark/>
          </w:tcPr>
          <w:p w14:paraId="44416482"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73%</w:t>
            </w:r>
          </w:p>
        </w:tc>
      </w:tr>
      <w:tr w:rsidR="00B17EF6" w:rsidRPr="00057F2F" w14:paraId="55D27E7F" w14:textId="77777777" w:rsidTr="00B92799">
        <w:trPr>
          <w:trHeight w:val="255"/>
          <w:jc w:val="center"/>
        </w:trPr>
        <w:tc>
          <w:tcPr>
            <w:tcW w:w="3720" w:type="dxa"/>
            <w:noWrap/>
            <w:vAlign w:val="bottom"/>
            <w:hideMark/>
          </w:tcPr>
          <w:p w14:paraId="3EF9276E"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Persistently production</w:t>
            </w:r>
          </w:p>
        </w:tc>
        <w:tc>
          <w:tcPr>
            <w:tcW w:w="960" w:type="dxa"/>
            <w:noWrap/>
            <w:vAlign w:val="center"/>
            <w:hideMark/>
          </w:tcPr>
          <w:p w14:paraId="776A890A"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88%</w:t>
            </w:r>
          </w:p>
        </w:tc>
        <w:tc>
          <w:tcPr>
            <w:tcW w:w="960" w:type="dxa"/>
            <w:noWrap/>
            <w:vAlign w:val="center"/>
            <w:hideMark/>
          </w:tcPr>
          <w:p w14:paraId="4D183BEB"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90%</w:t>
            </w:r>
          </w:p>
        </w:tc>
        <w:tc>
          <w:tcPr>
            <w:tcW w:w="960" w:type="dxa"/>
            <w:noWrap/>
            <w:vAlign w:val="center"/>
            <w:hideMark/>
          </w:tcPr>
          <w:p w14:paraId="35BF86CE"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85%</w:t>
            </w:r>
          </w:p>
        </w:tc>
        <w:tc>
          <w:tcPr>
            <w:tcW w:w="960" w:type="dxa"/>
            <w:noWrap/>
            <w:vAlign w:val="center"/>
            <w:hideMark/>
          </w:tcPr>
          <w:p w14:paraId="0FA35DE9"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87%</w:t>
            </w:r>
          </w:p>
        </w:tc>
        <w:tc>
          <w:tcPr>
            <w:tcW w:w="1507" w:type="dxa"/>
            <w:noWrap/>
            <w:vAlign w:val="center"/>
            <w:hideMark/>
          </w:tcPr>
          <w:p w14:paraId="09567BA7"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87%</w:t>
            </w:r>
          </w:p>
        </w:tc>
      </w:tr>
      <w:tr w:rsidR="00B17EF6" w:rsidRPr="00057F2F" w14:paraId="542B759E" w14:textId="77777777" w:rsidTr="00B92799">
        <w:trPr>
          <w:trHeight w:val="255"/>
          <w:jc w:val="center"/>
        </w:trPr>
        <w:tc>
          <w:tcPr>
            <w:tcW w:w="3720" w:type="dxa"/>
            <w:tcBorders>
              <w:bottom w:val="single" w:sz="4" w:space="0" w:color="auto"/>
            </w:tcBorders>
            <w:noWrap/>
            <w:vAlign w:val="bottom"/>
            <w:hideMark/>
          </w:tcPr>
          <w:p w14:paraId="074BBD42"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Persistently downstream</w:t>
            </w:r>
          </w:p>
        </w:tc>
        <w:tc>
          <w:tcPr>
            <w:tcW w:w="960" w:type="dxa"/>
            <w:tcBorders>
              <w:bottom w:val="single" w:sz="4" w:space="0" w:color="auto"/>
            </w:tcBorders>
            <w:noWrap/>
            <w:vAlign w:val="center"/>
            <w:hideMark/>
          </w:tcPr>
          <w:p w14:paraId="7FA84EC3"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70%</w:t>
            </w:r>
          </w:p>
        </w:tc>
        <w:tc>
          <w:tcPr>
            <w:tcW w:w="960" w:type="dxa"/>
            <w:tcBorders>
              <w:bottom w:val="single" w:sz="4" w:space="0" w:color="auto"/>
            </w:tcBorders>
            <w:noWrap/>
            <w:vAlign w:val="center"/>
            <w:hideMark/>
          </w:tcPr>
          <w:p w14:paraId="76E27B1C"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77%</w:t>
            </w:r>
          </w:p>
        </w:tc>
        <w:tc>
          <w:tcPr>
            <w:tcW w:w="960" w:type="dxa"/>
            <w:tcBorders>
              <w:bottom w:val="single" w:sz="4" w:space="0" w:color="auto"/>
            </w:tcBorders>
            <w:noWrap/>
            <w:vAlign w:val="center"/>
            <w:hideMark/>
          </w:tcPr>
          <w:p w14:paraId="6999CD24"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68%</w:t>
            </w:r>
          </w:p>
        </w:tc>
        <w:tc>
          <w:tcPr>
            <w:tcW w:w="960" w:type="dxa"/>
            <w:tcBorders>
              <w:bottom w:val="single" w:sz="4" w:space="0" w:color="auto"/>
            </w:tcBorders>
            <w:noWrap/>
            <w:vAlign w:val="center"/>
            <w:hideMark/>
          </w:tcPr>
          <w:p w14:paraId="4C5FD48A"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73%</w:t>
            </w:r>
          </w:p>
        </w:tc>
        <w:tc>
          <w:tcPr>
            <w:tcW w:w="1507" w:type="dxa"/>
            <w:tcBorders>
              <w:bottom w:val="single" w:sz="4" w:space="0" w:color="auto"/>
            </w:tcBorders>
            <w:noWrap/>
            <w:vAlign w:val="center"/>
            <w:hideMark/>
          </w:tcPr>
          <w:p w14:paraId="136992A5"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73%</w:t>
            </w:r>
          </w:p>
        </w:tc>
      </w:tr>
      <w:tr w:rsidR="00B17EF6" w:rsidRPr="00057F2F" w14:paraId="7A62C807" w14:textId="77777777" w:rsidTr="00B92799">
        <w:trPr>
          <w:trHeight w:val="255"/>
          <w:jc w:val="center"/>
        </w:trPr>
        <w:tc>
          <w:tcPr>
            <w:tcW w:w="3720" w:type="dxa"/>
            <w:tcBorders>
              <w:top w:val="single" w:sz="4" w:space="0" w:color="auto"/>
            </w:tcBorders>
            <w:noWrap/>
            <w:vAlign w:val="bottom"/>
          </w:tcPr>
          <w:p w14:paraId="224C18A6" w14:textId="77777777" w:rsidR="00B17EF6" w:rsidRPr="00057F2F" w:rsidRDefault="00B17EF6" w:rsidP="00D61B6B">
            <w:pPr>
              <w:spacing w:after="0" w:line="240" w:lineRule="auto"/>
              <w:rPr>
                <w:rFonts w:ascii="Times New Roman" w:eastAsia="Times New Roman" w:hAnsi="Times New Roman" w:cs="Times New Roman"/>
                <w:b/>
                <w:bCs/>
                <w:i/>
                <w:iCs/>
                <w:sz w:val="20"/>
                <w:szCs w:val="20"/>
                <w:lang w:val="en-GB" w:eastAsia="it-IT"/>
              </w:rPr>
            </w:pPr>
            <w:r w:rsidRPr="00057F2F">
              <w:rPr>
                <w:rFonts w:ascii="Times New Roman" w:eastAsia="Times New Roman" w:hAnsi="Times New Roman" w:cs="Times New Roman"/>
                <w:b/>
                <w:bCs/>
                <w:i/>
                <w:iCs/>
                <w:sz w:val="20"/>
                <w:szCs w:val="20"/>
                <w:lang w:val="en-GB" w:eastAsia="it-IT"/>
              </w:rPr>
              <w:t>Upgrading</w:t>
            </w:r>
          </w:p>
        </w:tc>
        <w:tc>
          <w:tcPr>
            <w:tcW w:w="960" w:type="dxa"/>
            <w:tcBorders>
              <w:top w:val="single" w:sz="4" w:space="0" w:color="auto"/>
            </w:tcBorders>
            <w:noWrap/>
            <w:vAlign w:val="center"/>
          </w:tcPr>
          <w:p w14:paraId="5C5A6182"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125BA3D4"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60A8A932"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416FD14F"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1507" w:type="dxa"/>
            <w:tcBorders>
              <w:top w:val="single" w:sz="4" w:space="0" w:color="auto"/>
            </w:tcBorders>
            <w:noWrap/>
            <w:vAlign w:val="center"/>
          </w:tcPr>
          <w:p w14:paraId="79BD9DFC"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r>
      <w:tr w:rsidR="00B17EF6" w:rsidRPr="00057F2F" w14:paraId="50C4EDE8" w14:textId="77777777" w:rsidTr="00B92799">
        <w:trPr>
          <w:trHeight w:val="255"/>
          <w:jc w:val="center"/>
        </w:trPr>
        <w:tc>
          <w:tcPr>
            <w:tcW w:w="3720" w:type="dxa"/>
            <w:noWrap/>
            <w:vAlign w:val="bottom"/>
            <w:hideMark/>
          </w:tcPr>
          <w:p w14:paraId="3AA09B92"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 xml:space="preserve">Upgrading </w:t>
            </w:r>
            <w:proofErr w:type="gramStart"/>
            <w:r w:rsidRPr="00057F2F">
              <w:rPr>
                <w:rFonts w:ascii="Times New Roman" w:eastAsia="Times New Roman" w:hAnsi="Times New Roman" w:cs="Times New Roman"/>
                <w:sz w:val="20"/>
                <w:szCs w:val="20"/>
                <w:lang w:val="en-GB" w:eastAsia="it-IT"/>
              </w:rPr>
              <w:t>to</w:t>
            </w:r>
            <w:proofErr w:type="gramEnd"/>
            <w:r w:rsidRPr="00057F2F">
              <w:rPr>
                <w:rFonts w:ascii="Times New Roman" w:eastAsia="Times New Roman" w:hAnsi="Times New Roman" w:cs="Times New Roman"/>
                <w:sz w:val="20"/>
                <w:szCs w:val="20"/>
                <w:lang w:val="en-GB" w:eastAsia="it-IT"/>
              </w:rPr>
              <w:t xml:space="preserve"> upstream</w:t>
            </w:r>
          </w:p>
        </w:tc>
        <w:tc>
          <w:tcPr>
            <w:tcW w:w="960" w:type="dxa"/>
            <w:noWrap/>
            <w:vAlign w:val="center"/>
            <w:hideMark/>
          </w:tcPr>
          <w:p w14:paraId="3E7D0096"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7%</w:t>
            </w:r>
          </w:p>
        </w:tc>
        <w:tc>
          <w:tcPr>
            <w:tcW w:w="960" w:type="dxa"/>
            <w:noWrap/>
            <w:vAlign w:val="center"/>
            <w:hideMark/>
          </w:tcPr>
          <w:p w14:paraId="5C8C5E72"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6%</w:t>
            </w:r>
          </w:p>
        </w:tc>
        <w:tc>
          <w:tcPr>
            <w:tcW w:w="960" w:type="dxa"/>
            <w:noWrap/>
            <w:vAlign w:val="center"/>
            <w:hideMark/>
          </w:tcPr>
          <w:p w14:paraId="10102118"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10%</w:t>
            </w:r>
          </w:p>
        </w:tc>
        <w:tc>
          <w:tcPr>
            <w:tcW w:w="960" w:type="dxa"/>
            <w:noWrap/>
            <w:vAlign w:val="center"/>
            <w:hideMark/>
          </w:tcPr>
          <w:p w14:paraId="55D25BDA"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w:t>
            </w:r>
          </w:p>
        </w:tc>
        <w:tc>
          <w:tcPr>
            <w:tcW w:w="1507" w:type="dxa"/>
            <w:noWrap/>
            <w:vAlign w:val="center"/>
            <w:hideMark/>
          </w:tcPr>
          <w:p w14:paraId="021A94A3"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w:t>
            </w:r>
          </w:p>
        </w:tc>
      </w:tr>
      <w:tr w:rsidR="00B17EF6" w:rsidRPr="00057F2F" w14:paraId="5153E0BE" w14:textId="77777777" w:rsidTr="00B92799">
        <w:trPr>
          <w:trHeight w:val="255"/>
          <w:jc w:val="center"/>
        </w:trPr>
        <w:tc>
          <w:tcPr>
            <w:tcW w:w="3720" w:type="dxa"/>
            <w:tcBorders>
              <w:bottom w:val="single" w:sz="4" w:space="0" w:color="auto"/>
            </w:tcBorders>
            <w:noWrap/>
            <w:vAlign w:val="bottom"/>
            <w:hideMark/>
          </w:tcPr>
          <w:p w14:paraId="2DE7BC12"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 xml:space="preserve">Upgrading </w:t>
            </w:r>
            <w:proofErr w:type="gramStart"/>
            <w:r w:rsidRPr="00057F2F">
              <w:rPr>
                <w:rFonts w:ascii="Times New Roman" w:eastAsia="Times New Roman" w:hAnsi="Times New Roman" w:cs="Times New Roman"/>
                <w:sz w:val="20"/>
                <w:szCs w:val="20"/>
                <w:lang w:val="en-GB" w:eastAsia="it-IT"/>
              </w:rPr>
              <w:t>to</w:t>
            </w:r>
            <w:proofErr w:type="gramEnd"/>
            <w:r w:rsidRPr="00057F2F">
              <w:rPr>
                <w:rFonts w:ascii="Times New Roman" w:eastAsia="Times New Roman" w:hAnsi="Times New Roman" w:cs="Times New Roman"/>
                <w:sz w:val="20"/>
                <w:szCs w:val="20"/>
                <w:lang w:val="en-GB" w:eastAsia="it-IT"/>
              </w:rPr>
              <w:t xml:space="preserve"> downstream</w:t>
            </w:r>
          </w:p>
        </w:tc>
        <w:tc>
          <w:tcPr>
            <w:tcW w:w="960" w:type="dxa"/>
            <w:tcBorders>
              <w:bottom w:val="single" w:sz="4" w:space="0" w:color="auto"/>
            </w:tcBorders>
            <w:noWrap/>
            <w:vAlign w:val="center"/>
            <w:hideMark/>
          </w:tcPr>
          <w:p w14:paraId="2E26C067"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5%</w:t>
            </w:r>
          </w:p>
        </w:tc>
        <w:tc>
          <w:tcPr>
            <w:tcW w:w="960" w:type="dxa"/>
            <w:tcBorders>
              <w:bottom w:val="single" w:sz="4" w:space="0" w:color="auto"/>
            </w:tcBorders>
            <w:noWrap/>
            <w:vAlign w:val="center"/>
            <w:hideMark/>
          </w:tcPr>
          <w:p w14:paraId="1FAFFC4C"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4%</w:t>
            </w:r>
          </w:p>
        </w:tc>
        <w:tc>
          <w:tcPr>
            <w:tcW w:w="960" w:type="dxa"/>
            <w:tcBorders>
              <w:bottom w:val="single" w:sz="4" w:space="0" w:color="auto"/>
            </w:tcBorders>
            <w:noWrap/>
            <w:vAlign w:val="center"/>
            <w:hideMark/>
          </w:tcPr>
          <w:p w14:paraId="3D6EB106"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5%</w:t>
            </w:r>
          </w:p>
        </w:tc>
        <w:tc>
          <w:tcPr>
            <w:tcW w:w="960" w:type="dxa"/>
            <w:tcBorders>
              <w:bottom w:val="single" w:sz="4" w:space="0" w:color="auto"/>
            </w:tcBorders>
            <w:noWrap/>
            <w:vAlign w:val="center"/>
            <w:hideMark/>
          </w:tcPr>
          <w:p w14:paraId="5A89FC9C"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5%</w:t>
            </w:r>
          </w:p>
        </w:tc>
        <w:tc>
          <w:tcPr>
            <w:tcW w:w="1507" w:type="dxa"/>
            <w:tcBorders>
              <w:bottom w:val="single" w:sz="4" w:space="0" w:color="auto"/>
            </w:tcBorders>
            <w:noWrap/>
            <w:vAlign w:val="center"/>
            <w:hideMark/>
          </w:tcPr>
          <w:p w14:paraId="7AACC6CF"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5%</w:t>
            </w:r>
          </w:p>
        </w:tc>
      </w:tr>
      <w:tr w:rsidR="00B17EF6" w:rsidRPr="00057F2F" w14:paraId="145A3C50" w14:textId="77777777" w:rsidTr="00B92799">
        <w:trPr>
          <w:trHeight w:val="255"/>
          <w:jc w:val="center"/>
        </w:trPr>
        <w:tc>
          <w:tcPr>
            <w:tcW w:w="3720" w:type="dxa"/>
            <w:tcBorders>
              <w:top w:val="single" w:sz="4" w:space="0" w:color="auto"/>
            </w:tcBorders>
            <w:noWrap/>
            <w:vAlign w:val="bottom"/>
          </w:tcPr>
          <w:p w14:paraId="19E1C872" w14:textId="77777777" w:rsidR="00B17EF6" w:rsidRPr="00057F2F" w:rsidRDefault="00B17EF6" w:rsidP="00D61B6B">
            <w:pPr>
              <w:spacing w:after="0" w:line="240" w:lineRule="auto"/>
              <w:rPr>
                <w:rFonts w:ascii="Times New Roman" w:eastAsia="Times New Roman" w:hAnsi="Times New Roman" w:cs="Times New Roman"/>
                <w:b/>
                <w:bCs/>
                <w:i/>
                <w:iCs/>
                <w:sz w:val="20"/>
                <w:szCs w:val="20"/>
                <w:lang w:val="en-GB" w:eastAsia="it-IT"/>
              </w:rPr>
            </w:pPr>
            <w:r w:rsidRPr="00057F2F">
              <w:rPr>
                <w:rFonts w:ascii="Times New Roman" w:eastAsia="Times New Roman" w:hAnsi="Times New Roman" w:cs="Times New Roman"/>
                <w:b/>
                <w:bCs/>
                <w:i/>
                <w:iCs/>
                <w:sz w:val="20"/>
                <w:szCs w:val="20"/>
                <w:lang w:val="en-GB" w:eastAsia="it-IT"/>
              </w:rPr>
              <w:t>Downgrading</w:t>
            </w:r>
          </w:p>
        </w:tc>
        <w:tc>
          <w:tcPr>
            <w:tcW w:w="960" w:type="dxa"/>
            <w:tcBorders>
              <w:top w:val="single" w:sz="4" w:space="0" w:color="auto"/>
            </w:tcBorders>
            <w:noWrap/>
            <w:vAlign w:val="center"/>
          </w:tcPr>
          <w:p w14:paraId="05D374B7"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1C3145E8"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29539C51"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07A08A66"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1507" w:type="dxa"/>
            <w:tcBorders>
              <w:top w:val="single" w:sz="4" w:space="0" w:color="auto"/>
            </w:tcBorders>
            <w:noWrap/>
            <w:vAlign w:val="center"/>
          </w:tcPr>
          <w:p w14:paraId="34EA1CA9"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r>
      <w:tr w:rsidR="00B17EF6" w:rsidRPr="00057F2F" w14:paraId="79DEA727" w14:textId="77777777" w:rsidTr="00B92799">
        <w:trPr>
          <w:trHeight w:val="255"/>
          <w:jc w:val="center"/>
        </w:trPr>
        <w:tc>
          <w:tcPr>
            <w:tcW w:w="3720" w:type="dxa"/>
            <w:noWrap/>
            <w:vAlign w:val="bottom"/>
            <w:hideMark/>
          </w:tcPr>
          <w:p w14:paraId="64C89663"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Downgrading from upstream</w:t>
            </w:r>
          </w:p>
        </w:tc>
        <w:tc>
          <w:tcPr>
            <w:tcW w:w="960" w:type="dxa"/>
            <w:noWrap/>
            <w:vAlign w:val="center"/>
            <w:hideMark/>
          </w:tcPr>
          <w:p w14:paraId="7E3E3F2F"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13%</w:t>
            </w:r>
          </w:p>
        </w:tc>
        <w:tc>
          <w:tcPr>
            <w:tcW w:w="960" w:type="dxa"/>
            <w:noWrap/>
            <w:vAlign w:val="center"/>
            <w:hideMark/>
          </w:tcPr>
          <w:p w14:paraId="350AEB81"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16%</w:t>
            </w:r>
          </w:p>
        </w:tc>
        <w:tc>
          <w:tcPr>
            <w:tcW w:w="960" w:type="dxa"/>
            <w:noWrap/>
            <w:vAlign w:val="center"/>
            <w:hideMark/>
          </w:tcPr>
          <w:p w14:paraId="7EF99065"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20%</w:t>
            </w:r>
          </w:p>
        </w:tc>
        <w:tc>
          <w:tcPr>
            <w:tcW w:w="960" w:type="dxa"/>
            <w:noWrap/>
            <w:vAlign w:val="center"/>
            <w:hideMark/>
          </w:tcPr>
          <w:p w14:paraId="47257F68"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w:t>
            </w:r>
          </w:p>
        </w:tc>
        <w:tc>
          <w:tcPr>
            <w:tcW w:w="1507" w:type="dxa"/>
            <w:noWrap/>
            <w:vAlign w:val="center"/>
            <w:hideMark/>
          </w:tcPr>
          <w:p w14:paraId="0495976B"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15%</w:t>
            </w:r>
          </w:p>
        </w:tc>
      </w:tr>
      <w:tr w:rsidR="00B17EF6" w:rsidRPr="00057F2F" w14:paraId="2459C6C3" w14:textId="77777777" w:rsidTr="00B92799">
        <w:trPr>
          <w:trHeight w:val="255"/>
          <w:jc w:val="center"/>
        </w:trPr>
        <w:tc>
          <w:tcPr>
            <w:tcW w:w="3720" w:type="dxa"/>
            <w:tcBorders>
              <w:bottom w:val="single" w:sz="4" w:space="0" w:color="auto"/>
            </w:tcBorders>
            <w:noWrap/>
            <w:vAlign w:val="bottom"/>
            <w:hideMark/>
          </w:tcPr>
          <w:p w14:paraId="6DBF87B7"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Downgrading from downstream</w:t>
            </w:r>
          </w:p>
        </w:tc>
        <w:tc>
          <w:tcPr>
            <w:tcW w:w="960" w:type="dxa"/>
            <w:tcBorders>
              <w:bottom w:val="single" w:sz="4" w:space="0" w:color="auto"/>
            </w:tcBorders>
            <w:noWrap/>
            <w:vAlign w:val="center"/>
            <w:hideMark/>
          </w:tcPr>
          <w:p w14:paraId="67C65DC1"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14%</w:t>
            </w:r>
          </w:p>
        </w:tc>
        <w:tc>
          <w:tcPr>
            <w:tcW w:w="960" w:type="dxa"/>
            <w:tcBorders>
              <w:bottom w:val="single" w:sz="4" w:space="0" w:color="auto"/>
            </w:tcBorders>
            <w:noWrap/>
            <w:vAlign w:val="center"/>
            <w:hideMark/>
          </w:tcPr>
          <w:p w14:paraId="4007B311"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11%</w:t>
            </w:r>
          </w:p>
        </w:tc>
        <w:tc>
          <w:tcPr>
            <w:tcW w:w="960" w:type="dxa"/>
            <w:tcBorders>
              <w:bottom w:val="single" w:sz="4" w:space="0" w:color="auto"/>
            </w:tcBorders>
            <w:noWrap/>
            <w:vAlign w:val="center"/>
            <w:hideMark/>
          </w:tcPr>
          <w:p w14:paraId="026D79FB"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14%</w:t>
            </w:r>
          </w:p>
        </w:tc>
        <w:tc>
          <w:tcPr>
            <w:tcW w:w="960" w:type="dxa"/>
            <w:tcBorders>
              <w:bottom w:val="single" w:sz="4" w:space="0" w:color="auto"/>
            </w:tcBorders>
            <w:noWrap/>
            <w:vAlign w:val="center"/>
            <w:hideMark/>
          </w:tcPr>
          <w:p w14:paraId="3CED4DC1"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12%</w:t>
            </w:r>
          </w:p>
        </w:tc>
        <w:tc>
          <w:tcPr>
            <w:tcW w:w="1507" w:type="dxa"/>
            <w:tcBorders>
              <w:bottom w:val="single" w:sz="4" w:space="0" w:color="auto"/>
            </w:tcBorders>
            <w:noWrap/>
            <w:vAlign w:val="center"/>
            <w:hideMark/>
          </w:tcPr>
          <w:p w14:paraId="76CCA819"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12%</w:t>
            </w:r>
          </w:p>
        </w:tc>
      </w:tr>
      <w:tr w:rsidR="00B17EF6" w:rsidRPr="00057F2F" w14:paraId="51DF5315" w14:textId="77777777" w:rsidTr="00B92799">
        <w:trPr>
          <w:trHeight w:val="255"/>
          <w:jc w:val="center"/>
        </w:trPr>
        <w:tc>
          <w:tcPr>
            <w:tcW w:w="3720" w:type="dxa"/>
            <w:tcBorders>
              <w:top w:val="single" w:sz="4" w:space="0" w:color="auto"/>
            </w:tcBorders>
            <w:noWrap/>
            <w:vAlign w:val="bottom"/>
          </w:tcPr>
          <w:p w14:paraId="232AEE19" w14:textId="77777777" w:rsidR="00B17EF6" w:rsidRPr="00057F2F" w:rsidRDefault="00B17EF6" w:rsidP="00D61B6B">
            <w:pPr>
              <w:spacing w:after="0" w:line="240" w:lineRule="auto"/>
              <w:rPr>
                <w:rFonts w:ascii="Times New Roman" w:eastAsia="Times New Roman" w:hAnsi="Times New Roman" w:cs="Times New Roman"/>
                <w:b/>
                <w:bCs/>
                <w:i/>
                <w:iCs/>
                <w:sz w:val="20"/>
                <w:szCs w:val="20"/>
                <w:lang w:val="en-GB" w:eastAsia="it-IT"/>
              </w:rPr>
            </w:pPr>
            <w:r w:rsidRPr="00057F2F">
              <w:rPr>
                <w:rFonts w:ascii="Times New Roman" w:eastAsia="Times New Roman" w:hAnsi="Times New Roman" w:cs="Times New Roman"/>
                <w:b/>
                <w:bCs/>
                <w:i/>
                <w:iCs/>
                <w:sz w:val="20"/>
                <w:szCs w:val="20"/>
                <w:lang w:val="en-GB" w:eastAsia="it-IT"/>
              </w:rPr>
              <w:t>From/to upstream-downstream</w:t>
            </w:r>
          </w:p>
        </w:tc>
        <w:tc>
          <w:tcPr>
            <w:tcW w:w="960" w:type="dxa"/>
            <w:tcBorders>
              <w:top w:val="single" w:sz="4" w:space="0" w:color="auto"/>
            </w:tcBorders>
            <w:noWrap/>
            <w:vAlign w:val="center"/>
          </w:tcPr>
          <w:p w14:paraId="40FD04F5"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45B3F69B"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24087CB7"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960" w:type="dxa"/>
            <w:tcBorders>
              <w:top w:val="single" w:sz="4" w:space="0" w:color="auto"/>
            </w:tcBorders>
            <w:noWrap/>
            <w:vAlign w:val="center"/>
          </w:tcPr>
          <w:p w14:paraId="74A53B3D"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c>
          <w:tcPr>
            <w:tcW w:w="1507" w:type="dxa"/>
            <w:tcBorders>
              <w:top w:val="single" w:sz="4" w:space="0" w:color="auto"/>
            </w:tcBorders>
            <w:noWrap/>
            <w:vAlign w:val="center"/>
          </w:tcPr>
          <w:p w14:paraId="01DE8D4C" w14:textId="77777777" w:rsidR="00B17EF6" w:rsidRPr="00057F2F" w:rsidRDefault="00B17EF6" w:rsidP="00B92799">
            <w:pPr>
              <w:spacing w:after="0" w:line="240" w:lineRule="auto"/>
              <w:jc w:val="center"/>
              <w:rPr>
                <w:rFonts w:ascii="Times New Roman" w:eastAsia="Times New Roman" w:hAnsi="Times New Roman" w:cs="Times New Roman"/>
                <w:b/>
                <w:bCs/>
                <w:i/>
                <w:iCs/>
                <w:sz w:val="20"/>
                <w:szCs w:val="20"/>
                <w:lang w:val="en-GB" w:eastAsia="it-IT"/>
              </w:rPr>
            </w:pPr>
          </w:p>
        </w:tc>
      </w:tr>
      <w:tr w:rsidR="00B17EF6" w:rsidRPr="00057F2F" w14:paraId="759A9E57" w14:textId="77777777" w:rsidTr="00B92799">
        <w:trPr>
          <w:trHeight w:val="255"/>
          <w:jc w:val="center"/>
        </w:trPr>
        <w:tc>
          <w:tcPr>
            <w:tcW w:w="3720" w:type="dxa"/>
            <w:noWrap/>
            <w:vAlign w:val="bottom"/>
            <w:hideMark/>
          </w:tcPr>
          <w:p w14:paraId="7F83287D"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From upstream to downstream</w:t>
            </w:r>
          </w:p>
        </w:tc>
        <w:tc>
          <w:tcPr>
            <w:tcW w:w="960" w:type="dxa"/>
            <w:noWrap/>
            <w:vAlign w:val="center"/>
            <w:hideMark/>
          </w:tcPr>
          <w:p w14:paraId="65B54EC6"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14%</w:t>
            </w:r>
          </w:p>
        </w:tc>
        <w:tc>
          <w:tcPr>
            <w:tcW w:w="960" w:type="dxa"/>
            <w:noWrap/>
            <w:vAlign w:val="center"/>
            <w:hideMark/>
          </w:tcPr>
          <w:p w14:paraId="779BFC6F"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14%</w:t>
            </w:r>
          </w:p>
        </w:tc>
        <w:tc>
          <w:tcPr>
            <w:tcW w:w="960" w:type="dxa"/>
            <w:noWrap/>
            <w:vAlign w:val="center"/>
            <w:hideMark/>
          </w:tcPr>
          <w:p w14:paraId="36302DDA"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14%</w:t>
            </w:r>
          </w:p>
        </w:tc>
        <w:tc>
          <w:tcPr>
            <w:tcW w:w="960" w:type="dxa"/>
            <w:noWrap/>
            <w:vAlign w:val="center"/>
            <w:hideMark/>
          </w:tcPr>
          <w:p w14:paraId="715BE407"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8%</w:t>
            </w:r>
          </w:p>
        </w:tc>
        <w:tc>
          <w:tcPr>
            <w:tcW w:w="1507" w:type="dxa"/>
            <w:noWrap/>
            <w:vAlign w:val="center"/>
            <w:hideMark/>
          </w:tcPr>
          <w:p w14:paraId="6D47C698"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12%</w:t>
            </w:r>
          </w:p>
        </w:tc>
      </w:tr>
      <w:tr w:rsidR="00B17EF6" w:rsidRPr="00057F2F" w14:paraId="343C5A03" w14:textId="77777777" w:rsidTr="00B92799">
        <w:trPr>
          <w:trHeight w:val="255"/>
          <w:jc w:val="center"/>
        </w:trPr>
        <w:tc>
          <w:tcPr>
            <w:tcW w:w="3720" w:type="dxa"/>
            <w:tcBorders>
              <w:bottom w:val="single" w:sz="4" w:space="0" w:color="auto"/>
            </w:tcBorders>
            <w:noWrap/>
            <w:vAlign w:val="bottom"/>
            <w:hideMark/>
          </w:tcPr>
          <w:p w14:paraId="47B969D0" w14:textId="77777777" w:rsidR="00B17EF6" w:rsidRPr="00057F2F" w:rsidRDefault="00B17EF6" w:rsidP="00D61B6B">
            <w:pPr>
              <w:spacing w:after="0" w:line="240" w:lineRule="auto"/>
              <w:rPr>
                <w:rFonts w:ascii="Times New Roman" w:eastAsia="Times New Roman" w:hAnsi="Times New Roman" w:cs="Times New Roman"/>
                <w:sz w:val="20"/>
                <w:szCs w:val="20"/>
                <w:lang w:val="en-GB" w:eastAsia="it-IT"/>
              </w:rPr>
            </w:pPr>
            <w:r w:rsidRPr="00057F2F">
              <w:rPr>
                <w:rFonts w:ascii="Times New Roman" w:eastAsia="Times New Roman" w:hAnsi="Times New Roman" w:cs="Times New Roman"/>
                <w:sz w:val="20"/>
                <w:szCs w:val="20"/>
                <w:lang w:val="en-GB" w:eastAsia="it-IT"/>
              </w:rPr>
              <w:t>From downstream to upstream</w:t>
            </w:r>
          </w:p>
        </w:tc>
        <w:tc>
          <w:tcPr>
            <w:tcW w:w="960" w:type="dxa"/>
            <w:tcBorders>
              <w:bottom w:val="single" w:sz="4" w:space="0" w:color="auto"/>
            </w:tcBorders>
            <w:noWrap/>
            <w:vAlign w:val="center"/>
            <w:hideMark/>
          </w:tcPr>
          <w:p w14:paraId="2F1D344B" w14:textId="77777777" w:rsidR="00B17EF6" w:rsidRPr="00057F2F" w:rsidRDefault="00B17EF6" w:rsidP="00B92799">
            <w:pPr>
              <w:spacing w:after="0" w:line="240" w:lineRule="auto"/>
              <w:jc w:val="center"/>
              <w:rPr>
                <w:rFonts w:ascii="Times New Roman" w:eastAsia="Times New Roman" w:hAnsi="Times New Roman" w:cs="Times New Roman"/>
                <w:i/>
                <w:iCs/>
                <w:sz w:val="20"/>
                <w:szCs w:val="20"/>
                <w:lang w:val="en-GB" w:eastAsia="it-IT"/>
              </w:rPr>
            </w:pPr>
            <w:r w:rsidRPr="00057F2F">
              <w:rPr>
                <w:rFonts w:ascii="Times New Roman" w:hAnsi="Times New Roman" w:cs="Times New Roman"/>
                <w:sz w:val="20"/>
                <w:szCs w:val="20"/>
                <w:lang w:val="en-GB"/>
              </w:rPr>
              <w:t>16%</w:t>
            </w:r>
          </w:p>
        </w:tc>
        <w:tc>
          <w:tcPr>
            <w:tcW w:w="960" w:type="dxa"/>
            <w:tcBorders>
              <w:bottom w:val="single" w:sz="4" w:space="0" w:color="auto"/>
            </w:tcBorders>
            <w:noWrap/>
            <w:vAlign w:val="center"/>
            <w:hideMark/>
          </w:tcPr>
          <w:p w14:paraId="0E6BF206"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13%</w:t>
            </w:r>
          </w:p>
        </w:tc>
        <w:tc>
          <w:tcPr>
            <w:tcW w:w="960" w:type="dxa"/>
            <w:tcBorders>
              <w:bottom w:val="single" w:sz="4" w:space="0" w:color="auto"/>
            </w:tcBorders>
            <w:noWrap/>
            <w:vAlign w:val="center"/>
            <w:hideMark/>
          </w:tcPr>
          <w:p w14:paraId="5E307C50"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18%</w:t>
            </w:r>
          </w:p>
        </w:tc>
        <w:tc>
          <w:tcPr>
            <w:tcW w:w="960" w:type="dxa"/>
            <w:tcBorders>
              <w:bottom w:val="single" w:sz="4" w:space="0" w:color="auto"/>
            </w:tcBorders>
            <w:noWrap/>
            <w:vAlign w:val="center"/>
            <w:hideMark/>
          </w:tcPr>
          <w:p w14:paraId="051DE262"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15%</w:t>
            </w:r>
          </w:p>
        </w:tc>
        <w:tc>
          <w:tcPr>
            <w:tcW w:w="1507" w:type="dxa"/>
            <w:tcBorders>
              <w:bottom w:val="single" w:sz="4" w:space="0" w:color="auto"/>
            </w:tcBorders>
            <w:noWrap/>
            <w:vAlign w:val="center"/>
            <w:hideMark/>
          </w:tcPr>
          <w:p w14:paraId="66826A7E" w14:textId="77777777" w:rsidR="00B17EF6" w:rsidRPr="00057F2F" w:rsidRDefault="00B17EF6" w:rsidP="00B92799">
            <w:pPr>
              <w:spacing w:after="0" w:line="240" w:lineRule="auto"/>
              <w:jc w:val="center"/>
              <w:rPr>
                <w:rFonts w:ascii="Times New Roman" w:eastAsia="Times New Roman" w:hAnsi="Times New Roman" w:cs="Times New Roman"/>
                <w:sz w:val="20"/>
                <w:szCs w:val="20"/>
                <w:lang w:val="en-GB" w:eastAsia="it-IT"/>
              </w:rPr>
            </w:pPr>
            <w:r w:rsidRPr="00057F2F">
              <w:rPr>
                <w:rFonts w:ascii="Times New Roman" w:hAnsi="Times New Roman" w:cs="Times New Roman"/>
                <w:sz w:val="20"/>
                <w:szCs w:val="20"/>
                <w:lang w:val="en-GB"/>
              </w:rPr>
              <w:t>15%</w:t>
            </w:r>
          </w:p>
        </w:tc>
      </w:tr>
    </w:tbl>
    <w:p w14:paraId="0A55F0B2" w14:textId="77CAAD1A" w:rsidR="00B17EF6" w:rsidRPr="00057F2F" w:rsidRDefault="00B17EF6" w:rsidP="00B17EF6">
      <w:pPr>
        <w:spacing w:after="0" w:line="240" w:lineRule="auto"/>
        <w:ind w:left="284" w:right="284"/>
        <w:jc w:val="both"/>
        <w:rPr>
          <w:rFonts w:ascii="Times New Roman" w:hAnsi="Times New Roman" w:cs="Times New Roman"/>
          <w:sz w:val="18"/>
          <w:szCs w:val="18"/>
          <w:lang w:val="en-GB"/>
        </w:rPr>
      </w:pPr>
      <w:r w:rsidRPr="00057F2F">
        <w:rPr>
          <w:rFonts w:ascii="Times New Roman" w:hAnsi="Times New Roman" w:cs="Times New Roman"/>
          <w:sz w:val="18"/>
          <w:szCs w:val="18"/>
          <w:lang w:val="en-GB"/>
        </w:rPr>
        <w:t>Notes: The table reports the share of NUTS-2 regions in each functional trajectory group under the Baseline periodization (2003–2008 / 2009–2012 / 2013–2018) and three alternative temporal splits: (A) earlier crisis start (2003–2007 / 2008–2012 / 2013–2018), (B) later crisis start (2003–2009 / 2010–2012 / 2013–2018), and (C) longer post-crisis window (2003–2008 / 2009–2014 / 2015–2018). The last column reports the unweighted average across alternatives A–C. Trajectory groups are defined as in Table 4.</w:t>
      </w:r>
      <w:r w:rsidR="00667680" w:rsidRPr="00057F2F">
        <w:rPr>
          <w:rFonts w:ascii="Times New Roman" w:hAnsi="Times New Roman" w:cs="Times New Roman"/>
          <w:sz w:val="18"/>
          <w:szCs w:val="18"/>
          <w:lang w:val="en-GB"/>
        </w:rPr>
        <w:t xml:space="preserve"> Source: authors’ elaboration based on </w:t>
      </w:r>
      <w:proofErr w:type="spellStart"/>
      <w:r w:rsidR="00667680" w:rsidRPr="00057F2F">
        <w:rPr>
          <w:rFonts w:ascii="Times New Roman" w:hAnsi="Times New Roman" w:cs="Times New Roman"/>
          <w:sz w:val="18"/>
          <w:szCs w:val="18"/>
          <w:lang w:val="en-GB"/>
        </w:rPr>
        <w:t>fDi</w:t>
      </w:r>
      <w:proofErr w:type="spellEnd"/>
      <w:r w:rsidR="00667680" w:rsidRPr="00057F2F">
        <w:rPr>
          <w:rFonts w:ascii="Times New Roman" w:hAnsi="Times New Roman" w:cs="Times New Roman"/>
          <w:sz w:val="18"/>
          <w:szCs w:val="18"/>
          <w:lang w:val="en-GB"/>
        </w:rPr>
        <w:t xml:space="preserve"> Markets data.</w:t>
      </w:r>
    </w:p>
    <w:p w14:paraId="1DFF9AB5" w14:textId="77777777" w:rsidR="00B17EF6" w:rsidRPr="00057F2F" w:rsidRDefault="00B17EF6" w:rsidP="00B17EF6">
      <w:pPr>
        <w:spacing w:after="0"/>
        <w:jc w:val="both"/>
        <w:rPr>
          <w:rFonts w:ascii="Times New Roman" w:hAnsi="Times New Roman" w:cs="Times New Roman"/>
          <w:sz w:val="20"/>
          <w:szCs w:val="20"/>
          <w:lang w:val="en-GB"/>
        </w:rPr>
      </w:pPr>
    </w:p>
    <w:p w14:paraId="71DED483" w14:textId="77777777" w:rsidR="00B17EF6" w:rsidRPr="00057F2F" w:rsidRDefault="00B17EF6" w:rsidP="00B17EF6">
      <w:pPr>
        <w:spacing w:after="0"/>
        <w:jc w:val="both"/>
        <w:rPr>
          <w:rFonts w:ascii="Times New Roman" w:hAnsi="Times New Roman" w:cs="Times New Roman"/>
          <w:sz w:val="20"/>
          <w:szCs w:val="20"/>
          <w:lang w:val="en-GB"/>
        </w:rPr>
      </w:pPr>
    </w:p>
    <w:p w14:paraId="2C32A79F" w14:textId="78F87FBE" w:rsidR="00B92799" w:rsidRPr="00057F2F" w:rsidRDefault="00B17EF6" w:rsidP="00B17EF6">
      <w:pPr>
        <w:spacing w:after="0"/>
        <w:jc w:val="both"/>
        <w:rPr>
          <w:rFonts w:ascii="Times New Roman" w:hAnsi="Times New Roman" w:cs="Times New Roman"/>
          <w:lang w:val="en-GB"/>
        </w:rPr>
      </w:pPr>
      <w:r w:rsidRPr="00057F2F">
        <w:rPr>
          <w:rFonts w:ascii="Times New Roman" w:hAnsi="Times New Roman" w:cs="Times New Roman"/>
          <w:b/>
          <w:bCs/>
          <w:lang w:val="en-GB"/>
        </w:rPr>
        <w:t xml:space="preserve">Table </w:t>
      </w:r>
      <w:r w:rsidR="001E3BB9" w:rsidRPr="00057F2F">
        <w:rPr>
          <w:rFonts w:ascii="Times New Roman" w:hAnsi="Times New Roman" w:cs="Times New Roman"/>
          <w:b/>
          <w:bCs/>
          <w:lang w:val="en-GB"/>
        </w:rPr>
        <w:t>C</w:t>
      </w:r>
      <w:r w:rsidRPr="00057F2F">
        <w:rPr>
          <w:rFonts w:ascii="Times New Roman" w:hAnsi="Times New Roman" w:cs="Times New Roman"/>
          <w:b/>
          <w:bCs/>
          <w:lang w:val="en-GB"/>
        </w:rPr>
        <w:t>.1</w:t>
      </w:r>
      <w:r w:rsidRPr="00057F2F">
        <w:rPr>
          <w:rFonts w:ascii="Times New Roman" w:hAnsi="Times New Roman" w:cs="Times New Roman"/>
          <w:lang w:val="en-GB"/>
        </w:rPr>
        <w:t xml:space="preserve"> replicates the transition matrix (Table 4) under </w:t>
      </w:r>
      <w:r w:rsidR="00B92799" w:rsidRPr="00057F2F">
        <w:rPr>
          <w:rFonts w:ascii="Times New Roman" w:hAnsi="Times New Roman" w:cs="Times New Roman"/>
          <w:lang w:val="en-GB"/>
        </w:rPr>
        <w:t xml:space="preserve">the baseline and </w:t>
      </w:r>
      <w:r w:rsidRPr="00057F2F">
        <w:rPr>
          <w:rFonts w:ascii="Times New Roman" w:hAnsi="Times New Roman" w:cs="Times New Roman"/>
          <w:lang w:val="en-GB"/>
        </w:rPr>
        <w:t xml:space="preserve">three alternative temporal splits: </w:t>
      </w:r>
    </w:p>
    <w:p w14:paraId="540C429B" w14:textId="5141F534" w:rsidR="00B92799" w:rsidRPr="00057F2F" w:rsidRDefault="00B92799" w:rsidP="00B17EF6">
      <w:pPr>
        <w:pStyle w:val="Paragrafoelenco"/>
        <w:numPr>
          <w:ilvl w:val="0"/>
          <w:numId w:val="2"/>
        </w:numPr>
        <w:spacing w:after="0"/>
        <w:jc w:val="both"/>
        <w:rPr>
          <w:rFonts w:ascii="Times New Roman" w:hAnsi="Times New Roman" w:cs="Times New Roman"/>
          <w:sz w:val="22"/>
          <w:szCs w:val="22"/>
          <w:lang w:val="en-GB"/>
        </w:rPr>
      </w:pPr>
      <w:r w:rsidRPr="00057F2F">
        <w:rPr>
          <w:rFonts w:ascii="Times New Roman" w:hAnsi="Times New Roman" w:cs="Times New Roman"/>
          <w:sz w:val="22"/>
          <w:szCs w:val="22"/>
          <w:lang w:val="en-GB"/>
        </w:rPr>
        <w:t>Baseline (2003–2008 / 2009–2012 / 2013–2018)</w:t>
      </w:r>
    </w:p>
    <w:p w14:paraId="7A96E66F" w14:textId="7049A357" w:rsidR="00B92799" w:rsidRPr="00057F2F" w:rsidRDefault="00B92799" w:rsidP="00B17EF6">
      <w:pPr>
        <w:pStyle w:val="Paragrafoelenco"/>
        <w:numPr>
          <w:ilvl w:val="0"/>
          <w:numId w:val="2"/>
        </w:numPr>
        <w:spacing w:after="0"/>
        <w:jc w:val="both"/>
        <w:rPr>
          <w:rFonts w:ascii="Times New Roman" w:hAnsi="Times New Roman" w:cs="Times New Roman"/>
          <w:sz w:val="22"/>
          <w:szCs w:val="22"/>
          <w:lang w:val="en-GB"/>
        </w:rPr>
      </w:pPr>
      <w:r w:rsidRPr="00057F2F">
        <w:rPr>
          <w:rFonts w:ascii="Times New Roman" w:hAnsi="Times New Roman" w:cs="Times New Roman"/>
          <w:sz w:val="22"/>
          <w:szCs w:val="22"/>
          <w:lang w:val="en-GB"/>
        </w:rPr>
        <w:t xml:space="preserve">(A) </w:t>
      </w:r>
      <w:r w:rsidR="00B17EF6" w:rsidRPr="00057F2F">
        <w:rPr>
          <w:rFonts w:ascii="Times New Roman" w:hAnsi="Times New Roman" w:cs="Times New Roman"/>
          <w:sz w:val="22"/>
          <w:szCs w:val="22"/>
          <w:lang w:val="en-GB"/>
        </w:rPr>
        <w:t>an earlier crisis start (2003–2007 / 2008–2012 / 2013–2018)</w:t>
      </w:r>
    </w:p>
    <w:p w14:paraId="006B2273" w14:textId="77777777" w:rsidR="00B92799" w:rsidRPr="00057F2F" w:rsidRDefault="00B17EF6" w:rsidP="00B17EF6">
      <w:pPr>
        <w:pStyle w:val="Paragrafoelenco"/>
        <w:numPr>
          <w:ilvl w:val="0"/>
          <w:numId w:val="2"/>
        </w:numPr>
        <w:spacing w:after="0"/>
        <w:jc w:val="both"/>
        <w:rPr>
          <w:rFonts w:ascii="Times New Roman" w:hAnsi="Times New Roman" w:cs="Times New Roman"/>
          <w:sz w:val="22"/>
          <w:szCs w:val="22"/>
          <w:lang w:val="en-GB"/>
        </w:rPr>
      </w:pPr>
      <w:r w:rsidRPr="00057F2F">
        <w:rPr>
          <w:rFonts w:ascii="Times New Roman" w:hAnsi="Times New Roman" w:cs="Times New Roman"/>
          <w:sz w:val="22"/>
          <w:szCs w:val="22"/>
          <w:lang w:val="en-GB"/>
        </w:rPr>
        <w:t>(B) a later crisis start (2003–2009 / 2010–2012 / 2013–2018)</w:t>
      </w:r>
    </w:p>
    <w:p w14:paraId="7A29A1B6" w14:textId="4DD86F84" w:rsidR="00B92799" w:rsidRPr="00057F2F" w:rsidRDefault="00B17EF6" w:rsidP="00B17EF6">
      <w:pPr>
        <w:pStyle w:val="Paragrafoelenco"/>
        <w:numPr>
          <w:ilvl w:val="0"/>
          <w:numId w:val="2"/>
        </w:numPr>
        <w:spacing w:after="0"/>
        <w:jc w:val="both"/>
        <w:rPr>
          <w:rFonts w:ascii="Times New Roman" w:hAnsi="Times New Roman" w:cs="Times New Roman"/>
          <w:sz w:val="22"/>
          <w:szCs w:val="22"/>
          <w:lang w:val="en-GB"/>
        </w:rPr>
      </w:pPr>
      <w:r w:rsidRPr="00057F2F">
        <w:rPr>
          <w:rFonts w:ascii="Times New Roman" w:hAnsi="Times New Roman" w:cs="Times New Roman"/>
          <w:sz w:val="22"/>
          <w:szCs w:val="22"/>
          <w:lang w:val="en-GB"/>
        </w:rPr>
        <w:t>(C) a longer post-crisis window (2003–2008 / 2009–2014 / 2015–2018)</w:t>
      </w:r>
    </w:p>
    <w:p w14:paraId="39268D0D" w14:textId="77777777" w:rsidR="00B92799" w:rsidRPr="00057F2F" w:rsidRDefault="00B92799" w:rsidP="00B17EF6">
      <w:pPr>
        <w:spacing w:after="0"/>
        <w:jc w:val="both"/>
        <w:rPr>
          <w:rFonts w:ascii="Times New Roman" w:hAnsi="Times New Roman" w:cs="Times New Roman"/>
          <w:lang w:val="en-GB"/>
        </w:rPr>
      </w:pPr>
    </w:p>
    <w:p w14:paraId="4EDFF021" w14:textId="6227ECBF" w:rsidR="00F93DF9" w:rsidRPr="00057F2F" w:rsidRDefault="00F93DF9" w:rsidP="00B17EF6">
      <w:pPr>
        <w:spacing w:after="0"/>
        <w:jc w:val="both"/>
        <w:rPr>
          <w:rFonts w:ascii="Times New Roman" w:hAnsi="Times New Roman" w:cs="Times New Roman"/>
          <w:lang w:val="en-GB"/>
        </w:rPr>
      </w:pPr>
      <w:r w:rsidRPr="00057F2F">
        <w:rPr>
          <w:rFonts w:ascii="Times New Roman" w:hAnsi="Times New Roman" w:cs="Times New Roman"/>
          <w:lang w:val="en-GB"/>
        </w:rPr>
        <w:t xml:space="preserve">The alternative </w:t>
      </w:r>
      <w:proofErr w:type="spellStart"/>
      <w:r w:rsidRPr="00057F2F">
        <w:rPr>
          <w:rFonts w:ascii="Times New Roman" w:hAnsi="Times New Roman" w:cs="Times New Roman"/>
          <w:lang w:val="en-GB"/>
        </w:rPr>
        <w:t>periodi</w:t>
      </w:r>
      <w:r w:rsidR="00F26540" w:rsidRPr="00057F2F">
        <w:rPr>
          <w:rFonts w:ascii="Times New Roman" w:hAnsi="Times New Roman" w:cs="Times New Roman"/>
          <w:lang w:val="en-GB"/>
        </w:rPr>
        <w:t>s</w:t>
      </w:r>
      <w:r w:rsidRPr="00057F2F">
        <w:rPr>
          <w:rFonts w:ascii="Times New Roman" w:hAnsi="Times New Roman" w:cs="Times New Roman"/>
          <w:lang w:val="en-GB"/>
        </w:rPr>
        <w:t>ations</w:t>
      </w:r>
      <w:proofErr w:type="spellEnd"/>
      <w:r w:rsidRPr="00057F2F">
        <w:rPr>
          <w:rFonts w:ascii="Times New Roman" w:hAnsi="Times New Roman" w:cs="Times New Roman"/>
          <w:lang w:val="en-GB"/>
        </w:rPr>
        <w:t xml:space="preserve"> yield highly consistent results. Persistence rates remain largely unchanged relative to the baseline specification: on average across alternatives A–C, 73% of upstream-specialized regions remain upstream (baseline 73%), 87% of production-specialized regions remain in production (baseline 88%), and 73% of downstream-specialized regions remain downstream (baseline 70%). Similarly, the shares of regions experiencing upgrading or downgrading display only minor variation across specifications. Overall, the evidence indicates that the observed transition patterns are highly robust and not sensitive to the specific choice of period boundaries.</w:t>
      </w:r>
    </w:p>
    <w:p w14:paraId="68F0ACDB" w14:textId="77777777" w:rsidR="00F93DF9" w:rsidRPr="00057F2F" w:rsidRDefault="00F93DF9" w:rsidP="00B17EF6">
      <w:pPr>
        <w:spacing w:after="0"/>
        <w:jc w:val="both"/>
        <w:rPr>
          <w:rFonts w:ascii="Times New Roman" w:hAnsi="Times New Roman" w:cs="Times New Roman"/>
          <w:lang w:val="en-GB"/>
        </w:rPr>
      </w:pPr>
    </w:p>
    <w:p w14:paraId="637B590B" w14:textId="77777777" w:rsidR="00B17EF6" w:rsidRPr="00057F2F" w:rsidRDefault="00B17EF6" w:rsidP="00B17EF6">
      <w:pPr>
        <w:rPr>
          <w:rFonts w:ascii="Times New Roman" w:hAnsi="Times New Roman" w:cs="Times New Roman"/>
          <w:color w:val="0070C0"/>
          <w:lang w:val="en-GB"/>
        </w:rPr>
      </w:pPr>
      <w:r w:rsidRPr="00057F2F">
        <w:rPr>
          <w:rFonts w:ascii="Times New Roman" w:hAnsi="Times New Roman" w:cs="Times New Roman"/>
          <w:color w:val="0070C0"/>
          <w:lang w:val="en-GB"/>
        </w:rPr>
        <w:br w:type="page"/>
      </w:r>
    </w:p>
    <w:p w14:paraId="0E13D6DD" w14:textId="0D8CA20D" w:rsidR="00B17EF6" w:rsidRPr="00057F2F" w:rsidRDefault="00B17EF6" w:rsidP="001E3BB9">
      <w:pPr>
        <w:pStyle w:val="Titolo3"/>
      </w:pPr>
      <w:r w:rsidRPr="00057F2F">
        <w:rPr>
          <w:b/>
          <w:bCs/>
        </w:rPr>
        <w:lastRenderedPageBreak/>
        <w:t xml:space="preserve">Figure </w:t>
      </w:r>
      <w:r w:rsidR="001E3BB9" w:rsidRPr="00057F2F">
        <w:rPr>
          <w:b/>
          <w:bCs/>
        </w:rPr>
        <w:t>C</w:t>
      </w:r>
      <w:r w:rsidRPr="00057F2F">
        <w:rPr>
          <w:b/>
          <w:bCs/>
        </w:rPr>
        <w:t>.1.</w:t>
      </w:r>
      <w:r w:rsidRPr="00057F2F">
        <w:t xml:space="preserve"> Annual RFS trends and moving averages</w:t>
      </w:r>
    </w:p>
    <w:p w14:paraId="2A2683ED" w14:textId="77777777" w:rsidR="00B17EF6" w:rsidRPr="00057F2F" w:rsidRDefault="00B17EF6" w:rsidP="00B17EF6">
      <w:pPr>
        <w:spacing w:after="0" w:line="240" w:lineRule="auto"/>
        <w:jc w:val="center"/>
        <w:rPr>
          <w:rFonts w:ascii="Times New Roman" w:hAnsi="Times New Roman" w:cs="Times New Roman"/>
          <w:color w:val="0070C0"/>
          <w:lang w:val="en-GB"/>
        </w:rPr>
      </w:pPr>
      <w:r w:rsidRPr="00057F2F">
        <w:rPr>
          <w:rFonts w:ascii="Times New Roman" w:hAnsi="Times New Roman" w:cs="Times New Roman"/>
          <w:noProof/>
          <w:lang w:val="en-GB"/>
        </w:rPr>
        <w:drawing>
          <wp:inline distT="0" distB="0" distL="0" distR="0" wp14:anchorId="00D04C51" wp14:editId="520C6976">
            <wp:extent cx="4332767" cy="2888361"/>
            <wp:effectExtent l="0" t="0" r="0" b="7620"/>
            <wp:docPr id="1668033328"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40186" cy="2893307"/>
                    </a:xfrm>
                    <a:prstGeom prst="rect">
                      <a:avLst/>
                    </a:prstGeom>
                    <a:noFill/>
                    <a:ln>
                      <a:noFill/>
                    </a:ln>
                  </pic:spPr>
                </pic:pic>
              </a:graphicData>
            </a:graphic>
          </wp:inline>
        </w:drawing>
      </w:r>
    </w:p>
    <w:p w14:paraId="68460941" w14:textId="18CDE179" w:rsidR="00B17EF6" w:rsidRPr="00057F2F" w:rsidRDefault="004C764D" w:rsidP="004C764D">
      <w:pPr>
        <w:spacing w:before="120" w:after="360" w:line="240" w:lineRule="auto"/>
        <w:jc w:val="center"/>
        <w:rPr>
          <w:rFonts w:ascii="Times New Roman" w:hAnsi="Times New Roman" w:cs="Times New Roman"/>
          <w:color w:val="0070C0"/>
          <w:lang w:val="en-GB"/>
        </w:rPr>
      </w:pPr>
      <w:r w:rsidRPr="00057F2F">
        <w:rPr>
          <w:rFonts w:ascii="Times New Roman" w:hAnsi="Times New Roman" w:cs="Times New Roman"/>
          <w:sz w:val="18"/>
          <w:szCs w:val="18"/>
          <w:lang w:val="en-GB"/>
        </w:rPr>
        <w:t xml:space="preserve">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data.</w:t>
      </w:r>
    </w:p>
    <w:p w14:paraId="15E5911B" w14:textId="06A2E71D" w:rsidR="00F03AEF" w:rsidRPr="00057F2F" w:rsidRDefault="00B17EF6" w:rsidP="00B17EF6">
      <w:pPr>
        <w:spacing w:after="0"/>
        <w:jc w:val="both"/>
        <w:rPr>
          <w:rFonts w:ascii="Times New Roman" w:hAnsi="Times New Roman" w:cs="Times New Roman"/>
          <w:lang w:val="en-GB"/>
        </w:rPr>
      </w:pPr>
      <w:r w:rsidRPr="00057F2F">
        <w:rPr>
          <w:rFonts w:ascii="Times New Roman" w:hAnsi="Times New Roman" w:cs="Times New Roman"/>
          <w:b/>
          <w:bCs/>
          <w:lang w:val="en-GB"/>
        </w:rPr>
        <w:t xml:space="preserve">Figure </w:t>
      </w:r>
      <w:r w:rsidR="001E3BB9" w:rsidRPr="00057F2F">
        <w:rPr>
          <w:rFonts w:ascii="Times New Roman" w:hAnsi="Times New Roman" w:cs="Times New Roman"/>
          <w:b/>
          <w:bCs/>
          <w:lang w:val="en-GB"/>
        </w:rPr>
        <w:t>C</w:t>
      </w:r>
      <w:r w:rsidRPr="00057F2F">
        <w:rPr>
          <w:rFonts w:ascii="Times New Roman" w:hAnsi="Times New Roman" w:cs="Times New Roman"/>
          <w:b/>
          <w:bCs/>
          <w:lang w:val="en-GB"/>
        </w:rPr>
        <w:t>.1</w:t>
      </w:r>
      <w:r w:rsidRPr="00057F2F">
        <w:rPr>
          <w:rFonts w:ascii="Times New Roman" w:hAnsi="Times New Roman" w:cs="Times New Roman"/>
          <w:lang w:val="en-GB"/>
        </w:rPr>
        <w:t xml:space="preserve"> plots the EU-average RFS index over 2003–2018 under three smoothing variants: annual values</w:t>
      </w:r>
      <w:r w:rsidR="00886C9B" w:rsidRPr="00057F2F">
        <w:rPr>
          <w:rFonts w:ascii="Times New Roman" w:hAnsi="Times New Roman" w:cs="Times New Roman"/>
          <w:lang w:val="en-GB"/>
        </w:rPr>
        <w:t xml:space="preserve"> (blue</w:t>
      </w:r>
      <w:r w:rsidR="00F03AEF" w:rsidRPr="00057F2F">
        <w:rPr>
          <w:rFonts w:ascii="Times New Roman" w:hAnsi="Times New Roman" w:cs="Times New Roman"/>
          <w:lang w:val="en-GB"/>
        </w:rPr>
        <w:t xml:space="preserve"> line</w:t>
      </w:r>
      <w:r w:rsidR="00886C9B" w:rsidRPr="00057F2F">
        <w:rPr>
          <w:rFonts w:ascii="Times New Roman" w:hAnsi="Times New Roman" w:cs="Times New Roman"/>
          <w:lang w:val="en-GB"/>
        </w:rPr>
        <w:t>)</w:t>
      </w:r>
      <w:r w:rsidRPr="00057F2F">
        <w:rPr>
          <w:rFonts w:ascii="Times New Roman" w:hAnsi="Times New Roman" w:cs="Times New Roman"/>
          <w:lang w:val="en-GB"/>
        </w:rPr>
        <w:t>, 3-year rolling moving average</w:t>
      </w:r>
      <w:r w:rsidR="00886C9B" w:rsidRPr="00057F2F">
        <w:rPr>
          <w:rFonts w:ascii="Times New Roman" w:hAnsi="Times New Roman" w:cs="Times New Roman"/>
          <w:lang w:val="en-GB"/>
        </w:rPr>
        <w:t xml:space="preserve"> (green</w:t>
      </w:r>
      <w:r w:rsidR="00F03AEF" w:rsidRPr="00057F2F">
        <w:rPr>
          <w:rFonts w:ascii="Times New Roman" w:hAnsi="Times New Roman" w:cs="Times New Roman"/>
          <w:lang w:val="en-GB"/>
        </w:rPr>
        <w:t xml:space="preserve"> line</w:t>
      </w:r>
      <w:r w:rsidR="00886C9B" w:rsidRPr="00057F2F">
        <w:rPr>
          <w:rFonts w:ascii="Times New Roman" w:hAnsi="Times New Roman" w:cs="Times New Roman"/>
          <w:lang w:val="en-GB"/>
        </w:rPr>
        <w:t>)</w:t>
      </w:r>
      <w:r w:rsidRPr="00057F2F">
        <w:rPr>
          <w:rFonts w:ascii="Times New Roman" w:hAnsi="Times New Roman" w:cs="Times New Roman"/>
          <w:lang w:val="en-GB"/>
        </w:rPr>
        <w:t>, and 5-year rolling moving average</w:t>
      </w:r>
      <w:r w:rsidR="00886C9B" w:rsidRPr="00057F2F">
        <w:rPr>
          <w:rFonts w:ascii="Times New Roman" w:hAnsi="Times New Roman" w:cs="Times New Roman"/>
          <w:lang w:val="en-GB"/>
        </w:rPr>
        <w:t xml:space="preserve"> (red</w:t>
      </w:r>
      <w:r w:rsidR="00F03AEF" w:rsidRPr="00057F2F">
        <w:rPr>
          <w:rFonts w:ascii="Times New Roman" w:hAnsi="Times New Roman" w:cs="Times New Roman"/>
          <w:lang w:val="en-GB"/>
        </w:rPr>
        <w:t xml:space="preserve"> line</w:t>
      </w:r>
      <w:r w:rsidR="00886C9B" w:rsidRPr="00057F2F">
        <w:rPr>
          <w:rFonts w:ascii="Times New Roman" w:hAnsi="Times New Roman" w:cs="Times New Roman"/>
          <w:lang w:val="en-GB"/>
        </w:rPr>
        <w:t>)</w:t>
      </w:r>
      <w:r w:rsidRPr="00057F2F">
        <w:rPr>
          <w:rFonts w:ascii="Times New Roman" w:hAnsi="Times New Roman" w:cs="Times New Roman"/>
          <w:lang w:val="en-GB"/>
        </w:rPr>
        <w:t xml:space="preserve">. The dotted horizontal lines indicate the period-average benchmark for the pre-crisis (2003–2008) and post-crisis (2013–2018) periods. The results show that the EU-average RFS increased from the pre-crisis to the post-crisis period, rising from approximately 1.33–1.36 to approximately 1.55–1.58, indicating a shift towards relatively more production-oriented functional specialization across European regions. </w:t>
      </w:r>
      <w:r w:rsidR="00F03AEF" w:rsidRPr="00057F2F">
        <w:rPr>
          <w:rFonts w:ascii="Times New Roman" w:hAnsi="Times New Roman" w:cs="Times New Roman"/>
          <w:lang w:val="en-GB"/>
        </w:rPr>
        <w:t>The evidence highlights the difference between annual and smoothed measures of functional specialization. While annual values exhibit higher short-run volatility, the 3-year and 5-year moving averages reveal a much more stable medium-term pattern and closely track the period-based indicators used in the paper. These results suggest that multi-year aggregation is better suited to capturing persistent specialization patterns than measures based on annual FDI flows alone.</w:t>
      </w:r>
    </w:p>
    <w:p w14:paraId="4CF1EEBA" w14:textId="77777777" w:rsidR="00F03AEF" w:rsidRPr="00057F2F" w:rsidRDefault="00F03AEF" w:rsidP="00B17EF6">
      <w:pPr>
        <w:spacing w:after="0"/>
        <w:jc w:val="both"/>
        <w:rPr>
          <w:rFonts w:ascii="Times New Roman" w:hAnsi="Times New Roman" w:cs="Times New Roman"/>
          <w:lang w:val="en-GB"/>
        </w:rPr>
      </w:pPr>
    </w:p>
    <w:p w14:paraId="00737DFE" w14:textId="77777777" w:rsidR="00200890" w:rsidRPr="00057F2F" w:rsidRDefault="00200890" w:rsidP="00B17EF6">
      <w:pPr>
        <w:spacing w:after="0"/>
        <w:jc w:val="both"/>
        <w:rPr>
          <w:rFonts w:ascii="Times New Roman" w:hAnsi="Times New Roman" w:cs="Times New Roman"/>
          <w:lang w:val="en-GB"/>
        </w:rPr>
      </w:pPr>
    </w:p>
    <w:p w14:paraId="78407E86" w14:textId="77777777" w:rsidR="00B17EF6" w:rsidRPr="00057F2F" w:rsidRDefault="00B17EF6">
      <w:pPr>
        <w:rPr>
          <w:rFonts w:ascii="Times New Roman" w:hAnsi="Times New Roman" w:cs="Times New Roman"/>
          <w:b/>
          <w:bCs/>
          <w:lang w:val="en-GB"/>
        </w:rPr>
      </w:pPr>
    </w:p>
    <w:p w14:paraId="673E9428" w14:textId="77777777" w:rsidR="00B17EF6" w:rsidRPr="00057F2F" w:rsidRDefault="00B17EF6">
      <w:pPr>
        <w:rPr>
          <w:rFonts w:ascii="Times New Roman" w:hAnsi="Times New Roman" w:cs="Times New Roman"/>
          <w:b/>
          <w:bCs/>
          <w:lang w:val="en-GB"/>
        </w:rPr>
      </w:pPr>
    </w:p>
    <w:p w14:paraId="7932E865" w14:textId="5D42D051" w:rsidR="00B17EF6" w:rsidRPr="00057F2F" w:rsidRDefault="00B17EF6">
      <w:pPr>
        <w:rPr>
          <w:rFonts w:ascii="Times New Roman" w:hAnsi="Times New Roman" w:cs="Times New Roman"/>
          <w:b/>
          <w:bCs/>
          <w:lang w:val="en-GB"/>
        </w:rPr>
      </w:pPr>
      <w:r w:rsidRPr="00057F2F">
        <w:rPr>
          <w:rFonts w:ascii="Times New Roman" w:hAnsi="Times New Roman" w:cs="Times New Roman"/>
          <w:b/>
          <w:bCs/>
          <w:lang w:val="en-GB"/>
        </w:rPr>
        <w:br w:type="page"/>
      </w:r>
    </w:p>
    <w:p w14:paraId="50854B44" w14:textId="593E7C32" w:rsidR="00B01FED" w:rsidRPr="00057F2F" w:rsidRDefault="00B01FED" w:rsidP="002D3A9C">
      <w:pPr>
        <w:pStyle w:val="Titolo2"/>
      </w:pPr>
      <w:r w:rsidRPr="00057F2F">
        <w:lastRenderedPageBreak/>
        <w:t xml:space="preserve">Appendix </w:t>
      </w:r>
      <w:r w:rsidR="003C6BBB" w:rsidRPr="00057F2F">
        <w:t>D</w:t>
      </w:r>
      <w:r w:rsidRPr="00057F2F">
        <w:t>. Spatial robustness checks</w:t>
      </w:r>
    </w:p>
    <w:p w14:paraId="124A81C5" w14:textId="22EE64C3" w:rsidR="00762AA3" w:rsidRPr="00057F2F" w:rsidRDefault="00B01FED" w:rsidP="00B01FED">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To assess the sensitivity of our results to spatial dependence, we re-estimate all specifications in Table 3 using Conley (1999) spatial HAC standard errors under two alternative distance cut-offs</w:t>
      </w:r>
      <w:r w:rsidR="00762AA3" w:rsidRPr="00057F2F">
        <w:rPr>
          <w:rFonts w:ascii="Times New Roman" w:hAnsi="Times New Roman" w:cs="Times New Roman"/>
          <w:color w:val="000000" w:themeColor="text1"/>
          <w:sz w:val="24"/>
          <w:szCs w:val="24"/>
          <w:lang w:val="en-GB"/>
        </w:rPr>
        <w:t>:</w:t>
      </w:r>
      <w:r w:rsidRPr="00057F2F">
        <w:rPr>
          <w:rFonts w:ascii="Times New Roman" w:hAnsi="Times New Roman" w:cs="Times New Roman"/>
          <w:color w:val="000000" w:themeColor="text1"/>
          <w:sz w:val="24"/>
          <w:szCs w:val="24"/>
          <w:lang w:val="en-GB"/>
        </w:rPr>
        <w:t xml:space="preserve"> 1,500 km, approximating the maximum nearest-neighbour distance, and 2,000 km, approximating the average inter-regional distance. </w:t>
      </w:r>
    </w:p>
    <w:p w14:paraId="2AA1D814" w14:textId="7F61211F" w:rsidR="00762AA3" w:rsidRPr="00057F2F" w:rsidRDefault="00762AA3" w:rsidP="00B01FED">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The Conley correction allows for spatial correlation in the error structure within geographically bounded clusters of neighbouring regions, without imposing a fully specified structural model of spatial interaction. This approach is robust to arbitrary patterns of spatial correlation and heteroskedasticity within the specified bandwidth, without requiring a fully specified structural model of spatial interaction. Indeed, regional functional specialization patterns may be systematically affected by geographically correlated shocks (such as macro-regional demand fluctuations, sector-specific investment cycles, or EU cohesion policy interventions) as well as by cross-regional FDI spillovers and agglomeration externalities that could induce spatial correlation in the regression disturbances. Under such conditions, conventional standard errors, even when clustered at the NUTS-2 level, may be inconsistent if the scope of spatial correlation extends beyond individual regions and is not adequately captured by the clustering structure.</w:t>
      </w:r>
    </w:p>
    <w:p w14:paraId="5F4C4147" w14:textId="4833C3E1" w:rsidR="00B01FED" w:rsidRPr="00057F2F" w:rsidRDefault="00762AA3" w:rsidP="00B01FED">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 xml:space="preserve">The results, reported in </w:t>
      </w:r>
      <w:r w:rsidRPr="00057F2F">
        <w:rPr>
          <w:rFonts w:ascii="Times New Roman" w:hAnsi="Times New Roman" w:cs="Times New Roman"/>
          <w:b/>
          <w:bCs/>
          <w:color w:val="000000" w:themeColor="text1"/>
          <w:sz w:val="24"/>
          <w:szCs w:val="24"/>
          <w:lang w:val="en-GB"/>
        </w:rPr>
        <w:t>Table D.1</w:t>
      </w:r>
      <w:r w:rsidRPr="00057F2F">
        <w:rPr>
          <w:rFonts w:ascii="Times New Roman" w:hAnsi="Times New Roman" w:cs="Times New Roman"/>
          <w:color w:val="000000" w:themeColor="text1"/>
          <w:sz w:val="24"/>
          <w:szCs w:val="24"/>
          <w:lang w:val="en-GB"/>
        </w:rPr>
        <w:t>, confirm the sign, magnitude, and statistical significance of all coefficients across specifications and distance cut-offs. The Conley-corrected standard errors are in most cases smaller than the NUTS-2 clustered baseline estimates, indicating that spatial correlation in the error structure does not materially inflate inference under either bandwidth assumption — if anything, the baseline clustered standard errors are conservative relative to the spatially HAC-corrected counterparts. The point estimates are numerically identical to the baseline by construction, as the Conley correction affects only the variance-covariance matrix and leaves the coefficient vector unchanged. Taken together, these results provide strong reassurance that the main findings of the paper are robust to alternative treatments of spatial dependence in the disturbance process, and that the estimated associations between regional structural characteristics and functional specialization are not an artifact of spatially correlated measurement error or omitted spatial confounders.</w:t>
      </w:r>
    </w:p>
    <w:p w14:paraId="2D9077BC" w14:textId="2D6CF3ED" w:rsidR="00B01FED" w:rsidRPr="00057F2F" w:rsidRDefault="00B01FED" w:rsidP="00F57507">
      <w:pPr>
        <w:pStyle w:val="Titolo3"/>
        <w:spacing w:before="360"/>
      </w:pPr>
      <w:r w:rsidRPr="00057F2F">
        <w:rPr>
          <w:b/>
          <w:bCs/>
        </w:rPr>
        <w:t xml:space="preserve">Table </w:t>
      </w:r>
      <w:r w:rsidR="003C6BBB" w:rsidRPr="00057F2F">
        <w:rPr>
          <w:b/>
          <w:bCs/>
        </w:rPr>
        <w:t>D</w:t>
      </w:r>
      <w:r w:rsidRPr="00057F2F">
        <w:rPr>
          <w:b/>
          <w:bCs/>
        </w:rPr>
        <w:t>.1.</w:t>
      </w:r>
      <w:r w:rsidRPr="00057F2F">
        <w:t xml:space="preserve"> Robustness to spatial dependence: Conley spatial HAC standard errors</w:t>
      </w:r>
    </w:p>
    <w:tbl>
      <w:tblPr>
        <w:tblStyle w:val="Grigliatabella"/>
        <w:tblW w:w="9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028"/>
        <w:gridCol w:w="2028"/>
        <w:gridCol w:w="2028"/>
        <w:gridCol w:w="2028"/>
      </w:tblGrid>
      <w:tr w:rsidR="00B01FED" w:rsidRPr="00057F2F" w14:paraId="47A17098" w14:textId="77777777" w:rsidTr="00762AA3">
        <w:trPr>
          <w:trHeight w:val="20"/>
        </w:trPr>
        <w:tc>
          <w:tcPr>
            <w:tcW w:w="1701" w:type="dxa"/>
            <w:tcBorders>
              <w:top w:val="single" w:sz="4" w:space="0" w:color="auto"/>
              <w:bottom w:val="single" w:sz="4" w:space="0" w:color="auto"/>
            </w:tcBorders>
            <w:vAlign w:val="center"/>
          </w:tcPr>
          <w:p w14:paraId="1A4E40FD" w14:textId="77777777" w:rsidR="00B01FED" w:rsidRPr="00057F2F" w:rsidRDefault="00B01FED" w:rsidP="00762AA3">
            <w:pPr>
              <w:rPr>
                <w:rFonts w:ascii="Times New Roman" w:hAnsi="Times New Roman" w:cs="Times New Roman"/>
                <w:sz w:val="20"/>
                <w:szCs w:val="20"/>
                <w:lang w:val="en-GB"/>
              </w:rPr>
            </w:pPr>
          </w:p>
        </w:tc>
        <w:tc>
          <w:tcPr>
            <w:tcW w:w="2028" w:type="dxa"/>
            <w:tcBorders>
              <w:top w:val="single" w:sz="4" w:space="0" w:color="auto"/>
              <w:bottom w:val="single" w:sz="4" w:space="0" w:color="auto"/>
            </w:tcBorders>
            <w:vAlign w:val="center"/>
          </w:tcPr>
          <w:p w14:paraId="471FEDA5"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Upstream FS</w:t>
            </w:r>
          </w:p>
        </w:tc>
        <w:tc>
          <w:tcPr>
            <w:tcW w:w="2028" w:type="dxa"/>
            <w:tcBorders>
              <w:top w:val="single" w:sz="4" w:space="0" w:color="auto"/>
              <w:bottom w:val="single" w:sz="4" w:space="0" w:color="auto"/>
            </w:tcBorders>
            <w:vAlign w:val="center"/>
          </w:tcPr>
          <w:p w14:paraId="2EECB493"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Production FS</w:t>
            </w:r>
          </w:p>
        </w:tc>
        <w:tc>
          <w:tcPr>
            <w:tcW w:w="2028" w:type="dxa"/>
            <w:tcBorders>
              <w:top w:val="single" w:sz="4" w:space="0" w:color="auto"/>
              <w:bottom w:val="single" w:sz="4" w:space="0" w:color="auto"/>
            </w:tcBorders>
            <w:vAlign w:val="center"/>
          </w:tcPr>
          <w:p w14:paraId="49D838E1"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Downstream FS</w:t>
            </w:r>
          </w:p>
        </w:tc>
        <w:tc>
          <w:tcPr>
            <w:tcW w:w="2028" w:type="dxa"/>
            <w:tcBorders>
              <w:top w:val="single" w:sz="4" w:space="0" w:color="auto"/>
              <w:left w:val="nil"/>
              <w:bottom w:val="single" w:sz="4" w:space="0" w:color="auto"/>
            </w:tcBorders>
            <w:vAlign w:val="center"/>
          </w:tcPr>
          <w:p w14:paraId="070AE28A"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RFS index</w:t>
            </w:r>
          </w:p>
        </w:tc>
      </w:tr>
      <w:tr w:rsidR="00B01FED" w:rsidRPr="00057F2F" w14:paraId="3A2883C7" w14:textId="77777777" w:rsidTr="00762AA3">
        <w:trPr>
          <w:trHeight w:val="20"/>
        </w:trPr>
        <w:tc>
          <w:tcPr>
            <w:tcW w:w="1701" w:type="dxa"/>
            <w:vAlign w:val="center"/>
          </w:tcPr>
          <w:p w14:paraId="1769545B"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GVA p.c. (log)</w:t>
            </w:r>
          </w:p>
        </w:tc>
        <w:tc>
          <w:tcPr>
            <w:tcW w:w="2028" w:type="dxa"/>
            <w:vAlign w:val="center"/>
          </w:tcPr>
          <w:p w14:paraId="3ED5F86E"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0.2045</w:t>
            </w:r>
          </w:p>
        </w:tc>
        <w:tc>
          <w:tcPr>
            <w:tcW w:w="2028" w:type="dxa"/>
            <w:vAlign w:val="center"/>
          </w:tcPr>
          <w:p w14:paraId="31A877D7"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-1.6215</w:t>
            </w:r>
          </w:p>
        </w:tc>
        <w:tc>
          <w:tcPr>
            <w:tcW w:w="2028" w:type="dxa"/>
            <w:vAlign w:val="center"/>
          </w:tcPr>
          <w:p w14:paraId="270A51D1"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0.5348</w:t>
            </w:r>
          </w:p>
        </w:tc>
        <w:tc>
          <w:tcPr>
            <w:tcW w:w="2028" w:type="dxa"/>
            <w:tcBorders>
              <w:left w:val="nil"/>
            </w:tcBorders>
            <w:vAlign w:val="center"/>
          </w:tcPr>
          <w:p w14:paraId="51F1892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-1.1338</w:t>
            </w:r>
          </w:p>
        </w:tc>
      </w:tr>
      <w:tr w:rsidR="00B01FED" w:rsidRPr="00057F2F" w14:paraId="6A29B18D" w14:textId="77777777" w:rsidTr="00762AA3">
        <w:trPr>
          <w:trHeight w:val="20"/>
        </w:trPr>
        <w:tc>
          <w:tcPr>
            <w:tcW w:w="1701" w:type="dxa"/>
            <w:vAlign w:val="center"/>
          </w:tcPr>
          <w:p w14:paraId="3F542982"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1AC92D41"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0.0036)*</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32D9E5F7"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0.0077)*</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6C57F5EA"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0.0030)*</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05821343"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0.0077)*</w:t>
            </w:r>
            <w:proofErr w:type="gramEnd"/>
            <w:r w:rsidRPr="00057F2F">
              <w:rPr>
                <w:rFonts w:ascii="Times New Roman" w:eastAsia="Arial" w:hAnsi="Times New Roman" w:cs="Times New Roman"/>
                <w:color w:val="000000"/>
                <w:sz w:val="20"/>
                <w:szCs w:val="20"/>
                <w:lang w:val="en-GB"/>
              </w:rPr>
              <w:t>**</w:t>
            </w:r>
          </w:p>
        </w:tc>
      </w:tr>
      <w:tr w:rsidR="00B01FED" w:rsidRPr="00057F2F" w14:paraId="482A8AEA" w14:textId="77777777" w:rsidTr="00762AA3">
        <w:trPr>
          <w:trHeight w:val="20"/>
        </w:trPr>
        <w:tc>
          <w:tcPr>
            <w:tcW w:w="1701" w:type="dxa"/>
            <w:vAlign w:val="center"/>
          </w:tcPr>
          <w:p w14:paraId="5C8D619C"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36E69363"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0.0031]*</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46B0FE27"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0.0067]*</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0F12F90F"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0.0026]*</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65E97496"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0.0067]*</w:t>
            </w:r>
            <w:proofErr w:type="gramEnd"/>
            <w:r w:rsidRPr="00057F2F">
              <w:rPr>
                <w:rFonts w:ascii="Times New Roman" w:eastAsia="Arial" w:hAnsi="Times New Roman" w:cs="Times New Roman"/>
                <w:color w:val="000000"/>
                <w:sz w:val="20"/>
                <w:szCs w:val="20"/>
                <w:lang w:val="en-GB"/>
              </w:rPr>
              <w:t>**</w:t>
            </w:r>
          </w:p>
        </w:tc>
      </w:tr>
      <w:tr w:rsidR="00B01FED" w:rsidRPr="00057F2F" w14:paraId="3600FEDA" w14:textId="77777777" w:rsidTr="00762AA3">
        <w:trPr>
          <w:trHeight w:val="20"/>
        </w:trPr>
        <w:tc>
          <w:tcPr>
            <w:tcW w:w="1701" w:type="dxa"/>
            <w:vAlign w:val="center"/>
          </w:tcPr>
          <w:p w14:paraId="2320067B"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Patents (log)</w:t>
            </w:r>
          </w:p>
        </w:tc>
        <w:tc>
          <w:tcPr>
            <w:tcW w:w="2028" w:type="dxa"/>
            <w:vAlign w:val="center"/>
          </w:tcPr>
          <w:p w14:paraId="1EA55D80"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1.2311</w:t>
            </w:r>
          </w:p>
        </w:tc>
        <w:tc>
          <w:tcPr>
            <w:tcW w:w="2028" w:type="dxa"/>
            <w:vAlign w:val="center"/>
          </w:tcPr>
          <w:p w14:paraId="4900AF8C"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-1.6207</w:t>
            </w:r>
          </w:p>
        </w:tc>
        <w:tc>
          <w:tcPr>
            <w:tcW w:w="2028" w:type="dxa"/>
            <w:vAlign w:val="center"/>
          </w:tcPr>
          <w:p w14:paraId="3A5B629B"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0.7072</w:t>
            </w:r>
          </w:p>
        </w:tc>
        <w:tc>
          <w:tcPr>
            <w:tcW w:w="2028" w:type="dxa"/>
            <w:tcBorders>
              <w:left w:val="nil"/>
            </w:tcBorders>
            <w:vAlign w:val="center"/>
          </w:tcPr>
          <w:p w14:paraId="5EE2987E" w14:textId="77777777" w:rsidR="00B01FED" w:rsidRPr="00057F2F" w:rsidRDefault="00B01FED" w:rsidP="00762AA3">
            <w:pPr>
              <w:jc w:val="center"/>
              <w:rPr>
                <w:rFonts w:ascii="Times New Roman"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-1.4917</w:t>
            </w:r>
          </w:p>
        </w:tc>
      </w:tr>
      <w:tr w:rsidR="00B01FED" w:rsidRPr="00057F2F" w14:paraId="0293F9C0" w14:textId="77777777" w:rsidTr="00762AA3">
        <w:trPr>
          <w:trHeight w:val="20"/>
        </w:trPr>
        <w:tc>
          <w:tcPr>
            <w:tcW w:w="1701" w:type="dxa"/>
            <w:vAlign w:val="center"/>
          </w:tcPr>
          <w:p w14:paraId="5F3DCC4E"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60D3C7B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0.0162)*</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37A2A415"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0.0181)*</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757D8E38"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0.0055)*</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6CC5FD51" w14:textId="77777777" w:rsidR="00B01FED" w:rsidRPr="00057F2F" w:rsidRDefault="00B01FED" w:rsidP="00762AA3">
            <w:pPr>
              <w:jc w:val="center"/>
              <w:rPr>
                <w:rFonts w:ascii="Times New Roman"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0.0166)*</w:t>
            </w:r>
            <w:proofErr w:type="gramEnd"/>
            <w:r w:rsidRPr="00057F2F">
              <w:rPr>
                <w:rFonts w:ascii="Times New Roman" w:eastAsia="Arial" w:hAnsi="Times New Roman" w:cs="Times New Roman"/>
                <w:color w:val="000000"/>
                <w:sz w:val="20"/>
                <w:szCs w:val="20"/>
                <w:lang w:val="en-GB"/>
              </w:rPr>
              <w:t>**</w:t>
            </w:r>
          </w:p>
        </w:tc>
      </w:tr>
      <w:tr w:rsidR="00B01FED" w:rsidRPr="00057F2F" w14:paraId="29CB6556" w14:textId="77777777" w:rsidTr="00762AA3">
        <w:trPr>
          <w:trHeight w:val="20"/>
        </w:trPr>
        <w:tc>
          <w:tcPr>
            <w:tcW w:w="1701" w:type="dxa"/>
            <w:vAlign w:val="center"/>
          </w:tcPr>
          <w:p w14:paraId="01E0EED4"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2D36F7B6"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0.0140]*</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30C9D08A"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0.0157]*</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4951FEA5"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0.0047]*</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69A2E8D7"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0.0144]*</w:t>
            </w:r>
            <w:proofErr w:type="gramEnd"/>
            <w:r w:rsidRPr="00057F2F">
              <w:rPr>
                <w:rFonts w:ascii="Times New Roman" w:eastAsia="Arial" w:hAnsi="Times New Roman" w:cs="Times New Roman"/>
                <w:color w:val="000000"/>
                <w:sz w:val="20"/>
                <w:szCs w:val="20"/>
                <w:lang w:val="en-GB"/>
              </w:rPr>
              <w:t>**</w:t>
            </w:r>
          </w:p>
        </w:tc>
      </w:tr>
      <w:tr w:rsidR="00B01FED" w:rsidRPr="00057F2F" w14:paraId="241BD890" w14:textId="77777777" w:rsidTr="00762AA3">
        <w:trPr>
          <w:trHeight w:val="20"/>
        </w:trPr>
        <w:tc>
          <w:tcPr>
            <w:tcW w:w="1701" w:type="dxa"/>
            <w:vAlign w:val="center"/>
          </w:tcPr>
          <w:p w14:paraId="7AFB56ED"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Urban areas</w:t>
            </w:r>
          </w:p>
        </w:tc>
        <w:tc>
          <w:tcPr>
            <w:tcW w:w="2028" w:type="dxa"/>
            <w:vAlign w:val="center"/>
          </w:tcPr>
          <w:p w14:paraId="1742B544"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0.1627</w:t>
            </w:r>
          </w:p>
        </w:tc>
        <w:tc>
          <w:tcPr>
            <w:tcW w:w="2028" w:type="dxa"/>
            <w:vAlign w:val="center"/>
          </w:tcPr>
          <w:p w14:paraId="7530AC38"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-0.3252</w:t>
            </w:r>
          </w:p>
        </w:tc>
        <w:tc>
          <w:tcPr>
            <w:tcW w:w="2028" w:type="dxa"/>
            <w:vAlign w:val="center"/>
          </w:tcPr>
          <w:p w14:paraId="674BDB39"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0.1250</w:t>
            </w:r>
          </w:p>
        </w:tc>
        <w:tc>
          <w:tcPr>
            <w:tcW w:w="2028" w:type="dxa"/>
            <w:tcBorders>
              <w:left w:val="nil"/>
            </w:tcBorders>
            <w:vAlign w:val="center"/>
          </w:tcPr>
          <w:p w14:paraId="642615B6"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-0.4358</w:t>
            </w:r>
          </w:p>
        </w:tc>
      </w:tr>
      <w:tr w:rsidR="00B01FED" w:rsidRPr="00057F2F" w14:paraId="2D2160E7" w14:textId="77777777" w:rsidTr="00762AA3">
        <w:trPr>
          <w:trHeight w:val="20"/>
        </w:trPr>
        <w:tc>
          <w:tcPr>
            <w:tcW w:w="1701" w:type="dxa"/>
            <w:vAlign w:val="center"/>
          </w:tcPr>
          <w:p w14:paraId="5B4FBFF0"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1D8339CC"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0.0023)*</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4E4D1842"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0.0036)*</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7EA86AF3"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0.0014)*</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1E1BD75A"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0.0024)*</w:t>
            </w:r>
            <w:proofErr w:type="gramEnd"/>
            <w:r w:rsidRPr="00057F2F">
              <w:rPr>
                <w:rFonts w:ascii="Times New Roman" w:eastAsia="Arial" w:hAnsi="Times New Roman" w:cs="Times New Roman"/>
                <w:color w:val="000000"/>
                <w:sz w:val="20"/>
                <w:szCs w:val="20"/>
                <w:lang w:val="en-GB"/>
              </w:rPr>
              <w:t>**</w:t>
            </w:r>
          </w:p>
        </w:tc>
      </w:tr>
      <w:tr w:rsidR="00B01FED" w:rsidRPr="00057F2F" w14:paraId="2FD6DC5B" w14:textId="77777777" w:rsidTr="00762AA3">
        <w:trPr>
          <w:trHeight w:val="20"/>
        </w:trPr>
        <w:tc>
          <w:tcPr>
            <w:tcW w:w="1701" w:type="dxa"/>
            <w:vAlign w:val="center"/>
          </w:tcPr>
          <w:p w14:paraId="748F4326" w14:textId="77777777" w:rsidR="00B01FED" w:rsidRPr="00057F2F" w:rsidRDefault="00B01FED" w:rsidP="00762AA3">
            <w:pPr>
              <w:rPr>
                <w:rFonts w:ascii="Times New Roman" w:hAnsi="Times New Roman" w:cs="Times New Roman"/>
                <w:sz w:val="20"/>
                <w:szCs w:val="20"/>
                <w:lang w:val="en-GB"/>
              </w:rPr>
            </w:pPr>
          </w:p>
        </w:tc>
        <w:tc>
          <w:tcPr>
            <w:tcW w:w="2028" w:type="dxa"/>
            <w:vAlign w:val="center"/>
          </w:tcPr>
          <w:p w14:paraId="371002B7"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0.0020]*</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7C44EE55"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0.0031]*</w:t>
            </w:r>
            <w:proofErr w:type="gramEnd"/>
            <w:r w:rsidRPr="00057F2F">
              <w:rPr>
                <w:rFonts w:ascii="Times New Roman" w:eastAsia="Arial" w:hAnsi="Times New Roman" w:cs="Times New Roman"/>
                <w:color w:val="000000"/>
                <w:sz w:val="20"/>
                <w:szCs w:val="20"/>
                <w:lang w:val="en-GB"/>
              </w:rPr>
              <w:t>**</w:t>
            </w:r>
          </w:p>
        </w:tc>
        <w:tc>
          <w:tcPr>
            <w:tcW w:w="2028" w:type="dxa"/>
            <w:vAlign w:val="center"/>
          </w:tcPr>
          <w:p w14:paraId="7B783A7F"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0.0012]*</w:t>
            </w:r>
            <w:proofErr w:type="gramEnd"/>
            <w:r w:rsidRPr="00057F2F">
              <w:rPr>
                <w:rFonts w:ascii="Times New Roman" w:eastAsia="Arial" w:hAnsi="Times New Roman" w:cs="Times New Roman"/>
                <w:color w:val="000000"/>
                <w:sz w:val="20"/>
                <w:szCs w:val="20"/>
                <w:lang w:val="en-GB"/>
              </w:rPr>
              <w:t>**</w:t>
            </w:r>
          </w:p>
        </w:tc>
        <w:tc>
          <w:tcPr>
            <w:tcW w:w="2028" w:type="dxa"/>
            <w:tcBorders>
              <w:left w:val="nil"/>
            </w:tcBorders>
            <w:vAlign w:val="center"/>
          </w:tcPr>
          <w:p w14:paraId="4E6911A6" w14:textId="77777777" w:rsidR="00B01FED" w:rsidRPr="00057F2F" w:rsidRDefault="00B01FED" w:rsidP="00762AA3">
            <w:pPr>
              <w:jc w:val="center"/>
              <w:rPr>
                <w:rFonts w:ascii="Times New Roman" w:eastAsia="Arial" w:hAnsi="Times New Roman" w:cs="Times New Roman"/>
                <w:color w:val="000000"/>
                <w:sz w:val="20"/>
                <w:szCs w:val="20"/>
                <w:lang w:val="en-GB"/>
              </w:rPr>
            </w:pPr>
            <w:r w:rsidRPr="00057F2F">
              <w:rPr>
                <w:rFonts w:ascii="Times New Roman" w:eastAsia="Arial" w:hAnsi="Times New Roman" w:cs="Times New Roman"/>
                <w:color w:val="000000"/>
                <w:sz w:val="20"/>
                <w:szCs w:val="20"/>
                <w:lang w:val="en-GB"/>
              </w:rPr>
              <w:t>[</w:t>
            </w:r>
            <w:proofErr w:type="gramStart"/>
            <w:r w:rsidRPr="00057F2F">
              <w:rPr>
                <w:rFonts w:ascii="Times New Roman" w:eastAsia="Arial" w:hAnsi="Times New Roman" w:cs="Times New Roman"/>
                <w:color w:val="000000"/>
                <w:sz w:val="20"/>
                <w:szCs w:val="20"/>
                <w:lang w:val="en-GB"/>
              </w:rPr>
              <w:t>0.0021]*</w:t>
            </w:r>
            <w:proofErr w:type="gramEnd"/>
            <w:r w:rsidRPr="00057F2F">
              <w:rPr>
                <w:rFonts w:ascii="Times New Roman" w:eastAsia="Arial" w:hAnsi="Times New Roman" w:cs="Times New Roman"/>
                <w:color w:val="000000"/>
                <w:sz w:val="20"/>
                <w:szCs w:val="20"/>
                <w:lang w:val="en-GB"/>
              </w:rPr>
              <w:t>**</w:t>
            </w:r>
          </w:p>
        </w:tc>
      </w:tr>
      <w:tr w:rsidR="00B01FED" w:rsidRPr="00057F2F" w14:paraId="4A2A949E" w14:textId="77777777" w:rsidTr="00762AA3">
        <w:trPr>
          <w:trHeight w:val="20"/>
        </w:trPr>
        <w:tc>
          <w:tcPr>
            <w:tcW w:w="1701" w:type="dxa"/>
            <w:tcBorders>
              <w:top w:val="single" w:sz="4" w:space="0" w:color="auto"/>
            </w:tcBorders>
            <w:vAlign w:val="center"/>
          </w:tcPr>
          <w:p w14:paraId="60D05ABC"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N. obs.</w:t>
            </w:r>
          </w:p>
        </w:tc>
        <w:tc>
          <w:tcPr>
            <w:tcW w:w="2028" w:type="dxa"/>
            <w:tcBorders>
              <w:top w:val="single" w:sz="4" w:space="0" w:color="auto"/>
            </w:tcBorders>
            <w:vAlign w:val="center"/>
          </w:tcPr>
          <w:p w14:paraId="3435C9AC"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4256</w:t>
            </w:r>
          </w:p>
        </w:tc>
        <w:tc>
          <w:tcPr>
            <w:tcW w:w="2028" w:type="dxa"/>
            <w:tcBorders>
              <w:top w:val="single" w:sz="4" w:space="0" w:color="auto"/>
            </w:tcBorders>
            <w:vAlign w:val="center"/>
          </w:tcPr>
          <w:p w14:paraId="0E868A21"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4256</w:t>
            </w:r>
          </w:p>
        </w:tc>
        <w:tc>
          <w:tcPr>
            <w:tcW w:w="2028" w:type="dxa"/>
            <w:tcBorders>
              <w:top w:val="single" w:sz="4" w:space="0" w:color="auto"/>
            </w:tcBorders>
            <w:vAlign w:val="center"/>
          </w:tcPr>
          <w:p w14:paraId="5A6DC1C5"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4256</w:t>
            </w:r>
          </w:p>
        </w:tc>
        <w:tc>
          <w:tcPr>
            <w:tcW w:w="2028" w:type="dxa"/>
            <w:tcBorders>
              <w:top w:val="single" w:sz="4" w:space="0" w:color="auto"/>
              <w:left w:val="nil"/>
            </w:tcBorders>
            <w:vAlign w:val="center"/>
          </w:tcPr>
          <w:p w14:paraId="3FAF7BBB"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4256</w:t>
            </w:r>
          </w:p>
        </w:tc>
      </w:tr>
      <w:tr w:rsidR="00B01FED" w:rsidRPr="00057F2F" w14:paraId="4FBC1948" w14:textId="77777777" w:rsidTr="00762AA3">
        <w:trPr>
          <w:trHeight w:val="20"/>
        </w:trPr>
        <w:tc>
          <w:tcPr>
            <w:tcW w:w="1701" w:type="dxa"/>
            <w:vAlign w:val="center"/>
          </w:tcPr>
          <w:p w14:paraId="5E944983"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Year FE</w:t>
            </w:r>
          </w:p>
        </w:tc>
        <w:tc>
          <w:tcPr>
            <w:tcW w:w="2028" w:type="dxa"/>
            <w:vAlign w:val="center"/>
          </w:tcPr>
          <w:p w14:paraId="79D517C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vAlign w:val="center"/>
          </w:tcPr>
          <w:p w14:paraId="7EFF2548"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vAlign w:val="center"/>
          </w:tcPr>
          <w:p w14:paraId="1D462748"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tcBorders>
              <w:left w:val="nil"/>
            </w:tcBorders>
            <w:vAlign w:val="center"/>
          </w:tcPr>
          <w:p w14:paraId="275DACD4"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r>
      <w:tr w:rsidR="00B01FED" w:rsidRPr="00057F2F" w14:paraId="2A1C9422" w14:textId="77777777" w:rsidTr="00762AA3">
        <w:trPr>
          <w:trHeight w:val="20"/>
        </w:trPr>
        <w:tc>
          <w:tcPr>
            <w:tcW w:w="1701" w:type="dxa"/>
            <w:vAlign w:val="center"/>
          </w:tcPr>
          <w:p w14:paraId="7E22B7F1"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Country FE</w:t>
            </w:r>
          </w:p>
        </w:tc>
        <w:tc>
          <w:tcPr>
            <w:tcW w:w="2028" w:type="dxa"/>
            <w:vAlign w:val="center"/>
          </w:tcPr>
          <w:p w14:paraId="14F7A21F"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vAlign w:val="center"/>
          </w:tcPr>
          <w:p w14:paraId="7B13459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vAlign w:val="center"/>
          </w:tcPr>
          <w:p w14:paraId="2D62ADB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c>
          <w:tcPr>
            <w:tcW w:w="2028" w:type="dxa"/>
            <w:tcBorders>
              <w:left w:val="nil"/>
            </w:tcBorders>
            <w:vAlign w:val="center"/>
          </w:tcPr>
          <w:p w14:paraId="3DB028D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Yes</w:t>
            </w:r>
          </w:p>
        </w:tc>
      </w:tr>
      <w:tr w:rsidR="00B01FED" w:rsidRPr="00057F2F" w14:paraId="5FFFB46D" w14:textId="77777777" w:rsidTr="00762AA3">
        <w:trPr>
          <w:trHeight w:val="20"/>
        </w:trPr>
        <w:tc>
          <w:tcPr>
            <w:tcW w:w="1701" w:type="dxa"/>
            <w:tcBorders>
              <w:bottom w:val="single" w:sz="4" w:space="0" w:color="auto"/>
            </w:tcBorders>
            <w:vAlign w:val="center"/>
          </w:tcPr>
          <w:p w14:paraId="256B9AC5" w14:textId="77777777" w:rsidR="00B01FED" w:rsidRPr="00057F2F" w:rsidRDefault="00B01FED" w:rsidP="00762AA3">
            <w:pPr>
              <w:rPr>
                <w:rFonts w:ascii="Times New Roman" w:hAnsi="Times New Roman" w:cs="Times New Roman"/>
                <w:sz w:val="20"/>
                <w:szCs w:val="20"/>
                <w:lang w:val="en-GB"/>
              </w:rPr>
            </w:pPr>
            <w:r w:rsidRPr="00057F2F">
              <w:rPr>
                <w:rFonts w:ascii="Times New Roman" w:hAnsi="Times New Roman" w:cs="Times New Roman"/>
                <w:sz w:val="20"/>
                <w:szCs w:val="20"/>
                <w:lang w:val="en-GB"/>
              </w:rPr>
              <w:t>Std. errors</w:t>
            </w:r>
          </w:p>
        </w:tc>
        <w:tc>
          <w:tcPr>
            <w:tcW w:w="2028" w:type="dxa"/>
            <w:tcBorders>
              <w:bottom w:val="single" w:sz="4" w:space="0" w:color="auto"/>
            </w:tcBorders>
            <w:vAlign w:val="center"/>
          </w:tcPr>
          <w:p w14:paraId="2C1D36CF"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Conley</w:t>
            </w:r>
          </w:p>
        </w:tc>
        <w:tc>
          <w:tcPr>
            <w:tcW w:w="2028" w:type="dxa"/>
            <w:tcBorders>
              <w:bottom w:val="single" w:sz="4" w:space="0" w:color="auto"/>
            </w:tcBorders>
            <w:vAlign w:val="center"/>
          </w:tcPr>
          <w:p w14:paraId="77CC625C"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Conley</w:t>
            </w:r>
          </w:p>
        </w:tc>
        <w:tc>
          <w:tcPr>
            <w:tcW w:w="2028" w:type="dxa"/>
            <w:tcBorders>
              <w:bottom w:val="single" w:sz="4" w:space="0" w:color="auto"/>
            </w:tcBorders>
            <w:vAlign w:val="center"/>
          </w:tcPr>
          <w:p w14:paraId="76E66857"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Conley</w:t>
            </w:r>
          </w:p>
        </w:tc>
        <w:tc>
          <w:tcPr>
            <w:tcW w:w="2028" w:type="dxa"/>
            <w:tcBorders>
              <w:left w:val="nil"/>
              <w:bottom w:val="single" w:sz="4" w:space="0" w:color="auto"/>
            </w:tcBorders>
            <w:vAlign w:val="center"/>
          </w:tcPr>
          <w:p w14:paraId="003DDACE" w14:textId="77777777" w:rsidR="00B01FED" w:rsidRPr="00057F2F" w:rsidRDefault="00B01FED" w:rsidP="00762AA3">
            <w:pPr>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Conley</w:t>
            </w:r>
          </w:p>
        </w:tc>
      </w:tr>
    </w:tbl>
    <w:p w14:paraId="2577633E" w14:textId="4A2E514D" w:rsidR="00B01FED" w:rsidRPr="00057F2F" w:rsidRDefault="00B01FED" w:rsidP="00586F64">
      <w:pPr>
        <w:widowControl w:val="0"/>
        <w:autoSpaceDE w:val="0"/>
        <w:autoSpaceDN w:val="0"/>
        <w:adjustRightInd w:val="0"/>
        <w:spacing w:after="0" w:line="240" w:lineRule="auto"/>
        <w:jc w:val="both"/>
        <w:rPr>
          <w:rFonts w:ascii="Times New Roman" w:hAnsi="Times New Roman" w:cs="Times New Roman"/>
          <w:b/>
          <w:bCs/>
          <w:sz w:val="24"/>
          <w:szCs w:val="24"/>
          <w:lang w:val="en-GB"/>
        </w:rPr>
      </w:pPr>
      <w:r w:rsidRPr="00057F2F">
        <w:rPr>
          <w:rFonts w:ascii="Times New Roman" w:hAnsi="Times New Roman" w:cs="Times New Roman"/>
          <w:sz w:val="18"/>
          <w:szCs w:val="18"/>
          <w:lang w:val="en-GB"/>
        </w:rPr>
        <w:t xml:space="preserve">Note. Conley standard errors are reported in parentheses below each coefficient: standard errors in () use a 1,500 km cut-off; standard errors in [] use a 2,000 km cut-off. The 1,500 km threshold approximates the maximum nearest-neighbour distance, while 2,000 km approximates the average inter-regional distance. All specifications include year and country fixed effects. *** p&lt;0.01, ** p&lt;0.05, * p&lt;0.1. The variable ‘Urban areas’ is computed as a dummy variable equal to 1 if the region is predominantly urban and is characterized by the presence of at least one Metropolitan area (i.e., agglomerations of at least 250 000 inhabitants). Source: authors’ elaboration based on </w:t>
      </w:r>
      <w:proofErr w:type="spellStart"/>
      <w:r w:rsidRPr="00057F2F">
        <w:rPr>
          <w:rFonts w:ascii="Times New Roman" w:hAnsi="Times New Roman" w:cs="Times New Roman"/>
          <w:sz w:val="18"/>
          <w:szCs w:val="18"/>
          <w:lang w:val="en-GB"/>
        </w:rPr>
        <w:t>fDi</w:t>
      </w:r>
      <w:proofErr w:type="spellEnd"/>
      <w:r w:rsidRPr="00057F2F">
        <w:rPr>
          <w:rFonts w:ascii="Times New Roman" w:hAnsi="Times New Roman" w:cs="Times New Roman"/>
          <w:sz w:val="18"/>
          <w:szCs w:val="18"/>
          <w:lang w:val="en-GB"/>
        </w:rPr>
        <w:t xml:space="preserve"> Markets, OECD and Eurostat data.</w:t>
      </w:r>
      <w:r w:rsidR="00586F64" w:rsidRPr="00057F2F">
        <w:rPr>
          <w:rFonts w:ascii="Times New Roman" w:hAnsi="Times New Roman" w:cs="Times New Roman"/>
          <w:sz w:val="18"/>
          <w:szCs w:val="18"/>
          <w:lang w:val="en-GB"/>
        </w:rPr>
        <w:tab/>
      </w:r>
      <w:r w:rsidR="00586F64" w:rsidRPr="00057F2F">
        <w:rPr>
          <w:rFonts w:ascii="Times New Roman" w:hAnsi="Times New Roman" w:cs="Times New Roman"/>
          <w:sz w:val="18"/>
          <w:szCs w:val="18"/>
          <w:lang w:val="en-GB"/>
        </w:rPr>
        <w:tab/>
      </w:r>
      <w:r w:rsidR="00586F64" w:rsidRPr="00057F2F">
        <w:rPr>
          <w:rFonts w:ascii="Times New Roman" w:hAnsi="Times New Roman" w:cs="Times New Roman"/>
          <w:sz w:val="18"/>
          <w:szCs w:val="18"/>
          <w:lang w:val="en-GB"/>
        </w:rPr>
        <w:tab/>
      </w:r>
      <w:r w:rsidRPr="00057F2F">
        <w:rPr>
          <w:lang w:val="en-GB"/>
        </w:rPr>
        <w:br w:type="page"/>
      </w:r>
    </w:p>
    <w:p w14:paraId="2B6CB917" w14:textId="65D8D65D" w:rsidR="002D3A9C" w:rsidRPr="00057F2F" w:rsidRDefault="002D3A9C" w:rsidP="002D3A9C">
      <w:pPr>
        <w:pStyle w:val="Titolo2"/>
      </w:pPr>
      <w:r w:rsidRPr="00057F2F">
        <w:lastRenderedPageBreak/>
        <w:t xml:space="preserve">Appendix </w:t>
      </w:r>
      <w:r w:rsidR="003C6BBB" w:rsidRPr="00057F2F">
        <w:t>E</w:t>
      </w:r>
      <w:r w:rsidRPr="00057F2F">
        <w:t xml:space="preserve">. </w:t>
      </w:r>
      <w:r w:rsidR="00D36779" w:rsidRPr="00057F2F">
        <w:t>Functional trajectory and inter-sectoral upgrading</w:t>
      </w:r>
    </w:p>
    <w:p w14:paraId="5E15B299" w14:textId="77777777" w:rsidR="00B14DCE" w:rsidRPr="00057F2F" w:rsidRDefault="00B14DCE" w:rsidP="00D36779">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To complement the descriptive evidence reported in Table 5, we conduct three additional exercises examining the relationship between functional trajectories and sectoral upgrading patterns.</w:t>
      </w:r>
    </w:p>
    <w:p w14:paraId="4A8B051A" w14:textId="0D412C1F" w:rsidR="00B14DCE" w:rsidRPr="00057F2F" w:rsidRDefault="00B14DCE" w:rsidP="00827969">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First, we perform chi-squared tests of independence between functional trajectory groups and the dominant Pavitt specialization class of each region.</w:t>
      </w:r>
      <w:r w:rsidR="000E3928" w:rsidRPr="00057F2F">
        <w:rPr>
          <w:rStyle w:val="Rimandonotaapidipagina"/>
          <w:rFonts w:ascii="Times New Roman" w:hAnsi="Times New Roman" w:cs="Times New Roman"/>
          <w:color w:val="000000" w:themeColor="text1"/>
          <w:sz w:val="24"/>
          <w:szCs w:val="24"/>
          <w:lang w:val="en-GB"/>
        </w:rPr>
        <w:footnoteReference w:id="1"/>
      </w:r>
      <w:r w:rsidRPr="00057F2F">
        <w:rPr>
          <w:rFonts w:ascii="Times New Roman" w:hAnsi="Times New Roman" w:cs="Times New Roman"/>
          <w:color w:val="000000" w:themeColor="text1"/>
          <w:sz w:val="24"/>
          <w:szCs w:val="24"/>
          <w:lang w:val="en-GB"/>
        </w:rPr>
        <w:t xml:space="preserve"> The dominant Pavitt class is defined as the sectoral category with the highest specialization index (</w:t>
      </w:r>
      <w:r w:rsidR="008E0883" w:rsidRPr="00057F2F">
        <w:rPr>
          <w:rFonts w:ascii="Times New Roman" w:hAnsi="Times New Roman" w:cs="Times New Roman"/>
          <w:color w:val="000000" w:themeColor="text1"/>
          <w:sz w:val="24"/>
          <w:szCs w:val="24"/>
          <w:lang w:val="en-GB"/>
        </w:rPr>
        <w:t xml:space="preserve">and </w:t>
      </w:r>
      <w:r w:rsidR="003A5CC7" w:rsidRPr="00057F2F">
        <w:rPr>
          <w:rFonts w:ascii="Times New Roman" w:hAnsi="Times New Roman" w:cs="Times New Roman"/>
          <w:color w:val="000000" w:themeColor="text1"/>
          <w:sz w:val="24"/>
          <w:szCs w:val="24"/>
          <w:lang w:val="en-GB"/>
        </w:rPr>
        <w:t>P</w:t>
      </w:r>
      <w:r w:rsidRPr="00057F2F">
        <w:rPr>
          <w:rFonts w:ascii="Times New Roman" w:hAnsi="Times New Roman" w:cs="Times New Roman"/>
          <w:color w:val="000000" w:themeColor="text1"/>
          <w:sz w:val="24"/>
          <w:szCs w:val="24"/>
          <w:lang w:val="en-GB"/>
        </w:rPr>
        <w:t>S &gt; 1) within a given period. We construct contingency tables relating functional trajectories to: (</w:t>
      </w:r>
      <w:proofErr w:type="spellStart"/>
      <w:r w:rsidRPr="00057F2F">
        <w:rPr>
          <w:rFonts w:ascii="Times New Roman" w:hAnsi="Times New Roman" w:cs="Times New Roman"/>
          <w:color w:val="000000" w:themeColor="text1"/>
          <w:sz w:val="24"/>
          <w:szCs w:val="24"/>
          <w:lang w:val="en-GB"/>
        </w:rPr>
        <w:t>i</w:t>
      </w:r>
      <w:proofErr w:type="spellEnd"/>
      <w:r w:rsidRPr="00057F2F">
        <w:rPr>
          <w:rFonts w:ascii="Times New Roman" w:hAnsi="Times New Roman" w:cs="Times New Roman"/>
          <w:color w:val="000000" w:themeColor="text1"/>
          <w:sz w:val="24"/>
          <w:szCs w:val="24"/>
          <w:lang w:val="en-GB"/>
        </w:rPr>
        <w:t xml:space="preserve">) the </w:t>
      </w:r>
      <w:r w:rsidR="00827969" w:rsidRPr="00057F2F">
        <w:rPr>
          <w:rFonts w:ascii="Times New Roman" w:hAnsi="Times New Roman" w:cs="Times New Roman"/>
          <w:sz w:val="24"/>
          <w:szCs w:val="24"/>
          <w:lang w:val="en-GB"/>
        </w:rPr>
        <w:t xml:space="preserve">sectoral Pavitt-based Specialization (PS) </w:t>
      </w:r>
      <w:r w:rsidR="006E166F" w:rsidRPr="00057F2F">
        <w:rPr>
          <w:rFonts w:ascii="Times New Roman" w:hAnsi="Times New Roman" w:cs="Times New Roman"/>
          <w:color w:val="000000" w:themeColor="text1"/>
          <w:sz w:val="24"/>
          <w:szCs w:val="24"/>
          <w:lang w:val="en-GB"/>
        </w:rPr>
        <w:t xml:space="preserve">in the </w:t>
      </w:r>
      <w:r w:rsidRPr="00057F2F">
        <w:rPr>
          <w:rFonts w:ascii="Times New Roman" w:hAnsi="Times New Roman" w:cs="Times New Roman"/>
          <w:color w:val="000000" w:themeColor="text1"/>
          <w:sz w:val="24"/>
          <w:szCs w:val="24"/>
          <w:lang w:val="en-GB"/>
        </w:rPr>
        <w:t xml:space="preserve">dominant Pavitt </w:t>
      </w:r>
      <w:r w:rsidR="006E166F" w:rsidRPr="00057F2F">
        <w:rPr>
          <w:rFonts w:ascii="Times New Roman" w:hAnsi="Times New Roman" w:cs="Times New Roman"/>
          <w:color w:val="000000" w:themeColor="text1"/>
          <w:sz w:val="24"/>
          <w:szCs w:val="24"/>
          <w:lang w:val="en-GB"/>
        </w:rPr>
        <w:t>class</w:t>
      </w:r>
      <w:r w:rsidRPr="00057F2F">
        <w:rPr>
          <w:rFonts w:ascii="Times New Roman" w:hAnsi="Times New Roman" w:cs="Times New Roman"/>
          <w:color w:val="000000" w:themeColor="text1"/>
          <w:sz w:val="24"/>
          <w:szCs w:val="24"/>
          <w:lang w:val="en-GB"/>
        </w:rPr>
        <w:t xml:space="preserve"> in the pre-crisis period (2003–2008); (ii) </w:t>
      </w:r>
      <w:r w:rsidR="006E166F" w:rsidRPr="00057F2F">
        <w:rPr>
          <w:rFonts w:ascii="Times New Roman" w:hAnsi="Times New Roman" w:cs="Times New Roman"/>
          <w:color w:val="000000" w:themeColor="text1"/>
          <w:sz w:val="24"/>
          <w:szCs w:val="24"/>
          <w:lang w:val="en-GB"/>
        </w:rPr>
        <w:t xml:space="preserve">the </w:t>
      </w:r>
      <w:r w:rsidR="003A5CC7" w:rsidRPr="00057F2F">
        <w:rPr>
          <w:rFonts w:ascii="Times New Roman" w:hAnsi="Times New Roman" w:cs="Times New Roman"/>
          <w:color w:val="000000" w:themeColor="text1"/>
          <w:sz w:val="24"/>
          <w:szCs w:val="24"/>
          <w:lang w:val="en-GB"/>
        </w:rPr>
        <w:t>P</w:t>
      </w:r>
      <w:r w:rsidR="006E166F" w:rsidRPr="00057F2F">
        <w:rPr>
          <w:rFonts w:ascii="Times New Roman" w:hAnsi="Times New Roman" w:cs="Times New Roman"/>
          <w:color w:val="000000" w:themeColor="text1"/>
          <w:sz w:val="24"/>
          <w:szCs w:val="24"/>
          <w:lang w:val="en-GB"/>
        </w:rPr>
        <w:t xml:space="preserve">S in the dominant Pavitt class </w:t>
      </w:r>
      <w:r w:rsidRPr="00057F2F">
        <w:rPr>
          <w:rFonts w:ascii="Times New Roman" w:hAnsi="Times New Roman" w:cs="Times New Roman"/>
          <w:color w:val="000000" w:themeColor="text1"/>
          <w:sz w:val="24"/>
          <w:szCs w:val="24"/>
          <w:lang w:val="en-GB"/>
        </w:rPr>
        <w:t xml:space="preserve">in the post-crisis period (2013–2018); and (iii) changes in dominant Pavitt specialization between the two periods. </w:t>
      </w:r>
      <w:r w:rsidRPr="00057F2F">
        <w:rPr>
          <w:rFonts w:ascii="Times New Roman" w:hAnsi="Times New Roman" w:cs="Times New Roman"/>
          <w:b/>
          <w:bCs/>
          <w:color w:val="000000" w:themeColor="text1"/>
          <w:sz w:val="24"/>
          <w:szCs w:val="24"/>
          <w:lang w:val="en-GB"/>
        </w:rPr>
        <w:t>Table E.1</w:t>
      </w:r>
      <w:r w:rsidRPr="00057F2F">
        <w:rPr>
          <w:rFonts w:ascii="Times New Roman" w:hAnsi="Times New Roman" w:cs="Times New Roman"/>
          <w:color w:val="000000" w:themeColor="text1"/>
          <w:sz w:val="24"/>
          <w:szCs w:val="24"/>
          <w:lang w:val="en-GB"/>
        </w:rPr>
        <w:t xml:space="preserve"> reports the results. The null hypothesis of independence is rejected in all cases, indicating a systematic association between functional trajectories and sectoral specialization patterns.</w:t>
      </w:r>
    </w:p>
    <w:p w14:paraId="0561B1BE" w14:textId="23C1F598" w:rsidR="00B14DCE" w:rsidRPr="00057F2F" w:rsidRDefault="00B14DCE" w:rsidP="00D36779">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 xml:space="preserve">Second, we examine whether regions experiencing functional upgrading also display stronger inter-sectoral upgrading. For each region, we compute the change in specialization in Science-Based industries </w:t>
      </w:r>
      <w:r w:rsidR="003A5CC7" w:rsidRPr="00057F2F">
        <w:rPr>
          <w:rFonts w:ascii="Times New Roman" w:hAnsi="Times New Roman" w:cs="Times New Roman"/>
          <w:color w:val="000000" w:themeColor="text1"/>
          <w:sz w:val="24"/>
          <w:szCs w:val="24"/>
          <w:lang w:val="en-GB"/>
        </w:rPr>
        <w:t xml:space="preserve">(ΔPS_SB) </w:t>
      </w:r>
      <w:r w:rsidRPr="00057F2F">
        <w:rPr>
          <w:rFonts w:ascii="Times New Roman" w:hAnsi="Times New Roman" w:cs="Times New Roman"/>
          <w:color w:val="000000" w:themeColor="text1"/>
          <w:sz w:val="24"/>
          <w:szCs w:val="24"/>
          <w:lang w:val="en-GB"/>
        </w:rPr>
        <w:t xml:space="preserve">between the first and third periods and compare upgrading regions with the other trajectory groups using Welch t-tests. As reported in </w:t>
      </w:r>
      <w:r w:rsidRPr="00057F2F">
        <w:rPr>
          <w:rFonts w:ascii="Times New Roman" w:hAnsi="Times New Roman" w:cs="Times New Roman"/>
          <w:b/>
          <w:bCs/>
          <w:color w:val="000000" w:themeColor="text1"/>
          <w:sz w:val="24"/>
          <w:szCs w:val="24"/>
          <w:lang w:val="en-GB"/>
        </w:rPr>
        <w:t>Table E.2</w:t>
      </w:r>
      <w:r w:rsidRPr="00057F2F">
        <w:rPr>
          <w:rFonts w:ascii="Times New Roman" w:hAnsi="Times New Roman" w:cs="Times New Roman"/>
          <w:color w:val="000000" w:themeColor="text1"/>
          <w:sz w:val="24"/>
          <w:szCs w:val="24"/>
          <w:lang w:val="en-GB"/>
        </w:rPr>
        <w:t xml:space="preserve">, </w:t>
      </w:r>
      <w:r w:rsidR="00E870EA" w:rsidRPr="00057F2F">
        <w:rPr>
          <w:rFonts w:ascii="Times New Roman" w:hAnsi="Times New Roman" w:cs="Times New Roman"/>
          <w:color w:val="000000" w:themeColor="text1"/>
          <w:sz w:val="24"/>
          <w:szCs w:val="24"/>
          <w:lang w:val="en-GB"/>
        </w:rPr>
        <w:t>regions undergoing functional upgrading record significantly larger increases in Science-Based specialization than most other groups, particularly relative to persistently production-specialized and downgrading regions. Conversely, regions experiencing functional downgrading, and to a lesser extent those persistently specialized in production functions, tend to exhibit weaker changes in Science-Based specialization. Overall, the results point to systematic differences in sectoral upgrading across functional trajectories</w:t>
      </w:r>
      <w:r w:rsidRPr="00057F2F">
        <w:rPr>
          <w:rFonts w:ascii="Times New Roman" w:hAnsi="Times New Roman" w:cs="Times New Roman"/>
          <w:color w:val="000000" w:themeColor="text1"/>
          <w:sz w:val="24"/>
          <w:szCs w:val="24"/>
          <w:lang w:val="en-GB"/>
        </w:rPr>
        <w:t>.</w:t>
      </w:r>
    </w:p>
    <w:p w14:paraId="3BA7C672" w14:textId="252DBC69" w:rsidR="00B14DCE" w:rsidRPr="00057F2F" w:rsidRDefault="00B14DCE" w:rsidP="00D36779">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Third, we estimate OLS regressions where the dependent variable is the change in regional specialization in Science-Based industries</w:t>
      </w:r>
      <w:r w:rsidR="003A5CC7" w:rsidRPr="00057F2F">
        <w:rPr>
          <w:rFonts w:ascii="Times New Roman" w:hAnsi="Times New Roman" w:cs="Times New Roman"/>
          <w:color w:val="000000" w:themeColor="text1"/>
          <w:sz w:val="24"/>
          <w:szCs w:val="24"/>
          <w:lang w:val="en-GB"/>
        </w:rPr>
        <w:t xml:space="preserve"> (ΔPS_SB) </w:t>
      </w:r>
      <w:r w:rsidRPr="00057F2F">
        <w:rPr>
          <w:rFonts w:ascii="Times New Roman" w:hAnsi="Times New Roman" w:cs="Times New Roman"/>
          <w:color w:val="000000" w:themeColor="text1"/>
          <w:sz w:val="24"/>
          <w:szCs w:val="24"/>
          <w:lang w:val="en-GB"/>
        </w:rPr>
        <w:t xml:space="preserve">between the two periods. Functional trajectory groups are included as explanatory variables, with persistently production-specialised regions serving as the reference category. </w:t>
      </w:r>
      <w:r w:rsidRPr="00057F2F">
        <w:rPr>
          <w:rFonts w:ascii="Times New Roman" w:hAnsi="Times New Roman" w:cs="Times New Roman"/>
          <w:b/>
          <w:bCs/>
          <w:color w:val="000000" w:themeColor="text1"/>
          <w:sz w:val="24"/>
          <w:szCs w:val="24"/>
          <w:lang w:val="en-GB"/>
        </w:rPr>
        <w:t>Table E.3</w:t>
      </w:r>
      <w:r w:rsidRPr="00057F2F">
        <w:rPr>
          <w:rFonts w:ascii="Times New Roman" w:hAnsi="Times New Roman" w:cs="Times New Roman"/>
          <w:color w:val="000000" w:themeColor="text1"/>
          <w:sz w:val="24"/>
          <w:szCs w:val="24"/>
          <w:lang w:val="en-GB"/>
        </w:rPr>
        <w:t xml:space="preserve"> reports the results. Column (1) includes only trajectory-group indicators; Column (2) additionally controls for the initial level of Science-Based specialisation; and Column (3) further controls for the initial level of relative functional specialisation (RFS). Across all specifications, the coefficient associated with functional upgrading remains positive and statistically significant.</w:t>
      </w:r>
    </w:p>
    <w:p w14:paraId="526D4E66" w14:textId="3CB71A0D" w:rsidR="00B14DCE" w:rsidRPr="00057F2F" w:rsidRDefault="00B14DCE" w:rsidP="00D36779">
      <w:pPr>
        <w:jc w:val="both"/>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t>Taken together, these results indicate that regions experiencing functional upgrading are also more likely to increase their specialization in Science-Based industries. While the period-based structure of the analysis does not allow the temporal ordering of functional and sectoral change to be identified, the evidence is consistent with the view that the two processes tend to co-evolve over time.</w:t>
      </w:r>
    </w:p>
    <w:p w14:paraId="3D3DA82B" w14:textId="77777777" w:rsidR="00B14DCE" w:rsidRPr="00057F2F" w:rsidRDefault="00B14DCE" w:rsidP="00D36779">
      <w:pPr>
        <w:jc w:val="both"/>
        <w:rPr>
          <w:rFonts w:ascii="Times New Roman" w:hAnsi="Times New Roman" w:cs="Times New Roman"/>
          <w:color w:val="000000" w:themeColor="text1"/>
          <w:sz w:val="24"/>
          <w:szCs w:val="24"/>
          <w:lang w:val="en-GB"/>
        </w:rPr>
      </w:pPr>
    </w:p>
    <w:p w14:paraId="4AC91B07" w14:textId="201EB84E" w:rsidR="00D36779" w:rsidRPr="00057F2F" w:rsidRDefault="00D36779">
      <w:pPr>
        <w:rPr>
          <w:rFonts w:ascii="Times New Roman" w:hAnsi="Times New Roman" w:cs="Times New Roman"/>
          <w:color w:val="000000" w:themeColor="text1"/>
          <w:sz w:val="24"/>
          <w:szCs w:val="24"/>
          <w:lang w:val="en-GB"/>
        </w:rPr>
      </w:pPr>
      <w:r w:rsidRPr="00057F2F">
        <w:rPr>
          <w:rFonts w:ascii="Times New Roman" w:hAnsi="Times New Roman" w:cs="Times New Roman"/>
          <w:color w:val="000000" w:themeColor="text1"/>
          <w:sz w:val="24"/>
          <w:szCs w:val="24"/>
          <w:lang w:val="en-GB"/>
        </w:rPr>
        <w:br w:type="page"/>
      </w:r>
    </w:p>
    <w:p w14:paraId="5EB8D9AE" w14:textId="77777777" w:rsidR="00D36779" w:rsidRPr="00057F2F" w:rsidRDefault="00D36779" w:rsidP="00D36779">
      <w:pPr>
        <w:pStyle w:val="Titolo3"/>
      </w:pPr>
      <w:r w:rsidRPr="00057F2F">
        <w:rPr>
          <w:b/>
          <w:bCs/>
        </w:rPr>
        <w:lastRenderedPageBreak/>
        <w:t>Table E.1.</w:t>
      </w:r>
      <w:r w:rsidRPr="00057F2F">
        <w:t xml:space="preserve"> Chi-squared test: functional trajectory group and dominant Pavitt class</w:t>
      </w:r>
    </w:p>
    <w:tbl>
      <w:tblPr>
        <w:tblW w:w="6636" w:type="dxa"/>
        <w:jc w:val="center"/>
        <w:tblLayout w:type="fixed"/>
        <w:tblLook w:val="0420" w:firstRow="1" w:lastRow="0" w:firstColumn="0" w:lastColumn="0" w:noHBand="0" w:noVBand="1"/>
      </w:tblPr>
      <w:tblGrid>
        <w:gridCol w:w="4176"/>
        <w:gridCol w:w="1328"/>
        <w:gridCol w:w="1132"/>
      </w:tblGrid>
      <w:tr w:rsidR="00D36779" w:rsidRPr="00057F2F" w14:paraId="6ECA2BAB" w14:textId="77777777" w:rsidTr="00D36779">
        <w:trPr>
          <w:tblHeader/>
          <w:jc w:val="center"/>
        </w:trPr>
        <w:tc>
          <w:tcPr>
            <w:tcW w:w="417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483D41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Test</w:t>
            </w:r>
          </w:p>
        </w:tc>
        <w:tc>
          <w:tcPr>
            <w:tcW w:w="1328"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06CFF3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χ²</w:t>
            </w:r>
          </w:p>
        </w:tc>
        <w:tc>
          <w:tcPr>
            <w:tcW w:w="113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08831C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p-value</w:t>
            </w:r>
          </w:p>
        </w:tc>
      </w:tr>
      <w:tr w:rsidR="00D36779" w:rsidRPr="00057F2F" w14:paraId="3412EF86" w14:textId="77777777" w:rsidTr="00D36779">
        <w:trPr>
          <w:jc w:val="center"/>
        </w:trPr>
        <w:tc>
          <w:tcPr>
            <w:tcW w:w="4176" w:type="dxa"/>
            <w:tcBorders>
              <w:top w:val="single" w:sz="4" w:space="0" w:color="auto"/>
            </w:tcBorders>
            <w:shd w:val="clear" w:color="auto" w:fill="FFFFFF"/>
            <w:tcMar>
              <w:top w:w="0" w:type="dxa"/>
              <w:left w:w="0" w:type="dxa"/>
              <w:bottom w:w="0" w:type="dxa"/>
              <w:right w:w="0" w:type="dxa"/>
            </w:tcMar>
            <w:vAlign w:val="center"/>
          </w:tcPr>
          <w:p w14:paraId="5CFA1FC7" w14:textId="1DACD091" w:rsidR="00D36779" w:rsidRPr="00057F2F" w:rsidRDefault="006E166F" w:rsidP="00163C2A">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 xml:space="preserve">Functional </w:t>
            </w:r>
            <w:r w:rsidR="00D36779" w:rsidRPr="00057F2F">
              <w:rPr>
                <w:rFonts w:ascii="Times New Roman" w:eastAsia="Arial" w:hAnsi="Times New Roman" w:cs="Times New Roman"/>
                <w:lang w:val="en-GB"/>
              </w:rPr>
              <w:t xml:space="preserve">Trajectory x Dominant Pavitt </w:t>
            </w:r>
            <w:r w:rsidRPr="00057F2F">
              <w:rPr>
                <w:rFonts w:ascii="Times New Roman" w:eastAsia="Arial" w:hAnsi="Times New Roman" w:cs="Times New Roman"/>
                <w:lang w:val="en-GB"/>
              </w:rPr>
              <w:t xml:space="preserve">class </w:t>
            </w:r>
            <w:r w:rsidR="00D36779" w:rsidRPr="00057F2F">
              <w:rPr>
                <w:rFonts w:ascii="Times New Roman" w:eastAsia="Arial" w:hAnsi="Times New Roman" w:cs="Times New Roman"/>
                <w:lang w:val="en-GB"/>
              </w:rPr>
              <w:t>(period 1)</w:t>
            </w:r>
          </w:p>
        </w:tc>
        <w:tc>
          <w:tcPr>
            <w:tcW w:w="1328" w:type="dxa"/>
            <w:tcBorders>
              <w:top w:val="single" w:sz="4" w:space="0" w:color="auto"/>
            </w:tcBorders>
            <w:shd w:val="clear" w:color="auto" w:fill="FFFFFF"/>
            <w:tcMar>
              <w:top w:w="0" w:type="dxa"/>
              <w:left w:w="0" w:type="dxa"/>
              <w:bottom w:w="0" w:type="dxa"/>
              <w:right w:w="0" w:type="dxa"/>
            </w:tcMar>
            <w:vAlign w:val="center"/>
          </w:tcPr>
          <w:p w14:paraId="02A1FB6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77.65</w:t>
            </w:r>
          </w:p>
        </w:tc>
        <w:tc>
          <w:tcPr>
            <w:tcW w:w="1132" w:type="dxa"/>
            <w:tcBorders>
              <w:top w:val="single" w:sz="4" w:space="0" w:color="auto"/>
            </w:tcBorders>
            <w:shd w:val="clear" w:color="auto" w:fill="FFFFFF"/>
            <w:tcMar>
              <w:top w:w="0" w:type="dxa"/>
              <w:left w:w="0" w:type="dxa"/>
              <w:bottom w:w="0" w:type="dxa"/>
              <w:right w:w="0" w:type="dxa"/>
            </w:tcMar>
            <w:vAlign w:val="center"/>
          </w:tcPr>
          <w:p w14:paraId="1B3727D1"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0.0001</w:t>
            </w:r>
          </w:p>
        </w:tc>
      </w:tr>
      <w:tr w:rsidR="00D36779" w:rsidRPr="00057F2F" w14:paraId="669E4BED" w14:textId="77777777" w:rsidTr="00D36779">
        <w:trPr>
          <w:jc w:val="center"/>
        </w:trPr>
        <w:tc>
          <w:tcPr>
            <w:tcW w:w="4176" w:type="dxa"/>
            <w:shd w:val="clear" w:color="auto" w:fill="FFFFFF"/>
            <w:tcMar>
              <w:top w:w="0" w:type="dxa"/>
              <w:left w:w="0" w:type="dxa"/>
              <w:bottom w:w="0" w:type="dxa"/>
              <w:right w:w="0" w:type="dxa"/>
            </w:tcMar>
            <w:vAlign w:val="center"/>
          </w:tcPr>
          <w:p w14:paraId="557BA844" w14:textId="26BBA7BA" w:rsidR="00D36779" w:rsidRPr="00057F2F" w:rsidRDefault="006E166F" w:rsidP="00163C2A">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 xml:space="preserve">Functional Trajectory x Dominant Pavitt class </w:t>
            </w:r>
            <w:r w:rsidR="00D36779" w:rsidRPr="00057F2F">
              <w:rPr>
                <w:rFonts w:ascii="Times New Roman" w:eastAsia="Arial" w:hAnsi="Times New Roman" w:cs="Times New Roman"/>
                <w:lang w:val="en-GB"/>
              </w:rPr>
              <w:t>(period 3)</w:t>
            </w:r>
          </w:p>
        </w:tc>
        <w:tc>
          <w:tcPr>
            <w:tcW w:w="1328" w:type="dxa"/>
            <w:shd w:val="clear" w:color="auto" w:fill="FFFFFF"/>
            <w:tcMar>
              <w:top w:w="0" w:type="dxa"/>
              <w:left w:w="0" w:type="dxa"/>
              <w:bottom w:w="0" w:type="dxa"/>
              <w:right w:w="0" w:type="dxa"/>
            </w:tcMar>
            <w:vAlign w:val="center"/>
          </w:tcPr>
          <w:p w14:paraId="03F32893"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40.23</w:t>
            </w:r>
          </w:p>
        </w:tc>
        <w:tc>
          <w:tcPr>
            <w:tcW w:w="1132" w:type="dxa"/>
            <w:shd w:val="clear" w:color="auto" w:fill="FFFFFF"/>
            <w:tcMar>
              <w:top w:w="0" w:type="dxa"/>
              <w:left w:w="0" w:type="dxa"/>
              <w:bottom w:w="0" w:type="dxa"/>
              <w:right w:w="0" w:type="dxa"/>
            </w:tcMar>
            <w:vAlign w:val="center"/>
          </w:tcPr>
          <w:p w14:paraId="22684A2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0.0004</w:t>
            </w:r>
          </w:p>
        </w:tc>
      </w:tr>
      <w:tr w:rsidR="00D36779" w:rsidRPr="00057F2F" w14:paraId="43919E67" w14:textId="77777777" w:rsidTr="00D36779">
        <w:trPr>
          <w:jc w:val="center"/>
        </w:trPr>
        <w:tc>
          <w:tcPr>
            <w:tcW w:w="4176" w:type="dxa"/>
            <w:tcBorders>
              <w:bottom w:val="single" w:sz="4" w:space="0" w:color="auto"/>
            </w:tcBorders>
            <w:shd w:val="clear" w:color="auto" w:fill="FFFFFF"/>
            <w:tcMar>
              <w:top w:w="0" w:type="dxa"/>
              <w:left w:w="0" w:type="dxa"/>
              <w:bottom w:w="0" w:type="dxa"/>
              <w:right w:w="0" w:type="dxa"/>
            </w:tcMar>
            <w:vAlign w:val="center"/>
          </w:tcPr>
          <w:p w14:paraId="61D3B5A9" w14:textId="18465FAE"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Trajectory x Pavitt change (p1</w:t>
            </w:r>
            <w:r w:rsidR="003A5CC7" w:rsidRPr="00057F2F">
              <w:rPr>
                <w:rFonts w:ascii="Times New Roman" w:eastAsia="Arial" w:hAnsi="Times New Roman" w:cs="Times New Roman"/>
                <w:lang w:val="en-GB"/>
              </w:rPr>
              <w:t xml:space="preserve"> </w:t>
            </w:r>
            <w:r w:rsidR="003A5CC7" w:rsidRPr="00057F2F">
              <w:rPr>
                <w:rFonts w:ascii="Times New Roman" w:eastAsia="Arial" w:hAnsi="Times New Roman" w:cs="Times New Roman"/>
                <w:lang w:val="en-GB"/>
              </w:rPr>
              <w:sym w:font="Wingdings" w:char="F0E0"/>
            </w:r>
            <w:r w:rsidR="00A320EB" w:rsidRPr="00057F2F">
              <w:rPr>
                <w:rFonts w:ascii="Times New Roman" w:eastAsia="Arial" w:hAnsi="Times New Roman" w:cs="Times New Roman"/>
                <w:lang w:val="en-GB"/>
              </w:rPr>
              <w:t xml:space="preserve"> </w:t>
            </w:r>
            <w:r w:rsidRPr="00057F2F">
              <w:rPr>
                <w:rFonts w:ascii="Times New Roman" w:eastAsia="Arial" w:hAnsi="Times New Roman" w:cs="Times New Roman"/>
                <w:lang w:val="en-GB"/>
              </w:rPr>
              <w:t>p3)</w:t>
            </w:r>
          </w:p>
        </w:tc>
        <w:tc>
          <w:tcPr>
            <w:tcW w:w="1328" w:type="dxa"/>
            <w:tcBorders>
              <w:bottom w:val="single" w:sz="4" w:space="0" w:color="auto"/>
            </w:tcBorders>
            <w:shd w:val="clear" w:color="auto" w:fill="FFFFFF"/>
            <w:tcMar>
              <w:top w:w="0" w:type="dxa"/>
              <w:left w:w="0" w:type="dxa"/>
              <w:bottom w:w="0" w:type="dxa"/>
              <w:right w:w="0" w:type="dxa"/>
            </w:tcMar>
            <w:vAlign w:val="center"/>
          </w:tcPr>
          <w:p w14:paraId="11ED0A2F"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125.97</w:t>
            </w:r>
          </w:p>
        </w:tc>
        <w:tc>
          <w:tcPr>
            <w:tcW w:w="1132" w:type="dxa"/>
            <w:tcBorders>
              <w:bottom w:val="single" w:sz="4" w:space="0" w:color="auto"/>
            </w:tcBorders>
            <w:shd w:val="clear" w:color="auto" w:fill="FFFFFF"/>
            <w:tcMar>
              <w:top w:w="0" w:type="dxa"/>
              <w:left w:w="0" w:type="dxa"/>
              <w:bottom w:w="0" w:type="dxa"/>
              <w:right w:w="0" w:type="dxa"/>
            </w:tcMar>
            <w:vAlign w:val="center"/>
          </w:tcPr>
          <w:p w14:paraId="4DAC753B" w14:textId="09A86035"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right"/>
              <w:rPr>
                <w:rFonts w:ascii="Times New Roman" w:eastAsia="Arial" w:hAnsi="Times New Roman" w:cs="Times New Roman"/>
                <w:lang w:val="en-GB"/>
              </w:rPr>
            </w:pPr>
            <w:r w:rsidRPr="00057F2F">
              <w:rPr>
                <w:rFonts w:ascii="Times New Roman" w:eastAsia="Arial" w:hAnsi="Times New Roman" w:cs="Times New Roman"/>
                <w:lang w:val="en-GB"/>
              </w:rPr>
              <w:t>0.00</w:t>
            </w:r>
            <w:r w:rsidR="00957404" w:rsidRPr="00057F2F">
              <w:rPr>
                <w:rFonts w:ascii="Times New Roman" w:eastAsia="Arial" w:hAnsi="Times New Roman" w:cs="Times New Roman"/>
                <w:lang w:val="en-GB"/>
              </w:rPr>
              <w:t>13</w:t>
            </w:r>
          </w:p>
        </w:tc>
      </w:tr>
    </w:tbl>
    <w:p w14:paraId="38653E4A" w14:textId="6357625B" w:rsidR="00D36779" w:rsidRPr="00057F2F" w:rsidRDefault="001F5384" w:rsidP="001F5384">
      <w:pPr>
        <w:spacing w:before="60" w:after="120"/>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 xml:space="preserve">Source: authors’ elaboration based on </w:t>
      </w:r>
      <w:proofErr w:type="spellStart"/>
      <w:r w:rsidRPr="00057F2F">
        <w:rPr>
          <w:rFonts w:ascii="Times New Roman" w:hAnsi="Times New Roman" w:cs="Times New Roman"/>
          <w:sz w:val="20"/>
          <w:szCs w:val="20"/>
          <w:lang w:val="en-GB"/>
        </w:rPr>
        <w:t>fDi</w:t>
      </w:r>
      <w:proofErr w:type="spellEnd"/>
      <w:r w:rsidRPr="00057F2F">
        <w:rPr>
          <w:rFonts w:ascii="Times New Roman" w:hAnsi="Times New Roman" w:cs="Times New Roman"/>
          <w:sz w:val="20"/>
          <w:szCs w:val="20"/>
          <w:lang w:val="en-GB"/>
        </w:rPr>
        <w:t xml:space="preserve"> Markets data.</w:t>
      </w:r>
    </w:p>
    <w:p w14:paraId="7A705A99" w14:textId="77777777" w:rsidR="001F5384" w:rsidRPr="00057F2F" w:rsidRDefault="001F5384" w:rsidP="001F5384">
      <w:pPr>
        <w:spacing w:before="60" w:after="120"/>
        <w:jc w:val="center"/>
        <w:rPr>
          <w:rFonts w:ascii="Times New Roman" w:hAnsi="Times New Roman" w:cs="Times New Roman"/>
          <w:sz w:val="20"/>
          <w:szCs w:val="20"/>
          <w:lang w:val="en-GB"/>
        </w:rPr>
      </w:pPr>
    </w:p>
    <w:p w14:paraId="259969A6" w14:textId="5ED15573" w:rsidR="009227BB" w:rsidRPr="00057F2F" w:rsidRDefault="00D36779" w:rsidP="009227BB">
      <w:pPr>
        <w:pStyle w:val="Titolo3"/>
      </w:pPr>
      <w:r w:rsidRPr="00057F2F">
        <w:rPr>
          <w:b/>
          <w:bCs/>
        </w:rPr>
        <w:t>Table E.2.</w:t>
      </w:r>
      <w:r w:rsidRPr="00057F2F">
        <w:t xml:space="preserve"> T-test: change in Science-Based </w:t>
      </w:r>
      <w:r w:rsidR="003A5CC7" w:rsidRPr="00057F2F">
        <w:t>P</w:t>
      </w:r>
      <w:r w:rsidRPr="00057F2F">
        <w:t>S by functional trajectory</w:t>
      </w:r>
    </w:p>
    <w:tbl>
      <w:tblPr>
        <w:tblW w:w="10035" w:type="dxa"/>
        <w:jc w:val="center"/>
        <w:tblLayout w:type="fixed"/>
        <w:tblLook w:val="0420" w:firstRow="1" w:lastRow="0" w:firstColumn="0" w:lastColumn="0" w:noHBand="0" w:noVBand="1"/>
      </w:tblPr>
      <w:tblGrid>
        <w:gridCol w:w="4479"/>
        <w:gridCol w:w="227"/>
        <w:gridCol w:w="1360"/>
        <w:gridCol w:w="227"/>
        <w:gridCol w:w="1304"/>
        <w:gridCol w:w="227"/>
        <w:gridCol w:w="964"/>
        <w:gridCol w:w="227"/>
        <w:gridCol w:w="793"/>
        <w:gridCol w:w="227"/>
      </w:tblGrid>
      <w:tr w:rsidR="00C94D61" w:rsidRPr="00057F2F" w14:paraId="1E47E96C" w14:textId="77777777" w:rsidTr="00E870EA">
        <w:trPr>
          <w:gridAfter w:val="1"/>
          <w:wAfter w:w="227" w:type="dxa"/>
          <w:tblHeader/>
          <w:jc w:val="center"/>
        </w:trPr>
        <w:tc>
          <w:tcPr>
            <w:tcW w:w="9808" w:type="dxa"/>
            <w:gridSpan w:val="9"/>
            <w:tcBorders>
              <w:top w:val="single" w:sz="4" w:space="0" w:color="auto"/>
              <w:bottom w:val="single" w:sz="4" w:space="0" w:color="auto"/>
            </w:tcBorders>
            <w:shd w:val="clear" w:color="auto" w:fill="FFFFFF"/>
            <w:tcMar>
              <w:top w:w="0" w:type="dxa"/>
              <w:left w:w="0" w:type="dxa"/>
              <w:bottom w:w="0" w:type="dxa"/>
              <w:right w:w="0" w:type="dxa"/>
            </w:tcMar>
            <w:vAlign w:val="center"/>
          </w:tcPr>
          <w:p w14:paraId="234EBA25" w14:textId="59235562"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
                <w:bCs/>
                <w:lang w:val="en-GB"/>
              </w:rPr>
            </w:pPr>
            <w:r w:rsidRPr="00057F2F">
              <w:rPr>
                <w:rFonts w:ascii="Times New Roman" w:eastAsia="Arial" w:hAnsi="Times New Roman" w:cs="Times New Roman"/>
                <w:b/>
                <w:bCs/>
                <w:lang w:val="en-GB"/>
              </w:rPr>
              <w:t>(A) Regions experiencing functional upgrading</w:t>
            </w:r>
          </w:p>
        </w:tc>
      </w:tr>
      <w:tr w:rsidR="00C94D61" w:rsidRPr="00057F2F" w14:paraId="01480A85" w14:textId="77777777" w:rsidTr="00E870EA">
        <w:trPr>
          <w:gridAfter w:val="1"/>
          <w:wAfter w:w="227" w:type="dxa"/>
          <w:tblHeader/>
          <w:jc w:val="center"/>
        </w:trPr>
        <w:tc>
          <w:tcPr>
            <w:tcW w:w="447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424DD5F" w14:textId="77777777"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p>
        </w:tc>
        <w:tc>
          <w:tcPr>
            <w:tcW w:w="1587"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754D6D22" w14:textId="1FC8024F"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 xml:space="preserve">S_SB </w:t>
            </w:r>
            <w:r w:rsidRPr="00057F2F">
              <w:rPr>
                <w:rFonts w:ascii="Times New Roman" w:eastAsia="Arial" w:hAnsi="Times New Roman" w:cs="Times New Roman"/>
                <w:lang w:val="en-GB"/>
              </w:rPr>
              <w:br/>
              <w:t>(Upgrading)</w:t>
            </w:r>
          </w:p>
        </w:tc>
        <w:tc>
          <w:tcPr>
            <w:tcW w:w="153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3660B992" w14:textId="570D48E5"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 xml:space="preserve">S_SB </w:t>
            </w:r>
            <w:r w:rsidRPr="00057F2F">
              <w:rPr>
                <w:rFonts w:ascii="Times New Roman" w:eastAsia="Arial" w:hAnsi="Times New Roman" w:cs="Times New Roman"/>
                <w:lang w:val="en-GB"/>
              </w:rPr>
              <w:br/>
              <w:t>(Other)</w:t>
            </w:r>
          </w:p>
        </w:tc>
        <w:tc>
          <w:tcPr>
            <w:tcW w:w="119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37BBF892" w14:textId="77777777"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Difference</w:t>
            </w:r>
          </w:p>
        </w:tc>
        <w:tc>
          <w:tcPr>
            <w:tcW w:w="1020"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2E43FCDA" w14:textId="77777777" w:rsidR="00C94D61" w:rsidRPr="00057F2F" w:rsidRDefault="00C94D61"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p-value</w:t>
            </w:r>
          </w:p>
        </w:tc>
      </w:tr>
      <w:tr w:rsidR="00C94D61" w:rsidRPr="00057F2F" w14:paraId="4B960C11" w14:textId="77777777" w:rsidTr="00E870EA">
        <w:trPr>
          <w:gridAfter w:val="1"/>
          <w:wAfter w:w="227" w:type="dxa"/>
          <w:jc w:val="center"/>
        </w:trPr>
        <w:tc>
          <w:tcPr>
            <w:tcW w:w="4479" w:type="dxa"/>
            <w:tcBorders>
              <w:top w:val="single" w:sz="4" w:space="0" w:color="auto"/>
            </w:tcBorders>
            <w:shd w:val="clear" w:color="auto" w:fill="FFFFFF"/>
            <w:tcMar>
              <w:top w:w="0" w:type="dxa"/>
              <w:left w:w="0" w:type="dxa"/>
              <w:bottom w:w="0" w:type="dxa"/>
              <w:right w:w="0" w:type="dxa"/>
            </w:tcMar>
            <w:vAlign w:val="center"/>
          </w:tcPr>
          <w:p w14:paraId="1599F0AC" w14:textId="543646BD"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Persistently production</w:t>
            </w:r>
          </w:p>
        </w:tc>
        <w:tc>
          <w:tcPr>
            <w:tcW w:w="1587" w:type="dxa"/>
            <w:gridSpan w:val="2"/>
            <w:tcBorders>
              <w:top w:val="single" w:sz="4" w:space="0" w:color="auto"/>
            </w:tcBorders>
            <w:shd w:val="clear" w:color="auto" w:fill="FFFFFF"/>
            <w:tcMar>
              <w:top w:w="0" w:type="dxa"/>
              <w:left w:w="0" w:type="dxa"/>
              <w:bottom w:w="0" w:type="dxa"/>
              <w:right w:w="0" w:type="dxa"/>
            </w:tcMar>
            <w:vAlign w:val="center"/>
          </w:tcPr>
          <w:p w14:paraId="4DB2C4EF" w14:textId="4144A85C"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tcBorders>
              <w:top w:val="single" w:sz="4" w:space="0" w:color="auto"/>
            </w:tcBorders>
            <w:shd w:val="clear" w:color="auto" w:fill="FFFFFF"/>
            <w:tcMar>
              <w:top w:w="0" w:type="dxa"/>
              <w:left w:w="0" w:type="dxa"/>
              <w:bottom w:w="0" w:type="dxa"/>
              <w:right w:w="0" w:type="dxa"/>
            </w:tcMar>
            <w:vAlign w:val="center"/>
          </w:tcPr>
          <w:p w14:paraId="5E39E57B" w14:textId="01FBBA40"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191" w:type="dxa"/>
            <w:gridSpan w:val="2"/>
            <w:tcBorders>
              <w:top w:val="single" w:sz="4" w:space="0" w:color="auto"/>
            </w:tcBorders>
            <w:shd w:val="clear" w:color="auto" w:fill="FFFFFF"/>
            <w:tcMar>
              <w:top w:w="0" w:type="dxa"/>
              <w:left w:w="0" w:type="dxa"/>
              <w:bottom w:w="0" w:type="dxa"/>
              <w:right w:w="0" w:type="dxa"/>
            </w:tcMar>
            <w:vAlign w:val="center"/>
          </w:tcPr>
          <w:p w14:paraId="6E2585A9" w14:textId="3124E126"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0.5201*</w:t>
            </w:r>
          </w:p>
        </w:tc>
        <w:tc>
          <w:tcPr>
            <w:tcW w:w="1020" w:type="dxa"/>
            <w:gridSpan w:val="2"/>
            <w:tcBorders>
              <w:top w:val="single" w:sz="4" w:space="0" w:color="auto"/>
            </w:tcBorders>
            <w:shd w:val="clear" w:color="auto" w:fill="FFFFFF"/>
            <w:tcMar>
              <w:top w:w="0" w:type="dxa"/>
              <w:left w:w="0" w:type="dxa"/>
              <w:bottom w:w="0" w:type="dxa"/>
              <w:right w:w="0" w:type="dxa"/>
            </w:tcMar>
            <w:vAlign w:val="center"/>
          </w:tcPr>
          <w:p w14:paraId="0D81E760" w14:textId="5DBBAB77"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0.0608</w:t>
            </w:r>
          </w:p>
        </w:tc>
      </w:tr>
      <w:tr w:rsidR="00C94D61" w:rsidRPr="00057F2F" w14:paraId="571B2DA8"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5D000512" w14:textId="03ADCF92"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Persistently upstream</w:t>
            </w:r>
          </w:p>
        </w:tc>
        <w:tc>
          <w:tcPr>
            <w:tcW w:w="1587" w:type="dxa"/>
            <w:gridSpan w:val="2"/>
            <w:shd w:val="clear" w:color="auto" w:fill="FFFFFF"/>
            <w:tcMar>
              <w:top w:w="0" w:type="dxa"/>
              <w:left w:w="0" w:type="dxa"/>
              <w:bottom w:w="0" w:type="dxa"/>
              <w:right w:w="0" w:type="dxa"/>
            </w:tcMar>
            <w:vAlign w:val="center"/>
          </w:tcPr>
          <w:p w14:paraId="64CF5A87" w14:textId="3E00D7A0"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shd w:val="clear" w:color="auto" w:fill="FFFFFF"/>
            <w:tcMar>
              <w:top w:w="0" w:type="dxa"/>
              <w:left w:w="0" w:type="dxa"/>
              <w:bottom w:w="0" w:type="dxa"/>
              <w:right w:w="0" w:type="dxa"/>
            </w:tcMar>
            <w:vAlign w:val="center"/>
          </w:tcPr>
          <w:p w14:paraId="01D0E8D4" w14:textId="415CE8D2"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0.0268</w:t>
            </w:r>
          </w:p>
        </w:tc>
        <w:tc>
          <w:tcPr>
            <w:tcW w:w="1191" w:type="dxa"/>
            <w:gridSpan w:val="2"/>
            <w:shd w:val="clear" w:color="auto" w:fill="FFFFFF"/>
            <w:tcMar>
              <w:top w:w="0" w:type="dxa"/>
              <w:left w:w="0" w:type="dxa"/>
              <w:bottom w:w="0" w:type="dxa"/>
              <w:right w:w="0" w:type="dxa"/>
            </w:tcMar>
            <w:vAlign w:val="center"/>
          </w:tcPr>
          <w:p w14:paraId="4680C330" w14:textId="245C9602"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0.4569*</w:t>
            </w:r>
          </w:p>
        </w:tc>
        <w:tc>
          <w:tcPr>
            <w:tcW w:w="1020" w:type="dxa"/>
            <w:gridSpan w:val="2"/>
            <w:shd w:val="clear" w:color="auto" w:fill="FFFFFF"/>
            <w:tcMar>
              <w:top w:w="0" w:type="dxa"/>
              <w:left w:w="0" w:type="dxa"/>
              <w:bottom w:w="0" w:type="dxa"/>
              <w:right w:w="0" w:type="dxa"/>
            </w:tcMar>
            <w:vAlign w:val="center"/>
          </w:tcPr>
          <w:p w14:paraId="54F1B0DF" w14:textId="32D22DCC"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0.0986</w:t>
            </w:r>
          </w:p>
        </w:tc>
      </w:tr>
      <w:tr w:rsidR="00C94D61" w:rsidRPr="00057F2F" w14:paraId="0F8E1BB6"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0FFB1D40" w14:textId="4433CB18"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Persistently downstream</w:t>
            </w:r>
          </w:p>
        </w:tc>
        <w:tc>
          <w:tcPr>
            <w:tcW w:w="1587" w:type="dxa"/>
            <w:gridSpan w:val="2"/>
            <w:shd w:val="clear" w:color="auto" w:fill="FFFFFF"/>
            <w:tcMar>
              <w:top w:w="0" w:type="dxa"/>
              <w:left w:w="0" w:type="dxa"/>
              <w:bottom w:w="0" w:type="dxa"/>
              <w:right w:w="0" w:type="dxa"/>
            </w:tcMar>
            <w:vAlign w:val="center"/>
          </w:tcPr>
          <w:p w14:paraId="2F9DD753" w14:textId="12032559"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shd w:val="clear" w:color="auto" w:fill="FFFFFF"/>
            <w:tcMar>
              <w:top w:w="0" w:type="dxa"/>
              <w:left w:w="0" w:type="dxa"/>
              <w:bottom w:w="0" w:type="dxa"/>
              <w:right w:w="0" w:type="dxa"/>
            </w:tcMar>
            <w:vAlign w:val="center"/>
          </w:tcPr>
          <w:p w14:paraId="555A5209" w14:textId="1DBC81B4"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-0.0076</w:t>
            </w:r>
          </w:p>
        </w:tc>
        <w:tc>
          <w:tcPr>
            <w:tcW w:w="1191" w:type="dxa"/>
            <w:gridSpan w:val="2"/>
            <w:shd w:val="clear" w:color="auto" w:fill="FFFFFF"/>
            <w:tcMar>
              <w:top w:w="0" w:type="dxa"/>
              <w:left w:w="0" w:type="dxa"/>
              <w:bottom w:w="0" w:type="dxa"/>
              <w:right w:w="0" w:type="dxa"/>
            </w:tcMar>
            <w:vAlign w:val="center"/>
          </w:tcPr>
          <w:p w14:paraId="0509F6AB" w14:textId="63C89CF9"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0.4914*</w:t>
            </w:r>
          </w:p>
        </w:tc>
        <w:tc>
          <w:tcPr>
            <w:tcW w:w="1020" w:type="dxa"/>
            <w:gridSpan w:val="2"/>
            <w:shd w:val="clear" w:color="auto" w:fill="FFFFFF"/>
            <w:tcMar>
              <w:top w:w="0" w:type="dxa"/>
              <w:left w:w="0" w:type="dxa"/>
              <w:bottom w:w="0" w:type="dxa"/>
              <w:right w:w="0" w:type="dxa"/>
            </w:tcMar>
            <w:vAlign w:val="center"/>
          </w:tcPr>
          <w:p w14:paraId="02C66144" w14:textId="46D72C4C"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0.0752</w:t>
            </w:r>
          </w:p>
        </w:tc>
      </w:tr>
      <w:tr w:rsidR="00C94D61" w:rsidRPr="00057F2F" w14:paraId="035E23C9"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00C0EF5F" w14:textId="107362E9"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Downgrading</w:t>
            </w:r>
          </w:p>
        </w:tc>
        <w:tc>
          <w:tcPr>
            <w:tcW w:w="1587" w:type="dxa"/>
            <w:gridSpan w:val="2"/>
            <w:shd w:val="clear" w:color="auto" w:fill="FFFFFF"/>
            <w:tcMar>
              <w:top w:w="0" w:type="dxa"/>
              <w:left w:w="0" w:type="dxa"/>
              <w:bottom w:w="0" w:type="dxa"/>
              <w:right w:w="0" w:type="dxa"/>
            </w:tcMar>
            <w:vAlign w:val="center"/>
          </w:tcPr>
          <w:p w14:paraId="04ABCD2F" w14:textId="35A64AC7"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shd w:val="clear" w:color="auto" w:fill="FFFFFF"/>
            <w:tcMar>
              <w:top w:w="0" w:type="dxa"/>
              <w:left w:w="0" w:type="dxa"/>
              <w:bottom w:w="0" w:type="dxa"/>
              <w:right w:w="0" w:type="dxa"/>
            </w:tcMar>
            <w:vAlign w:val="center"/>
          </w:tcPr>
          <w:p w14:paraId="4DEB23FF" w14:textId="478F8EBB"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191" w:type="dxa"/>
            <w:gridSpan w:val="2"/>
            <w:shd w:val="clear" w:color="auto" w:fill="FFFFFF"/>
            <w:tcMar>
              <w:top w:w="0" w:type="dxa"/>
              <w:left w:w="0" w:type="dxa"/>
              <w:bottom w:w="0" w:type="dxa"/>
              <w:right w:w="0" w:type="dxa"/>
            </w:tcMar>
            <w:vAlign w:val="center"/>
          </w:tcPr>
          <w:p w14:paraId="50D0BB25" w14:textId="69637EFD"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0.6012**</w:t>
            </w:r>
          </w:p>
        </w:tc>
        <w:tc>
          <w:tcPr>
            <w:tcW w:w="1020" w:type="dxa"/>
            <w:gridSpan w:val="2"/>
            <w:shd w:val="clear" w:color="auto" w:fill="FFFFFF"/>
            <w:tcMar>
              <w:top w:w="0" w:type="dxa"/>
              <w:left w:w="0" w:type="dxa"/>
              <w:bottom w:w="0" w:type="dxa"/>
              <w:right w:w="0" w:type="dxa"/>
            </w:tcMar>
            <w:vAlign w:val="center"/>
          </w:tcPr>
          <w:p w14:paraId="3FE9B1FE" w14:textId="3B6E13E3"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0.0349</w:t>
            </w:r>
          </w:p>
        </w:tc>
      </w:tr>
      <w:tr w:rsidR="00C94D61" w:rsidRPr="00057F2F" w14:paraId="2FA6C984"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4D8F8693" w14:textId="08FDC169"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Up-Down switch</w:t>
            </w:r>
          </w:p>
        </w:tc>
        <w:tc>
          <w:tcPr>
            <w:tcW w:w="1587" w:type="dxa"/>
            <w:gridSpan w:val="2"/>
            <w:shd w:val="clear" w:color="auto" w:fill="FFFFFF"/>
            <w:tcMar>
              <w:top w:w="0" w:type="dxa"/>
              <w:left w:w="0" w:type="dxa"/>
              <w:bottom w:w="0" w:type="dxa"/>
              <w:right w:w="0" w:type="dxa"/>
            </w:tcMar>
            <w:vAlign w:val="center"/>
          </w:tcPr>
          <w:p w14:paraId="162A83DB" w14:textId="09F199BD"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shd w:val="clear" w:color="auto" w:fill="FFFFFF"/>
            <w:tcMar>
              <w:top w:w="0" w:type="dxa"/>
              <w:left w:w="0" w:type="dxa"/>
              <w:bottom w:w="0" w:type="dxa"/>
              <w:right w:w="0" w:type="dxa"/>
            </w:tcMar>
            <w:vAlign w:val="center"/>
          </w:tcPr>
          <w:p w14:paraId="781122DA" w14:textId="14A38ACE"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0.0342</w:t>
            </w:r>
          </w:p>
        </w:tc>
        <w:tc>
          <w:tcPr>
            <w:tcW w:w="1191" w:type="dxa"/>
            <w:gridSpan w:val="2"/>
            <w:shd w:val="clear" w:color="auto" w:fill="FFFFFF"/>
            <w:tcMar>
              <w:top w:w="0" w:type="dxa"/>
              <w:left w:w="0" w:type="dxa"/>
              <w:bottom w:w="0" w:type="dxa"/>
              <w:right w:w="0" w:type="dxa"/>
            </w:tcMar>
            <w:vAlign w:val="center"/>
          </w:tcPr>
          <w:p w14:paraId="4472EB2C" w14:textId="6110BB94"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0.4495</w:t>
            </w:r>
          </w:p>
        </w:tc>
        <w:tc>
          <w:tcPr>
            <w:tcW w:w="1020" w:type="dxa"/>
            <w:gridSpan w:val="2"/>
            <w:shd w:val="clear" w:color="auto" w:fill="FFFFFF"/>
            <w:tcMar>
              <w:top w:w="0" w:type="dxa"/>
              <w:left w:w="0" w:type="dxa"/>
              <w:bottom w:w="0" w:type="dxa"/>
              <w:right w:w="0" w:type="dxa"/>
            </w:tcMar>
            <w:vAlign w:val="center"/>
          </w:tcPr>
          <w:p w14:paraId="3FF83219" w14:textId="416F4F15"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0.1044</w:t>
            </w:r>
          </w:p>
        </w:tc>
      </w:tr>
      <w:tr w:rsidR="00C94D61" w:rsidRPr="00057F2F" w14:paraId="48287000" w14:textId="77777777" w:rsidTr="00E870EA">
        <w:trPr>
          <w:gridAfter w:val="1"/>
          <w:wAfter w:w="227" w:type="dxa"/>
          <w:jc w:val="center"/>
        </w:trPr>
        <w:tc>
          <w:tcPr>
            <w:tcW w:w="4479" w:type="dxa"/>
            <w:tcBorders>
              <w:bottom w:val="single" w:sz="4" w:space="0" w:color="auto"/>
            </w:tcBorders>
            <w:shd w:val="clear" w:color="auto" w:fill="FFFFFF"/>
            <w:tcMar>
              <w:top w:w="0" w:type="dxa"/>
              <w:left w:w="0" w:type="dxa"/>
              <w:bottom w:w="0" w:type="dxa"/>
              <w:right w:w="0" w:type="dxa"/>
            </w:tcMar>
            <w:vAlign w:val="center"/>
          </w:tcPr>
          <w:p w14:paraId="2C8D9E07" w14:textId="63BCB356"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Upgrading vs All others</w:t>
            </w:r>
          </w:p>
        </w:tc>
        <w:tc>
          <w:tcPr>
            <w:tcW w:w="1587" w:type="dxa"/>
            <w:gridSpan w:val="2"/>
            <w:tcBorders>
              <w:bottom w:val="single" w:sz="4" w:space="0" w:color="auto"/>
            </w:tcBorders>
            <w:shd w:val="clear" w:color="auto" w:fill="FFFFFF"/>
            <w:tcMar>
              <w:top w:w="0" w:type="dxa"/>
              <w:left w:w="0" w:type="dxa"/>
              <w:bottom w:w="0" w:type="dxa"/>
              <w:right w:w="0" w:type="dxa"/>
            </w:tcMar>
            <w:vAlign w:val="center"/>
          </w:tcPr>
          <w:p w14:paraId="4FF43A8C" w14:textId="5938C906"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0.4837</w:t>
            </w:r>
          </w:p>
        </w:tc>
        <w:tc>
          <w:tcPr>
            <w:tcW w:w="1531" w:type="dxa"/>
            <w:gridSpan w:val="2"/>
            <w:tcBorders>
              <w:bottom w:val="single" w:sz="4" w:space="0" w:color="auto"/>
            </w:tcBorders>
            <w:shd w:val="clear" w:color="auto" w:fill="FFFFFF"/>
            <w:tcMar>
              <w:top w:w="0" w:type="dxa"/>
              <w:left w:w="0" w:type="dxa"/>
              <w:bottom w:w="0" w:type="dxa"/>
              <w:right w:w="0" w:type="dxa"/>
            </w:tcMar>
            <w:vAlign w:val="center"/>
          </w:tcPr>
          <w:p w14:paraId="6776FC0D" w14:textId="7284E2C3"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-0.0214</w:t>
            </w:r>
          </w:p>
        </w:tc>
        <w:tc>
          <w:tcPr>
            <w:tcW w:w="1191" w:type="dxa"/>
            <w:gridSpan w:val="2"/>
            <w:tcBorders>
              <w:bottom w:val="single" w:sz="4" w:space="0" w:color="auto"/>
            </w:tcBorders>
            <w:shd w:val="clear" w:color="auto" w:fill="FFFFFF"/>
            <w:tcMar>
              <w:top w:w="0" w:type="dxa"/>
              <w:left w:w="0" w:type="dxa"/>
              <w:bottom w:w="0" w:type="dxa"/>
              <w:right w:w="0" w:type="dxa"/>
            </w:tcMar>
            <w:vAlign w:val="center"/>
          </w:tcPr>
          <w:p w14:paraId="5AB06DD7" w14:textId="6EFC4F25"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0.5051*</w:t>
            </w:r>
          </w:p>
        </w:tc>
        <w:tc>
          <w:tcPr>
            <w:tcW w:w="1020" w:type="dxa"/>
            <w:gridSpan w:val="2"/>
            <w:tcBorders>
              <w:bottom w:val="single" w:sz="4" w:space="0" w:color="auto"/>
            </w:tcBorders>
            <w:shd w:val="clear" w:color="auto" w:fill="FFFFFF"/>
            <w:tcMar>
              <w:top w:w="0" w:type="dxa"/>
              <w:left w:w="0" w:type="dxa"/>
              <w:bottom w:w="0" w:type="dxa"/>
              <w:right w:w="0" w:type="dxa"/>
            </w:tcMar>
            <w:vAlign w:val="center"/>
          </w:tcPr>
          <w:p w14:paraId="7539DEE2" w14:textId="092B3D25" w:rsidR="00C94D61" w:rsidRPr="00057F2F" w:rsidRDefault="00C94D61"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0.0667</w:t>
            </w:r>
          </w:p>
        </w:tc>
      </w:tr>
      <w:tr w:rsidR="00E870EA" w:rsidRPr="00057F2F" w14:paraId="3FCF3D05" w14:textId="77777777" w:rsidTr="00E870EA">
        <w:trPr>
          <w:gridAfter w:val="1"/>
          <w:wAfter w:w="227" w:type="dxa"/>
          <w:trHeight w:val="57"/>
          <w:jc w:val="center"/>
        </w:trPr>
        <w:tc>
          <w:tcPr>
            <w:tcW w:w="4479" w:type="dxa"/>
            <w:tcBorders>
              <w:bottom w:val="single" w:sz="4" w:space="0" w:color="auto"/>
            </w:tcBorders>
            <w:shd w:val="clear" w:color="auto" w:fill="FFFFFF"/>
            <w:tcMar>
              <w:top w:w="0" w:type="dxa"/>
              <w:left w:w="0" w:type="dxa"/>
              <w:bottom w:w="0" w:type="dxa"/>
              <w:right w:w="0" w:type="dxa"/>
            </w:tcMar>
            <w:vAlign w:val="center"/>
          </w:tcPr>
          <w:p w14:paraId="6F8A2C90" w14:textId="77777777" w:rsidR="00E870EA" w:rsidRPr="00057F2F" w:rsidRDefault="00E870EA" w:rsidP="009227BB">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sz w:val="12"/>
                <w:szCs w:val="12"/>
                <w:lang w:val="en-GB"/>
              </w:rPr>
            </w:pPr>
          </w:p>
        </w:tc>
        <w:tc>
          <w:tcPr>
            <w:tcW w:w="1587" w:type="dxa"/>
            <w:gridSpan w:val="2"/>
            <w:tcBorders>
              <w:bottom w:val="single" w:sz="4" w:space="0" w:color="auto"/>
            </w:tcBorders>
            <w:shd w:val="clear" w:color="auto" w:fill="FFFFFF"/>
            <w:tcMar>
              <w:top w:w="0" w:type="dxa"/>
              <w:left w:w="0" w:type="dxa"/>
              <w:bottom w:w="0" w:type="dxa"/>
              <w:right w:w="0" w:type="dxa"/>
            </w:tcMar>
            <w:vAlign w:val="center"/>
          </w:tcPr>
          <w:p w14:paraId="22DC9576" w14:textId="77777777" w:rsidR="00E870EA" w:rsidRPr="00057F2F" w:rsidRDefault="00E870EA"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sz w:val="12"/>
                <w:szCs w:val="12"/>
                <w:lang w:val="en-GB"/>
              </w:rPr>
            </w:pPr>
          </w:p>
        </w:tc>
        <w:tc>
          <w:tcPr>
            <w:tcW w:w="1531" w:type="dxa"/>
            <w:gridSpan w:val="2"/>
            <w:tcBorders>
              <w:bottom w:val="single" w:sz="4" w:space="0" w:color="auto"/>
            </w:tcBorders>
            <w:shd w:val="clear" w:color="auto" w:fill="FFFFFF"/>
            <w:tcMar>
              <w:top w:w="0" w:type="dxa"/>
              <w:left w:w="0" w:type="dxa"/>
              <w:bottom w:w="0" w:type="dxa"/>
              <w:right w:w="0" w:type="dxa"/>
            </w:tcMar>
            <w:vAlign w:val="center"/>
          </w:tcPr>
          <w:p w14:paraId="035EA12B" w14:textId="77777777" w:rsidR="00E870EA" w:rsidRPr="00057F2F" w:rsidRDefault="00E870EA"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sz w:val="12"/>
                <w:szCs w:val="12"/>
                <w:lang w:val="en-GB"/>
              </w:rPr>
            </w:pPr>
          </w:p>
        </w:tc>
        <w:tc>
          <w:tcPr>
            <w:tcW w:w="1191" w:type="dxa"/>
            <w:gridSpan w:val="2"/>
            <w:tcBorders>
              <w:bottom w:val="single" w:sz="4" w:space="0" w:color="auto"/>
            </w:tcBorders>
            <w:shd w:val="clear" w:color="auto" w:fill="FFFFFF"/>
            <w:tcMar>
              <w:top w:w="0" w:type="dxa"/>
              <w:left w:w="0" w:type="dxa"/>
              <w:bottom w:w="0" w:type="dxa"/>
              <w:right w:w="0" w:type="dxa"/>
            </w:tcMar>
            <w:vAlign w:val="center"/>
          </w:tcPr>
          <w:p w14:paraId="6059A52B" w14:textId="77777777" w:rsidR="00E870EA" w:rsidRPr="00057F2F" w:rsidRDefault="00E870EA"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sz w:val="12"/>
                <w:szCs w:val="12"/>
                <w:lang w:val="en-GB"/>
              </w:rPr>
            </w:pPr>
          </w:p>
        </w:tc>
        <w:tc>
          <w:tcPr>
            <w:tcW w:w="1020" w:type="dxa"/>
            <w:gridSpan w:val="2"/>
            <w:tcBorders>
              <w:bottom w:val="single" w:sz="4" w:space="0" w:color="auto"/>
            </w:tcBorders>
            <w:shd w:val="clear" w:color="auto" w:fill="FFFFFF"/>
            <w:tcMar>
              <w:top w:w="0" w:type="dxa"/>
              <w:left w:w="0" w:type="dxa"/>
              <w:bottom w:w="0" w:type="dxa"/>
              <w:right w:w="0" w:type="dxa"/>
            </w:tcMar>
            <w:vAlign w:val="center"/>
          </w:tcPr>
          <w:p w14:paraId="6A224573" w14:textId="77777777" w:rsidR="00E870EA" w:rsidRPr="00057F2F" w:rsidRDefault="00E870EA" w:rsidP="009227BB">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sz w:val="12"/>
                <w:szCs w:val="12"/>
                <w:lang w:val="en-GB"/>
              </w:rPr>
            </w:pPr>
          </w:p>
        </w:tc>
      </w:tr>
      <w:tr w:rsidR="00C94D61" w:rsidRPr="00057F2F" w14:paraId="0E3200D0" w14:textId="77777777" w:rsidTr="00E870EA">
        <w:trPr>
          <w:tblHeader/>
          <w:jc w:val="center"/>
        </w:trPr>
        <w:tc>
          <w:tcPr>
            <w:tcW w:w="10035" w:type="dxa"/>
            <w:gridSpan w:val="10"/>
            <w:tcBorders>
              <w:top w:val="single" w:sz="4" w:space="0" w:color="auto"/>
              <w:bottom w:val="single" w:sz="4" w:space="0" w:color="auto"/>
            </w:tcBorders>
            <w:shd w:val="clear" w:color="auto" w:fill="FFFFFF"/>
            <w:tcMar>
              <w:top w:w="0" w:type="dxa"/>
              <w:left w:w="0" w:type="dxa"/>
              <w:bottom w:w="0" w:type="dxa"/>
              <w:right w:w="0" w:type="dxa"/>
            </w:tcMar>
            <w:vAlign w:val="center"/>
          </w:tcPr>
          <w:p w14:paraId="2848DC23" w14:textId="30406DF4"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
                <w:bCs/>
                <w:lang w:val="en-GB"/>
              </w:rPr>
            </w:pPr>
            <w:r w:rsidRPr="00057F2F">
              <w:rPr>
                <w:rFonts w:ascii="Times New Roman" w:eastAsia="Arial" w:hAnsi="Times New Roman" w:cs="Times New Roman"/>
                <w:b/>
                <w:bCs/>
                <w:lang w:val="en-GB"/>
              </w:rPr>
              <w:t>(B) Regions persistently specialized in production functions</w:t>
            </w:r>
          </w:p>
        </w:tc>
      </w:tr>
      <w:tr w:rsidR="00C94D61" w:rsidRPr="00057F2F" w14:paraId="337969E4" w14:textId="77777777" w:rsidTr="00E870EA">
        <w:trPr>
          <w:tblHeader/>
          <w:jc w:val="center"/>
        </w:trPr>
        <w:tc>
          <w:tcPr>
            <w:tcW w:w="4706"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4154B94C"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US"/>
              </w:rPr>
            </w:pPr>
          </w:p>
        </w:tc>
        <w:tc>
          <w:tcPr>
            <w:tcW w:w="1587"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6A557D3C" w14:textId="33B25BDF"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S_SB</w:t>
            </w:r>
            <w:r w:rsidRPr="00057F2F">
              <w:rPr>
                <w:rFonts w:ascii="Times New Roman" w:eastAsia="Arial" w:hAnsi="Times New Roman" w:cs="Times New Roman"/>
                <w:lang w:val="en-GB"/>
              </w:rPr>
              <w:br/>
              <w:t>(Persistently production)</w:t>
            </w:r>
          </w:p>
        </w:tc>
        <w:tc>
          <w:tcPr>
            <w:tcW w:w="153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6CB264D3" w14:textId="5C7B5C51"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S_SB</w:t>
            </w:r>
            <w:r w:rsidRPr="00057F2F">
              <w:rPr>
                <w:rFonts w:ascii="Times New Roman" w:eastAsia="Arial" w:hAnsi="Times New Roman" w:cs="Times New Roman"/>
                <w:lang w:val="en-GB"/>
              </w:rPr>
              <w:br/>
              <w:t>(Other)</w:t>
            </w:r>
          </w:p>
        </w:tc>
        <w:tc>
          <w:tcPr>
            <w:tcW w:w="119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12D2E06D"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Difference</w:t>
            </w:r>
          </w:p>
        </w:tc>
        <w:tc>
          <w:tcPr>
            <w:tcW w:w="1020"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5B7F0897"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p-value</w:t>
            </w:r>
          </w:p>
        </w:tc>
      </w:tr>
      <w:tr w:rsidR="00C94D61" w:rsidRPr="00057F2F" w14:paraId="27E0BD11" w14:textId="77777777" w:rsidTr="00E870EA">
        <w:trPr>
          <w:jc w:val="center"/>
        </w:trPr>
        <w:tc>
          <w:tcPr>
            <w:tcW w:w="4706" w:type="dxa"/>
            <w:gridSpan w:val="2"/>
            <w:tcBorders>
              <w:top w:val="single" w:sz="4" w:space="0" w:color="auto"/>
            </w:tcBorders>
            <w:shd w:val="clear" w:color="auto" w:fill="FFFFFF"/>
            <w:tcMar>
              <w:top w:w="0" w:type="dxa"/>
              <w:left w:w="0" w:type="dxa"/>
              <w:bottom w:w="0" w:type="dxa"/>
              <w:right w:w="0" w:type="dxa"/>
            </w:tcMar>
            <w:vAlign w:val="center"/>
          </w:tcPr>
          <w:p w14:paraId="06C24B63" w14:textId="11232FFA"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lang w:val="en-US"/>
              </w:rPr>
            </w:pPr>
            <w:r w:rsidRPr="00057F2F">
              <w:rPr>
                <w:rFonts w:ascii="Times New Roman" w:eastAsia="Arial" w:hAnsi="Times New Roman" w:cs="Times New Roman"/>
                <w:color w:val="000000"/>
                <w:lang w:val="en-US"/>
              </w:rPr>
              <w:t>Persistently production vs Persistently upstream</w:t>
            </w:r>
          </w:p>
        </w:tc>
        <w:tc>
          <w:tcPr>
            <w:tcW w:w="1587" w:type="dxa"/>
            <w:gridSpan w:val="2"/>
            <w:tcBorders>
              <w:top w:val="single" w:sz="4" w:space="0" w:color="auto"/>
            </w:tcBorders>
            <w:shd w:val="clear" w:color="auto" w:fill="FFFFFF"/>
            <w:tcMar>
              <w:top w:w="0" w:type="dxa"/>
              <w:left w:w="0" w:type="dxa"/>
              <w:bottom w:w="0" w:type="dxa"/>
              <w:right w:w="0" w:type="dxa"/>
            </w:tcMar>
            <w:vAlign w:val="center"/>
          </w:tcPr>
          <w:p w14:paraId="66D2B871" w14:textId="32ED9B73"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tcBorders>
              <w:top w:val="single" w:sz="4" w:space="0" w:color="auto"/>
            </w:tcBorders>
            <w:shd w:val="clear" w:color="auto" w:fill="FFFFFF"/>
            <w:tcMar>
              <w:top w:w="0" w:type="dxa"/>
              <w:left w:w="0" w:type="dxa"/>
              <w:bottom w:w="0" w:type="dxa"/>
              <w:right w:w="0" w:type="dxa"/>
            </w:tcMar>
            <w:vAlign w:val="center"/>
          </w:tcPr>
          <w:p w14:paraId="3CFAB456" w14:textId="6FACFE63"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0.0268</w:t>
            </w:r>
          </w:p>
        </w:tc>
        <w:tc>
          <w:tcPr>
            <w:tcW w:w="1191" w:type="dxa"/>
            <w:gridSpan w:val="2"/>
            <w:tcBorders>
              <w:top w:val="single" w:sz="4" w:space="0" w:color="auto"/>
            </w:tcBorders>
            <w:shd w:val="clear" w:color="auto" w:fill="FFFFFF"/>
            <w:tcMar>
              <w:top w:w="0" w:type="dxa"/>
              <w:left w:w="0" w:type="dxa"/>
              <w:bottom w:w="0" w:type="dxa"/>
              <w:right w:w="0" w:type="dxa"/>
            </w:tcMar>
            <w:vAlign w:val="center"/>
          </w:tcPr>
          <w:p w14:paraId="78E50AF9" w14:textId="4FAFD2F5"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-0.0632</w:t>
            </w:r>
          </w:p>
        </w:tc>
        <w:tc>
          <w:tcPr>
            <w:tcW w:w="1020" w:type="dxa"/>
            <w:gridSpan w:val="2"/>
            <w:tcBorders>
              <w:top w:val="single" w:sz="4" w:space="0" w:color="auto"/>
            </w:tcBorders>
            <w:shd w:val="clear" w:color="auto" w:fill="FFFFFF"/>
            <w:tcMar>
              <w:top w:w="0" w:type="dxa"/>
              <w:left w:w="0" w:type="dxa"/>
              <w:bottom w:w="0" w:type="dxa"/>
              <w:right w:w="0" w:type="dxa"/>
            </w:tcMar>
            <w:vAlign w:val="center"/>
          </w:tcPr>
          <w:p w14:paraId="6FAF01B0" w14:textId="6711463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0.3389</w:t>
            </w:r>
          </w:p>
        </w:tc>
      </w:tr>
      <w:tr w:rsidR="00C94D61" w:rsidRPr="00057F2F" w14:paraId="593F0AD0" w14:textId="77777777" w:rsidTr="00E870EA">
        <w:trPr>
          <w:jc w:val="center"/>
        </w:trPr>
        <w:tc>
          <w:tcPr>
            <w:tcW w:w="4706" w:type="dxa"/>
            <w:gridSpan w:val="2"/>
            <w:shd w:val="clear" w:color="auto" w:fill="FFFFFF"/>
            <w:tcMar>
              <w:top w:w="0" w:type="dxa"/>
              <w:left w:w="0" w:type="dxa"/>
              <w:bottom w:w="0" w:type="dxa"/>
              <w:right w:w="0" w:type="dxa"/>
            </w:tcMar>
            <w:vAlign w:val="center"/>
          </w:tcPr>
          <w:p w14:paraId="5AC48067" w14:textId="0DF45607"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lang w:val="en-US"/>
              </w:rPr>
            </w:pPr>
            <w:r w:rsidRPr="00057F2F">
              <w:rPr>
                <w:rFonts w:ascii="Times New Roman" w:eastAsia="Arial" w:hAnsi="Times New Roman" w:cs="Times New Roman"/>
                <w:color w:val="000000"/>
                <w:lang w:val="en-US"/>
              </w:rPr>
              <w:t>Persistently production vs Persistently downstream</w:t>
            </w:r>
          </w:p>
        </w:tc>
        <w:tc>
          <w:tcPr>
            <w:tcW w:w="1587" w:type="dxa"/>
            <w:gridSpan w:val="2"/>
            <w:shd w:val="clear" w:color="auto" w:fill="FFFFFF"/>
            <w:tcMar>
              <w:top w:w="0" w:type="dxa"/>
              <w:left w:w="0" w:type="dxa"/>
              <w:bottom w:w="0" w:type="dxa"/>
              <w:right w:w="0" w:type="dxa"/>
            </w:tcMar>
            <w:vAlign w:val="center"/>
          </w:tcPr>
          <w:p w14:paraId="3F7EE428" w14:textId="636F1C1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shd w:val="clear" w:color="auto" w:fill="FFFFFF"/>
            <w:tcMar>
              <w:top w:w="0" w:type="dxa"/>
              <w:left w:w="0" w:type="dxa"/>
              <w:bottom w:w="0" w:type="dxa"/>
              <w:right w:w="0" w:type="dxa"/>
            </w:tcMar>
            <w:vAlign w:val="center"/>
          </w:tcPr>
          <w:p w14:paraId="0203AC39" w14:textId="41104CE6"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-0.0076</w:t>
            </w:r>
          </w:p>
        </w:tc>
        <w:tc>
          <w:tcPr>
            <w:tcW w:w="1191" w:type="dxa"/>
            <w:gridSpan w:val="2"/>
            <w:shd w:val="clear" w:color="auto" w:fill="FFFFFF"/>
            <w:tcMar>
              <w:top w:w="0" w:type="dxa"/>
              <w:left w:w="0" w:type="dxa"/>
              <w:bottom w:w="0" w:type="dxa"/>
              <w:right w:w="0" w:type="dxa"/>
            </w:tcMar>
            <w:vAlign w:val="center"/>
          </w:tcPr>
          <w:p w14:paraId="61F2CA71" w14:textId="4A495253"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-0.0287</w:t>
            </w:r>
          </w:p>
        </w:tc>
        <w:tc>
          <w:tcPr>
            <w:tcW w:w="1020" w:type="dxa"/>
            <w:gridSpan w:val="2"/>
            <w:shd w:val="clear" w:color="auto" w:fill="FFFFFF"/>
            <w:tcMar>
              <w:top w:w="0" w:type="dxa"/>
              <w:left w:w="0" w:type="dxa"/>
              <w:bottom w:w="0" w:type="dxa"/>
              <w:right w:w="0" w:type="dxa"/>
            </w:tcMar>
            <w:vAlign w:val="center"/>
          </w:tcPr>
          <w:p w14:paraId="3E9E480E" w14:textId="595C1189"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0.5991</w:t>
            </w:r>
          </w:p>
        </w:tc>
      </w:tr>
      <w:tr w:rsidR="00C94D61" w:rsidRPr="00057F2F" w14:paraId="67C16D8B" w14:textId="77777777" w:rsidTr="00E870EA">
        <w:trPr>
          <w:jc w:val="center"/>
        </w:trPr>
        <w:tc>
          <w:tcPr>
            <w:tcW w:w="4706" w:type="dxa"/>
            <w:gridSpan w:val="2"/>
            <w:shd w:val="clear" w:color="auto" w:fill="FFFFFF"/>
            <w:tcMar>
              <w:top w:w="0" w:type="dxa"/>
              <w:left w:w="0" w:type="dxa"/>
              <w:bottom w:w="0" w:type="dxa"/>
              <w:right w:w="0" w:type="dxa"/>
            </w:tcMar>
            <w:vAlign w:val="center"/>
          </w:tcPr>
          <w:p w14:paraId="396032F6" w14:textId="19511A3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proofErr w:type="spellStart"/>
            <w:r w:rsidRPr="00057F2F">
              <w:rPr>
                <w:rFonts w:ascii="Times New Roman" w:eastAsia="Arial" w:hAnsi="Times New Roman" w:cs="Times New Roman"/>
                <w:color w:val="000000"/>
              </w:rPr>
              <w:t>Persistently</w:t>
            </w:r>
            <w:proofErr w:type="spellEnd"/>
            <w:r w:rsidRPr="00057F2F">
              <w:rPr>
                <w:rFonts w:ascii="Times New Roman" w:eastAsia="Arial" w:hAnsi="Times New Roman" w:cs="Times New Roman"/>
                <w:color w:val="000000"/>
              </w:rPr>
              <w:t xml:space="preserve"> production vs Upgrading</w:t>
            </w:r>
          </w:p>
        </w:tc>
        <w:tc>
          <w:tcPr>
            <w:tcW w:w="1587" w:type="dxa"/>
            <w:gridSpan w:val="2"/>
            <w:shd w:val="clear" w:color="auto" w:fill="FFFFFF"/>
            <w:tcMar>
              <w:top w:w="0" w:type="dxa"/>
              <w:left w:w="0" w:type="dxa"/>
              <w:bottom w:w="0" w:type="dxa"/>
              <w:right w:w="0" w:type="dxa"/>
            </w:tcMar>
            <w:vAlign w:val="center"/>
          </w:tcPr>
          <w:p w14:paraId="3A8FE33B" w14:textId="3894B622"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shd w:val="clear" w:color="auto" w:fill="FFFFFF"/>
            <w:tcMar>
              <w:top w:w="0" w:type="dxa"/>
              <w:left w:w="0" w:type="dxa"/>
              <w:bottom w:w="0" w:type="dxa"/>
              <w:right w:w="0" w:type="dxa"/>
            </w:tcMar>
            <w:vAlign w:val="center"/>
          </w:tcPr>
          <w:p w14:paraId="3D0D1C6F" w14:textId="5A7026F7"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0.4837</w:t>
            </w:r>
          </w:p>
        </w:tc>
        <w:tc>
          <w:tcPr>
            <w:tcW w:w="1191" w:type="dxa"/>
            <w:gridSpan w:val="2"/>
            <w:shd w:val="clear" w:color="auto" w:fill="FFFFFF"/>
            <w:tcMar>
              <w:top w:w="0" w:type="dxa"/>
              <w:left w:w="0" w:type="dxa"/>
              <w:bottom w:w="0" w:type="dxa"/>
              <w:right w:w="0" w:type="dxa"/>
            </w:tcMar>
            <w:vAlign w:val="center"/>
          </w:tcPr>
          <w:p w14:paraId="3B08AB89" w14:textId="1B93CB1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-0.5201*</w:t>
            </w:r>
          </w:p>
        </w:tc>
        <w:tc>
          <w:tcPr>
            <w:tcW w:w="1020" w:type="dxa"/>
            <w:gridSpan w:val="2"/>
            <w:shd w:val="clear" w:color="auto" w:fill="FFFFFF"/>
            <w:tcMar>
              <w:top w:w="0" w:type="dxa"/>
              <w:left w:w="0" w:type="dxa"/>
              <w:bottom w:w="0" w:type="dxa"/>
              <w:right w:w="0" w:type="dxa"/>
            </w:tcMar>
            <w:vAlign w:val="center"/>
          </w:tcPr>
          <w:p w14:paraId="3F7E34EE" w14:textId="0FE3FB45"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0.0608</w:t>
            </w:r>
          </w:p>
        </w:tc>
      </w:tr>
      <w:tr w:rsidR="00C94D61" w:rsidRPr="00057F2F" w14:paraId="024AF598" w14:textId="77777777" w:rsidTr="00E870EA">
        <w:trPr>
          <w:jc w:val="center"/>
        </w:trPr>
        <w:tc>
          <w:tcPr>
            <w:tcW w:w="4706" w:type="dxa"/>
            <w:gridSpan w:val="2"/>
            <w:shd w:val="clear" w:color="auto" w:fill="FFFFFF"/>
            <w:tcMar>
              <w:top w:w="0" w:type="dxa"/>
              <w:left w:w="0" w:type="dxa"/>
              <w:bottom w:w="0" w:type="dxa"/>
              <w:right w:w="0" w:type="dxa"/>
            </w:tcMar>
            <w:vAlign w:val="center"/>
          </w:tcPr>
          <w:p w14:paraId="02945A99" w14:textId="41D93113"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proofErr w:type="spellStart"/>
            <w:r w:rsidRPr="00057F2F">
              <w:rPr>
                <w:rFonts w:ascii="Times New Roman" w:eastAsia="Arial" w:hAnsi="Times New Roman" w:cs="Times New Roman"/>
                <w:color w:val="000000"/>
              </w:rPr>
              <w:t>Persistently</w:t>
            </w:r>
            <w:proofErr w:type="spellEnd"/>
            <w:r w:rsidRPr="00057F2F">
              <w:rPr>
                <w:rFonts w:ascii="Times New Roman" w:eastAsia="Arial" w:hAnsi="Times New Roman" w:cs="Times New Roman"/>
                <w:color w:val="000000"/>
              </w:rPr>
              <w:t xml:space="preserve"> production vs Downgrading</w:t>
            </w:r>
          </w:p>
        </w:tc>
        <w:tc>
          <w:tcPr>
            <w:tcW w:w="1587" w:type="dxa"/>
            <w:gridSpan w:val="2"/>
            <w:shd w:val="clear" w:color="auto" w:fill="FFFFFF"/>
            <w:tcMar>
              <w:top w:w="0" w:type="dxa"/>
              <w:left w:w="0" w:type="dxa"/>
              <w:bottom w:w="0" w:type="dxa"/>
              <w:right w:w="0" w:type="dxa"/>
            </w:tcMar>
            <w:vAlign w:val="center"/>
          </w:tcPr>
          <w:p w14:paraId="10643EAE" w14:textId="3C1BF6CA"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shd w:val="clear" w:color="auto" w:fill="FFFFFF"/>
            <w:tcMar>
              <w:top w:w="0" w:type="dxa"/>
              <w:left w:w="0" w:type="dxa"/>
              <w:bottom w:w="0" w:type="dxa"/>
              <w:right w:w="0" w:type="dxa"/>
            </w:tcMar>
            <w:vAlign w:val="center"/>
          </w:tcPr>
          <w:p w14:paraId="70C55B4C" w14:textId="038CEBA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-0.1175</w:t>
            </w:r>
          </w:p>
        </w:tc>
        <w:tc>
          <w:tcPr>
            <w:tcW w:w="1191" w:type="dxa"/>
            <w:gridSpan w:val="2"/>
            <w:shd w:val="clear" w:color="auto" w:fill="FFFFFF"/>
            <w:tcMar>
              <w:top w:w="0" w:type="dxa"/>
              <w:left w:w="0" w:type="dxa"/>
              <w:bottom w:w="0" w:type="dxa"/>
              <w:right w:w="0" w:type="dxa"/>
            </w:tcMar>
            <w:vAlign w:val="center"/>
          </w:tcPr>
          <w:p w14:paraId="5E4C6B64" w14:textId="53FAEB97"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0.0811</w:t>
            </w:r>
          </w:p>
        </w:tc>
        <w:tc>
          <w:tcPr>
            <w:tcW w:w="1020" w:type="dxa"/>
            <w:gridSpan w:val="2"/>
            <w:shd w:val="clear" w:color="auto" w:fill="FFFFFF"/>
            <w:tcMar>
              <w:top w:w="0" w:type="dxa"/>
              <w:left w:w="0" w:type="dxa"/>
              <w:bottom w:w="0" w:type="dxa"/>
              <w:right w:w="0" w:type="dxa"/>
            </w:tcMar>
            <w:vAlign w:val="center"/>
          </w:tcPr>
          <w:p w14:paraId="64934F02" w14:textId="338C605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0.2889</w:t>
            </w:r>
          </w:p>
        </w:tc>
      </w:tr>
      <w:tr w:rsidR="00C94D61" w:rsidRPr="00057F2F" w14:paraId="16E4DC9A" w14:textId="77777777" w:rsidTr="00E870EA">
        <w:trPr>
          <w:jc w:val="center"/>
        </w:trPr>
        <w:tc>
          <w:tcPr>
            <w:tcW w:w="4706" w:type="dxa"/>
            <w:gridSpan w:val="2"/>
            <w:shd w:val="clear" w:color="auto" w:fill="FFFFFF"/>
            <w:tcMar>
              <w:top w:w="0" w:type="dxa"/>
              <w:left w:w="0" w:type="dxa"/>
              <w:bottom w:w="0" w:type="dxa"/>
              <w:right w:w="0" w:type="dxa"/>
            </w:tcMar>
            <w:vAlign w:val="center"/>
          </w:tcPr>
          <w:p w14:paraId="26AF4E8E" w14:textId="292B6CCB"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color w:val="000000"/>
                <w:lang w:val="en-US"/>
              </w:rPr>
              <w:t>Persistently production vs Up-Down switch</w:t>
            </w:r>
          </w:p>
        </w:tc>
        <w:tc>
          <w:tcPr>
            <w:tcW w:w="1587" w:type="dxa"/>
            <w:gridSpan w:val="2"/>
            <w:shd w:val="clear" w:color="auto" w:fill="FFFFFF"/>
            <w:tcMar>
              <w:top w:w="0" w:type="dxa"/>
              <w:left w:w="0" w:type="dxa"/>
              <w:bottom w:w="0" w:type="dxa"/>
              <w:right w:w="0" w:type="dxa"/>
            </w:tcMar>
            <w:vAlign w:val="center"/>
          </w:tcPr>
          <w:p w14:paraId="2E657614" w14:textId="17D7855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shd w:val="clear" w:color="auto" w:fill="FFFFFF"/>
            <w:tcMar>
              <w:top w:w="0" w:type="dxa"/>
              <w:left w:w="0" w:type="dxa"/>
              <w:bottom w:w="0" w:type="dxa"/>
              <w:right w:w="0" w:type="dxa"/>
            </w:tcMar>
            <w:vAlign w:val="center"/>
          </w:tcPr>
          <w:p w14:paraId="056FA49A" w14:textId="2FD76B87"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0.0342</w:t>
            </w:r>
          </w:p>
        </w:tc>
        <w:tc>
          <w:tcPr>
            <w:tcW w:w="1191" w:type="dxa"/>
            <w:gridSpan w:val="2"/>
            <w:shd w:val="clear" w:color="auto" w:fill="FFFFFF"/>
            <w:tcMar>
              <w:top w:w="0" w:type="dxa"/>
              <w:left w:w="0" w:type="dxa"/>
              <w:bottom w:w="0" w:type="dxa"/>
              <w:right w:w="0" w:type="dxa"/>
            </w:tcMar>
            <w:vAlign w:val="center"/>
          </w:tcPr>
          <w:p w14:paraId="270A586D" w14:textId="2144012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-0.0706</w:t>
            </w:r>
          </w:p>
        </w:tc>
        <w:tc>
          <w:tcPr>
            <w:tcW w:w="1020" w:type="dxa"/>
            <w:gridSpan w:val="2"/>
            <w:shd w:val="clear" w:color="auto" w:fill="FFFFFF"/>
            <w:tcMar>
              <w:top w:w="0" w:type="dxa"/>
              <w:left w:w="0" w:type="dxa"/>
              <w:bottom w:w="0" w:type="dxa"/>
              <w:right w:w="0" w:type="dxa"/>
            </w:tcMar>
            <w:vAlign w:val="center"/>
          </w:tcPr>
          <w:p w14:paraId="3908850C" w14:textId="23A2A453"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0.3073</w:t>
            </w:r>
          </w:p>
        </w:tc>
      </w:tr>
      <w:tr w:rsidR="00C94D61" w:rsidRPr="00057F2F" w14:paraId="34169013" w14:textId="77777777" w:rsidTr="00E870EA">
        <w:trPr>
          <w:jc w:val="center"/>
        </w:trPr>
        <w:tc>
          <w:tcPr>
            <w:tcW w:w="4706" w:type="dxa"/>
            <w:gridSpan w:val="2"/>
            <w:tcBorders>
              <w:bottom w:val="single" w:sz="4" w:space="0" w:color="auto"/>
            </w:tcBorders>
            <w:shd w:val="clear" w:color="auto" w:fill="FFFFFF"/>
            <w:tcMar>
              <w:top w:w="0" w:type="dxa"/>
              <w:left w:w="0" w:type="dxa"/>
              <w:bottom w:w="0" w:type="dxa"/>
              <w:right w:w="0" w:type="dxa"/>
            </w:tcMar>
            <w:vAlign w:val="center"/>
          </w:tcPr>
          <w:p w14:paraId="383D5657" w14:textId="2BA62D2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lang w:val="en-US"/>
              </w:rPr>
            </w:pPr>
            <w:r w:rsidRPr="00057F2F">
              <w:rPr>
                <w:rFonts w:ascii="Times New Roman" w:eastAsia="Arial" w:hAnsi="Times New Roman" w:cs="Times New Roman"/>
                <w:color w:val="000000"/>
                <w:lang w:val="en-US"/>
              </w:rPr>
              <w:t>Persistently production vs All others</w:t>
            </w:r>
          </w:p>
        </w:tc>
        <w:tc>
          <w:tcPr>
            <w:tcW w:w="1587" w:type="dxa"/>
            <w:gridSpan w:val="2"/>
            <w:tcBorders>
              <w:bottom w:val="single" w:sz="4" w:space="0" w:color="auto"/>
            </w:tcBorders>
            <w:shd w:val="clear" w:color="auto" w:fill="FFFFFF"/>
            <w:tcMar>
              <w:top w:w="0" w:type="dxa"/>
              <w:left w:w="0" w:type="dxa"/>
              <w:bottom w:w="0" w:type="dxa"/>
              <w:right w:w="0" w:type="dxa"/>
            </w:tcMar>
            <w:vAlign w:val="center"/>
          </w:tcPr>
          <w:p w14:paraId="24260832" w14:textId="42223769"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-0.0364</w:t>
            </w:r>
          </w:p>
        </w:tc>
        <w:tc>
          <w:tcPr>
            <w:tcW w:w="1531" w:type="dxa"/>
            <w:gridSpan w:val="2"/>
            <w:tcBorders>
              <w:bottom w:val="single" w:sz="4" w:space="0" w:color="auto"/>
            </w:tcBorders>
            <w:shd w:val="clear" w:color="auto" w:fill="FFFFFF"/>
            <w:tcMar>
              <w:top w:w="0" w:type="dxa"/>
              <w:left w:w="0" w:type="dxa"/>
              <w:bottom w:w="0" w:type="dxa"/>
              <w:right w:w="0" w:type="dxa"/>
            </w:tcMar>
            <w:vAlign w:val="center"/>
          </w:tcPr>
          <w:p w14:paraId="62152FAB" w14:textId="3C193A0F"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0.0673</w:t>
            </w:r>
          </w:p>
        </w:tc>
        <w:tc>
          <w:tcPr>
            <w:tcW w:w="1191" w:type="dxa"/>
            <w:gridSpan w:val="2"/>
            <w:tcBorders>
              <w:bottom w:val="single" w:sz="4" w:space="0" w:color="auto"/>
            </w:tcBorders>
            <w:shd w:val="clear" w:color="auto" w:fill="FFFFFF"/>
            <w:tcMar>
              <w:top w:w="0" w:type="dxa"/>
              <w:left w:w="0" w:type="dxa"/>
              <w:bottom w:w="0" w:type="dxa"/>
              <w:right w:w="0" w:type="dxa"/>
            </w:tcMar>
            <w:vAlign w:val="center"/>
          </w:tcPr>
          <w:p w14:paraId="61D2943A" w14:textId="382B307A"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-0.1036*</w:t>
            </w:r>
          </w:p>
        </w:tc>
        <w:tc>
          <w:tcPr>
            <w:tcW w:w="1020" w:type="dxa"/>
            <w:gridSpan w:val="2"/>
            <w:tcBorders>
              <w:bottom w:val="single" w:sz="4" w:space="0" w:color="auto"/>
            </w:tcBorders>
            <w:shd w:val="clear" w:color="auto" w:fill="FFFFFF"/>
            <w:tcMar>
              <w:top w:w="0" w:type="dxa"/>
              <w:left w:w="0" w:type="dxa"/>
              <w:bottom w:w="0" w:type="dxa"/>
              <w:right w:w="0" w:type="dxa"/>
            </w:tcMar>
            <w:vAlign w:val="center"/>
          </w:tcPr>
          <w:p w14:paraId="586EF76A" w14:textId="06ED52E8"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0.0827</w:t>
            </w:r>
          </w:p>
        </w:tc>
      </w:tr>
      <w:tr w:rsidR="00E870EA" w:rsidRPr="00057F2F" w14:paraId="47135FE6" w14:textId="77777777" w:rsidTr="00E870EA">
        <w:trPr>
          <w:jc w:val="center"/>
        </w:trPr>
        <w:tc>
          <w:tcPr>
            <w:tcW w:w="4706" w:type="dxa"/>
            <w:gridSpan w:val="2"/>
            <w:tcBorders>
              <w:bottom w:val="single" w:sz="4" w:space="0" w:color="auto"/>
            </w:tcBorders>
            <w:shd w:val="clear" w:color="auto" w:fill="FFFFFF"/>
            <w:tcMar>
              <w:top w:w="0" w:type="dxa"/>
              <w:left w:w="0" w:type="dxa"/>
              <w:bottom w:w="0" w:type="dxa"/>
              <w:right w:w="0" w:type="dxa"/>
            </w:tcMar>
            <w:vAlign w:val="center"/>
          </w:tcPr>
          <w:p w14:paraId="6FC0B2DC" w14:textId="77777777" w:rsidR="00E870EA" w:rsidRPr="00057F2F" w:rsidRDefault="00E870EA"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sz w:val="12"/>
                <w:szCs w:val="12"/>
                <w:lang w:val="en-US"/>
              </w:rPr>
            </w:pPr>
          </w:p>
        </w:tc>
        <w:tc>
          <w:tcPr>
            <w:tcW w:w="1587" w:type="dxa"/>
            <w:gridSpan w:val="2"/>
            <w:tcBorders>
              <w:bottom w:val="single" w:sz="4" w:space="0" w:color="auto"/>
            </w:tcBorders>
            <w:shd w:val="clear" w:color="auto" w:fill="FFFFFF"/>
            <w:tcMar>
              <w:top w:w="0" w:type="dxa"/>
              <w:left w:w="0" w:type="dxa"/>
              <w:bottom w:w="0" w:type="dxa"/>
              <w:right w:w="0" w:type="dxa"/>
            </w:tcMar>
            <w:vAlign w:val="center"/>
          </w:tcPr>
          <w:p w14:paraId="4E9A8ABF" w14:textId="77777777" w:rsidR="00E870EA" w:rsidRPr="00057F2F" w:rsidRDefault="00E870EA"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sz w:val="12"/>
                <w:szCs w:val="12"/>
                <w:lang w:val="en-GB"/>
              </w:rPr>
            </w:pPr>
          </w:p>
        </w:tc>
        <w:tc>
          <w:tcPr>
            <w:tcW w:w="1531" w:type="dxa"/>
            <w:gridSpan w:val="2"/>
            <w:tcBorders>
              <w:bottom w:val="single" w:sz="4" w:space="0" w:color="auto"/>
            </w:tcBorders>
            <w:shd w:val="clear" w:color="auto" w:fill="FFFFFF"/>
            <w:tcMar>
              <w:top w:w="0" w:type="dxa"/>
              <w:left w:w="0" w:type="dxa"/>
              <w:bottom w:w="0" w:type="dxa"/>
              <w:right w:w="0" w:type="dxa"/>
            </w:tcMar>
            <w:vAlign w:val="center"/>
          </w:tcPr>
          <w:p w14:paraId="19C99FB9" w14:textId="77777777" w:rsidR="00E870EA" w:rsidRPr="00057F2F" w:rsidRDefault="00E870EA"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12"/>
                <w:szCs w:val="12"/>
              </w:rPr>
            </w:pPr>
          </w:p>
        </w:tc>
        <w:tc>
          <w:tcPr>
            <w:tcW w:w="1191" w:type="dxa"/>
            <w:gridSpan w:val="2"/>
            <w:tcBorders>
              <w:bottom w:val="single" w:sz="4" w:space="0" w:color="auto"/>
            </w:tcBorders>
            <w:shd w:val="clear" w:color="auto" w:fill="FFFFFF"/>
            <w:tcMar>
              <w:top w:w="0" w:type="dxa"/>
              <w:left w:w="0" w:type="dxa"/>
              <w:bottom w:w="0" w:type="dxa"/>
              <w:right w:w="0" w:type="dxa"/>
            </w:tcMar>
            <w:vAlign w:val="center"/>
          </w:tcPr>
          <w:p w14:paraId="670149FB" w14:textId="77777777" w:rsidR="00E870EA" w:rsidRPr="00057F2F" w:rsidRDefault="00E870EA"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12"/>
                <w:szCs w:val="12"/>
              </w:rPr>
            </w:pPr>
          </w:p>
        </w:tc>
        <w:tc>
          <w:tcPr>
            <w:tcW w:w="1020" w:type="dxa"/>
            <w:gridSpan w:val="2"/>
            <w:tcBorders>
              <w:bottom w:val="single" w:sz="4" w:space="0" w:color="auto"/>
            </w:tcBorders>
            <w:shd w:val="clear" w:color="auto" w:fill="FFFFFF"/>
            <w:tcMar>
              <w:top w:w="0" w:type="dxa"/>
              <w:left w:w="0" w:type="dxa"/>
              <w:bottom w:w="0" w:type="dxa"/>
              <w:right w:w="0" w:type="dxa"/>
            </w:tcMar>
            <w:vAlign w:val="center"/>
          </w:tcPr>
          <w:p w14:paraId="378010DB" w14:textId="77777777" w:rsidR="00E870EA" w:rsidRPr="00057F2F" w:rsidRDefault="00E870EA"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12"/>
                <w:szCs w:val="12"/>
              </w:rPr>
            </w:pPr>
          </w:p>
        </w:tc>
      </w:tr>
      <w:tr w:rsidR="00C94D61" w:rsidRPr="00057F2F" w14:paraId="1166AF1D" w14:textId="77777777" w:rsidTr="00E870EA">
        <w:trPr>
          <w:gridAfter w:val="1"/>
          <w:wAfter w:w="227" w:type="dxa"/>
          <w:tblHeader/>
          <w:jc w:val="center"/>
        </w:trPr>
        <w:tc>
          <w:tcPr>
            <w:tcW w:w="9808" w:type="dxa"/>
            <w:gridSpan w:val="9"/>
            <w:tcBorders>
              <w:top w:val="single" w:sz="4" w:space="0" w:color="auto"/>
              <w:bottom w:val="single" w:sz="4" w:space="0" w:color="auto"/>
            </w:tcBorders>
            <w:shd w:val="clear" w:color="auto" w:fill="FFFFFF"/>
            <w:tcMar>
              <w:top w:w="0" w:type="dxa"/>
              <w:left w:w="0" w:type="dxa"/>
              <w:bottom w:w="0" w:type="dxa"/>
              <w:right w:w="0" w:type="dxa"/>
            </w:tcMar>
            <w:vAlign w:val="center"/>
          </w:tcPr>
          <w:p w14:paraId="680E8DE6" w14:textId="48986F83"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
                <w:bCs/>
                <w:lang w:val="en-GB"/>
              </w:rPr>
            </w:pPr>
            <w:r w:rsidRPr="00057F2F">
              <w:rPr>
                <w:rFonts w:ascii="Times New Roman" w:eastAsia="Arial" w:hAnsi="Times New Roman" w:cs="Times New Roman"/>
                <w:b/>
                <w:bCs/>
                <w:lang w:val="en-GB"/>
              </w:rPr>
              <w:t>(C) Regions experiencing functional downgrading</w:t>
            </w:r>
          </w:p>
        </w:tc>
      </w:tr>
      <w:tr w:rsidR="00C94D61" w:rsidRPr="00057F2F" w14:paraId="10C465E4" w14:textId="77777777" w:rsidTr="00E870EA">
        <w:trPr>
          <w:gridAfter w:val="1"/>
          <w:wAfter w:w="227" w:type="dxa"/>
          <w:tblHeader/>
          <w:jc w:val="center"/>
        </w:trPr>
        <w:tc>
          <w:tcPr>
            <w:tcW w:w="447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4EFBF1C"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p>
        </w:tc>
        <w:tc>
          <w:tcPr>
            <w:tcW w:w="1587"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5C8373BB" w14:textId="03917542"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S_SB</w:t>
            </w:r>
            <w:r w:rsidRPr="00057F2F">
              <w:rPr>
                <w:rFonts w:ascii="Times New Roman" w:eastAsia="Arial" w:hAnsi="Times New Roman" w:cs="Times New Roman"/>
                <w:lang w:val="en-GB"/>
              </w:rPr>
              <w:br/>
              <w:t>(Downgrading)</w:t>
            </w:r>
          </w:p>
        </w:tc>
        <w:tc>
          <w:tcPr>
            <w:tcW w:w="153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39FBAF9D" w14:textId="7E4C12AE"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Mean Δ</w:t>
            </w:r>
            <w:r w:rsidR="003A5CC7" w:rsidRPr="00057F2F">
              <w:rPr>
                <w:rFonts w:ascii="Times New Roman" w:eastAsia="Arial" w:hAnsi="Times New Roman" w:cs="Times New Roman"/>
                <w:lang w:val="en-GB"/>
              </w:rPr>
              <w:t>P</w:t>
            </w:r>
            <w:r w:rsidRPr="00057F2F">
              <w:rPr>
                <w:rFonts w:ascii="Times New Roman" w:eastAsia="Arial" w:hAnsi="Times New Roman" w:cs="Times New Roman"/>
                <w:lang w:val="en-GB"/>
              </w:rPr>
              <w:t>S_SB</w:t>
            </w:r>
            <w:r w:rsidRPr="00057F2F">
              <w:rPr>
                <w:rFonts w:ascii="Times New Roman" w:eastAsia="Arial" w:hAnsi="Times New Roman" w:cs="Times New Roman"/>
                <w:lang w:val="en-GB"/>
              </w:rPr>
              <w:br/>
              <w:t>(Other)</w:t>
            </w:r>
          </w:p>
        </w:tc>
        <w:tc>
          <w:tcPr>
            <w:tcW w:w="119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078CFC58"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Difference</w:t>
            </w:r>
          </w:p>
        </w:tc>
        <w:tc>
          <w:tcPr>
            <w:tcW w:w="1020"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54C12565" w14:textId="77777777" w:rsidR="00C94D61" w:rsidRPr="00057F2F" w:rsidRDefault="00C94D6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p-value</w:t>
            </w:r>
          </w:p>
        </w:tc>
      </w:tr>
      <w:tr w:rsidR="00C94D61" w:rsidRPr="00057F2F" w14:paraId="0B1C0569"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1DD0D686" w14:textId="5D6B115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Upgrading</w:t>
            </w:r>
          </w:p>
        </w:tc>
        <w:tc>
          <w:tcPr>
            <w:tcW w:w="1587" w:type="dxa"/>
            <w:gridSpan w:val="2"/>
            <w:shd w:val="clear" w:color="auto" w:fill="FFFFFF"/>
            <w:tcMar>
              <w:top w:w="0" w:type="dxa"/>
              <w:left w:w="0" w:type="dxa"/>
              <w:bottom w:w="0" w:type="dxa"/>
              <w:right w:w="0" w:type="dxa"/>
            </w:tcMar>
          </w:tcPr>
          <w:p w14:paraId="6FC28BD9" w14:textId="2BB7420F"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shd w:val="clear" w:color="auto" w:fill="FFFFFF"/>
            <w:tcMar>
              <w:top w:w="0" w:type="dxa"/>
              <w:left w:w="0" w:type="dxa"/>
              <w:bottom w:w="0" w:type="dxa"/>
              <w:right w:w="0" w:type="dxa"/>
            </w:tcMar>
            <w:vAlign w:val="center"/>
          </w:tcPr>
          <w:p w14:paraId="157BF461" w14:textId="5038B7A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0.4837</w:t>
            </w:r>
          </w:p>
        </w:tc>
        <w:tc>
          <w:tcPr>
            <w:tcW w:w="1191" w:type="dxa"/>
            <w:gridSpan w:val="2"/>
            <w:shd w:val="clear" w:color="auto" w:fill="FFFFFF"/>
            <w:tcMar>
              <w:top w:w="0" w:type="dxa"/>
              <w:left w:w="0" w:type="dxa"/>
              <w:bottom w:w="0" w:type="dxa"/>
              <w:right w:w="0" w:type="dxa"/>
            </w:tcMar>
            <w:vAlign w:val="center"/>
          </w:tcPr>
          <w:p w14:paraId="4F5ADA1F" w14:textId="7613B2F5"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-0.6012**</w:t>
            </w:r>
          </w:p>
        </w:tc>
        <w:tc>
          <w:tcPr>
            <w:tcW w:w="1020" w:type="dxa"/>
            <w:gridSpan w:val="2"/>
            <w:shd w:val="clear" w:color="auto" w:fill="FFFFFF"/>
            <w:tcMar>
              <w:top w:w="0" w:type="dxa"/>
              <w:left w:w="0" w:type="dxa"/>
              <w:bottom w:w="0" w:type="dxa"/>
              <w:right w:w="0" w:type="dxa"/>
            </w:tcMar>
            <w:vAlign w:val="center"/>
          </w:tcPr>
          <w:p w14:paraId="0F6AB12F" w14:textId="6A884780"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Cs/>
                <w:lang w:val="en-GB"/>
              </w:rPr>
            </w:pPr>
            <w:r w:rsidRPr="00057F2F">
              <w:rPr>
                <w:rFonts w:ascii="Times New Roman" w:eastAsia="Arial" w:hAnsi="Times New Roman" w:cs="Times New Roman"/>
                <w:bCs/>
                <w:color w:val="000000"/>
              </w:rPr>
              <w:t>0.0349</w:t>
            </w:r>
          </w:p>
        </w:tc>
      </w:tr>
      <w:tr w:rsidR="00C94D61" w:rsidRPr="00057F2F" w14:paraId="3B483F47"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4D083C80" w14:textId="0B79B4E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Persistently production</w:t>
            </w:r>
          </w:p>
        </w:tc>
        <w:tc>
          <w:tcPr>
            <w:tcW w:w="1587" w:type="dxa"/>
            <w:gridSpan w:val="2"/>
            <w:shd w:val="clear" w:color="auto" w:fill="FFFFFF"/>
            <w:tcMar>
              <w:top w:w="0" w:type="dxa"/>
              <w:left w:w="0" w:type="dxa"/>
              <w:bottom w:w="0" w:type="dxa"/>
              <w:right w:w="0" w:type="dxa"/>
            </w:tcMar>
          </w:tcPr>
          <w:p w14:paraId="5005CC8C" w14:textId="306E132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shd w:val="clear" w:color="auto" w:fill="FFFFFF"/>
            <w:tcMar>
              <w:top w:w="0" w:type="dxa"/>
              <w:left w:w="0" w:type="dxa"/>
              <w:bottom w:w="0" w:type="dxa"/>
              <w:right w:w="0" w:type="dxa"/>
            </w:tcMar>
            <w:vAlign w:val="center"/>
          </w:tcPr>
          <w:p w14:paraId="0984ECBB" w14:textId="5BFD2661"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-0.0364</w:t>
            </w:r>
          </w:p>
        </w:tc>
        <w:tc>
          <w:tcPr>
            <w:tcW w:w="1191" w:type="dxa"/>
            <w:gridSpan w:val="2"/>
            <w:shd w:val="clear" w:color="auto" w:fill="FFFFFF"/>
            <w:tcMar>
              <w:top w:w="0" w:type="dxa"/>
              <w:left w:w="0" w:type="dxa"/>
              <w:bottom w:w="0" w:type="dxa"/>
              <w:right w:w="0" w:type="dxa"/>
            </w:tcMar>
            <w:vAlign w:val="center"/>
          </w:tcPr>
          <w:p w14:paraId="4B7A7B8E" w14:textId="19B64ED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-0.0811</w:t>
            </w:r>
          </w:p>
        </w:tc>
        <w:tc>
          <w:tcPr>
            <w:tcW w:w="1020" w:type="dxa"/>
            <w:gridSpan w:val="2"/>
            <w:shd w:val="clear" w:color="auto" w:fill="FFFFFF"/>
            <w:tcMar>
              <w:top w:w="0" w:type="dxa"/>
              <w:left w:w="0" w:type="dxa"/>
              <w:bottom w:w="0" w:type="dxa"/>
              <w:right w:w="0" w:type="dxa"/>
            </w:tcMar>
            <w:vAlign w:val="center"/>
          </w:tcPr>
          <w:p w14:paraId="7A8E2C59" w14:textId="0D3B102C"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0.2889</w:t>
            </w:r>
          </w:p>
        </w:tc>
      </w:tr>
      <w:tr w:rsidR="00C94D61" w:rsidRPr="00057F2F" w14:paraId="59470096"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5DB064D4" w14:textId="17D903C5"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Persistently upstream</w:t>
            </w:r>
          </w:p>
        </w:tc>
        <w:tc>
          <w:tcPr>
            <w:tcW w:w="1587" w:type="dxa"/>
            <w:gridSpan w:val="2"/>
            <w:shd w:val="clear" w:color="auto" w:fill="FFFFFF"/>
            <w:tcMar>
              <w:top w:w="0" w:type="dxa"/>
              <w:left w:w="0" w:type="dxa"/>
              <w:bottom w:w="0" w:type="dxa"/>
              <w:right w:w="0" w:type="dxa"/>
            </w:tcMar>
          </w:tcPr>
          <w:p w14:paraId="5318F148" w14:textId="09E126D2"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shd w:val="clear" w:color="auto" w:fill="FFFFFF"/>
            <w:tcMar>
              <w:top w:w="0" w:type="dxa"/>
              <w:left w:w="0" w:type="dxa"/>
              <w:bottom w:w="0" w:type="dxa"/>
              <w:right w:w="0" w:type="dxa"/>
            </w:tcMar>
            <w:vAlign w:val="center"/>
          </w:tcPr>
          <w:p w14:paraId="7EED2FF1" w14:textId="1AF78820"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0.0268</w:t>
            </w:r>
          </w:p>
        </w:tc>
        <w:tc>
          <w:tcPr>
            <w:tcW w:w="1191" w:type="dxa"/>
            <w:gridSpan w:val="2"/>
            <w:shd w:val="clear" w:color="auto" w:fill="FFFFFF"/>
            <w:tcMar>
              <w:top w:w="0" w:type="dxa"/>
              <w:left w:w="0" w:type="dxa"/>
              <w:bottom w:w="0" w:type="dxa"/>
              <w:right w:w="0" w:type="dxa"/>
            </w:tcMar>
            <w:vAlign w:val="center"/>
          </w:tcPr>
          <w:p w14:paraId="6C553A1E" w14:textId="71297286"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-0.1443*</w:t>
            </w:r>
          </w:p>
        </w:tc>
        <w:tc>
          <w:tcPr>
            <w:tcW w:w="1020" w:type="dxa"/>
            <w:gridSpan w:val="2"/>
            <w:shd w:val="clear" w:color="auto" w:fill="FFFFFF"/>
            <w:tcMar>
              <w:top w:w="0" w:type="dxa"/>
              <w:left w:w="0" w:type="dxa"/>
              <w:bottom w:w="0" w:type="dxa"/>
              <w:right w:w="0" w:type="dxa"/>
            </w:tcMar>
            <w:vAlign w:val="center"/>
          </w:tcPr>
          <w:p w14:paraId="471705D1" w14:textId="247EF5D0"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w:t>
            </w:r>
            <w:r w:rsidRPr="00057F2F">
              <w:rPr>
                <w:rFonts w:ascii="Times New Roman" w:eastAsia="Arial" w:hAnsi="Times New Roman" w:cs="Times New Roman"/>
                <w:color w:val="000000"/>
              </w:rPr>
              <w:t>0940</w:t>
            </w:r>
          </w:p>
        </w:tc>
      </w:tr>
      <w:tr w:rsidR="00C94D61" w:rsidRPr="00057F2F" w14:paraId="4EE2D890"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13EE5648" w14:textId="6DF3AAF5"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Persistently downstream</w:t>
            </w:r>
          </w:p>
        </w:tc>
        <w:tc>
          <w:tcPr>
            <w:tcW w:w="1587" w:type="dxa"/>
            <w:gridSpan w:val="2"/>
            <w:shd w:val="clear" w:color="auto" w:fill="FFFFFF"/>
            <w:tcMar>
              <w:top w:w="0" w:type="dxa"/>
              <w:left w:w="0" w:type="dxa"/>
              <w:bottom w:w="0" w:type="dxa"/>
              <w:right w:w="0" w:type="dxa"/>
            </w:tcMar>
          </w:tcPr>
          <w:p w14:paraId="3970CF30" w14:textId="1D9AF87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shd w:val="clear" w:color="auto" w:fill="FFFFFF"/>
            <w:tcMar>
              <w:top w:w="0" w:type="dxa"/>
              <w:left w:w="0" w:type="dxa"/>
              <w:bottom w:w="0" w:type="dxa"/>
              <w:right w:w="0" w:type="dxa"/>
            </w:tcMar>
            <w:vAlign w:val="center"/>
          </w:tcPr>
          <w:p w14:paraId="37C945C5" w14:textId="75F69DBF"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-0.0076</w:t>
            </w:r>
          </w:p>
        </w:tc>
        <w:tc>
          <w:tcPr>
            <w:tcW w:w="1191" w:type="dxa"/>
            <w:gridSpan w:val="2"/>
            <w:shd w:val="clear" w:color="auto" w:fill="FFFFFF"/>
            <w:tcMar>
              <w:top w:w="0" w:type="dxa"/>
              <w:left w:w="0" w:type="dxa"/>
              <w:bottom w:w="0" w:type="dxa"/>
              <w:right w:w="0" w:type="dxa"/>
            </w:tcMar>
            <w:vAlign w:val="center"/>
          </w:tcPr>
          <w:p w14:paraId="3F866E88" w14:textId="110EA79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-0.1099</w:t>
            </w:r>
          </w:p>
        </w:tc>
        <w:tc>
          <w:tcPr>
            <w:tcW w:w="1020" w:type="dxa"/>
            <w:gridSpan w:val="2"/>
            <w:shd w:val="clear" w:color="auto" w:fill="FFFFFF"/>
            <w:tcMar>
              <w:top w:w="0" w:type="dxa"/>
              <w:left w:w="0" w:type="dxa"/>
              <w:bottom w:w="0" w:type="dxa"/>
              <w:right w:w="0" w:type="dxa"/>
            </w:tcMar>
            <w:vAlign w:val="center"/>
          </w:tcPr>
          <w:p w14:paraId="18173F44" w14:textId="2EE9C599"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0.1572</w:t>
            </w:r>
          </w:p>
        </w:tc>
      </w:tr>
      <w:tr w:rsidR="00C94D61" w:rsidRPr="00057F2F" w14:paraId="4FD743B5" w14:textId="77777777" w:rsidTr="00E870EA">
        <w:trPr>
          <w:gridAfter w:val="1"/>
          <w:wAfter w:w="227" w:type="dxa"/>
          <w:jc w:val="center"/>
        </w:trPr>
        <w:tc>
          <w:tcPr>
            <w:tcW w:w="4479" w:type="dxa"/>
            <w:shd w:val="clear" w:color="auto" w:fill="FFFFFF"/>
            <w:tcMar>
              <w:top w:w="0" w:type="dxa"/>
              <w:left w:w="0" w:type="dxa"/>
              <w:bottom w:w="0" w:type="dxa"/>
              <w:right w:w="0" w:type="dxa"/>
            </w:tcMar>
            <w:vAlign w:val="center"/>
          </w:tcPr>
          <w:p w14:paraId="6F9AE360" w14:textId="672FF0E7"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Up-Down switch</w:t>
            </w:r>
          </w:p>
        </w:tc>
        <w:tc>
          <w:tcPr>
            <w:tcW w:w="1587" w:type="dxa"/>
            <w:gridSpan w:val="2"/>
            <w:shd w:val="clear" w:color="auto" w:fill="FFFFFF"/>
            <w:tcMar>
              <w:top w:w="0" w:type="dxa"/>
              <w:left w:w="0" w:type="dxa"/>
              <w:bottom w:w="0" w:type="dxa"/>
              <w:right w:w="0" w:type="dxa"/>
            </w:tcMar>
          </w:tcPr>
          <w:p w14:paraId="2411DCA0" w14:textId="5D3BC812"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shd w:val="clear" w:color="auto" w:fill="FFFFFF"/>
            <w:tcMar>
              <w:top w:w="0" w:type="dxa"/>
              <w:left w:w="0" w:type="dxa"/>
              <w:bottom w:w="0" w:type="dxa"/>
              <w:right w:w="0" w:type="dxa"/>
            </w:tcMar>
            <w:vAlign w:val="center"/>
          </w:tcPr>
          <w:p w14:paraId="5C49BE9D" w14:textId="76A74ED0"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0.0342</w:t>
            </w:r>
          </w:p>
        </w:tc>
        <w:tc>
          <w:tcPr>
            <w:tcW w:w="1191" w:type="dxa"/>
            <w:gridSpan w:val="2"/>
            <w:shd w:val="clear" w:color="auto" w:fill="FFFFFF"/>
            <w:tcMar>
              <w:top w:w="0" w:type="dxa"/>
              <w:left w:w="0" w:type="dxa"/>
              <w:bottom w:w="0" w:type="dxa"/>
              <w:right w:w="0" w:type="dxa"/>
            </w:tcMar>
            <w:vAlign w:val="center"/>
          </w:tcPr>
          <w:p w14:paraId="14227ABC" w14:textId="66176A24"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-0.1518*</w:t>
            </w:r>
          </w:p>
        </w:tc>
        <w:tc>
          <w:tcPr>
            <w:tcW w:w="1020" w:type="dxa"/>
            <w:gridSpan w:val="2"/>
            <w:shd w:val="clear" w:color="auto" w:fill="FFFFFF"/>
            <w:tcMar>
              <w:top w:w="0" w:type="dxa"/>
              <w:left w:w="0" w:type="dxa"/>
              <w:bottom w:w="0" w:type="dxa"/>
              <w:right w:w="0" w:type="dxa"/>
            </w:tcMar>
            <w:vAlign w:val="center"/>
          </w:tcPr>
          <w:p w14:paraId="52CE4FC6" w14:textId="310A021E" w:rsidR="00C94D61" w:rsidRPr="00057F2F" w:rsidRDefault="00C94D61" w:rsidP="00C94D61">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0.0871</w:t>
            </w:r>
          </w:p>
        </w:tc>
      </w:tr>
      <w:tr w:rsidR="00683391" w:rsidRPr="00057F2F" w14:paraId="62BD94A1" w14:textId="77777777" w:rsidTr="00E870EA">
        <w:trPr>
          <w:gridAfter w:val="1"/>
          <w:wAfter w:w="227" w:type="dxa"/>
          <w:jc w:val="center"/>
        </w:trPr>
        <w:tc>
          <w:tcPr>
            <w:tcW w:w="4479" w:type="dxa"/>
            <w:tcBorders>
              <w:bottom w:val="single" w:sz="4" w:space="0" w:color="auto"/>
            </w:tcBorders>
            <w:shd w:val="clear" w:color="auto" w:fill="FFFFFF"/>
            <w:tcMar>
              <w:top w:w="0" w:type="dxa"/>
              <w:left w:w="0" w:type="dxa"/>
              <w:bottom w:w="0" w:type="dxa"/>
              <w:right w:w="0" w:type="dxa"/>
            </w:tcMar>
            <w:vAlign w:val="center"/>
          </w:tcPr>
          <w:p w14:paraId="6FC819A3" w14:textId="77777777" w:rsidR="00683391" w:rsidRPr="00057F2F" w:rsidRDefault="00683391" w:rsidP="00E276C3">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lang w:val="en-GB"/>
              </w:rPr>
            </w:pPr>
            <w:r w:rsidRPr="00057F2F">
              <w:rPr>
                <w:rFonts w:ascii="Times New Roman" w:eastAsia="Arial" w:hAnsi="Times New Roman" w:cs="Times New Roman"/>
                <w:lang w:val="en-GB"/>
              </w:rPr>
              <w:t>Downgrading vs All others</w:t>
            </w:r>
          </w:p>
        </w:tc>
        <w:tc>
          <w:tcPr>
            <w:tcW w:w="1587" w:type="dxa"/>
            <w:gridSpan w:val="2"/>
            <w:tcBorders>
              <w:bottom w:val="single" w:sz="4" w:space="0" w:color="auto"/>
            </w:tcBorders>
            <w:shd w:val="clear" w:color="auto" w:fill="FFFFFF"/>
            <w:tcMar>
              <w:top w:w="0" w:type="dxa"/>
              <w:left w:w="0" w:type="dxa"/>
              <w:bottom w:w="0" w:type="dxa"/>
              <w:right w:w="0" w:type="dxa"/>
            </w:tcMar>
          </w:tcPr>
          <w:p w14:paraId="6A8C68DD" w14:textId="77777777" w:rsidR="00683391" w:rsidRPr="00057F2F" w:rsidRDefault="0068339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-0.1175</w:t>
            </w:r>
          </w:p>
        </w:tc>
        <w:tc>
          <w:tcPr>
            <w:tcW w:w="1531" w:type="dxa"/>
            <w:gridSpan w:val="2"/>
            <w:tcBorders>
              <w:bottom w:val="single" w:sz="4" w:space="0" w:color="auto"/>
            </w:tcBorders>
            <w:shd w:val="clear" w:color="auto" w:fill="FFFFFF"/>
            <w:tcMar>
              <w:top w:w="0" w:type="dxa"/>
              <w:left w:w="0" w:type="dxa"/>
              <w:bottom w:w="0" w:type="dxa"/>
              <w:right w:w="0" w:type="dxa"/>
            </w:tcMar>
            <w:vAlign w:val="center"/>
          </w:tcPr>
          <w:p w14:paraId="279FE0CB" w14:textId="77777777" w:rsidR="00683391" w:rsidRPr="00057F2F" w:rsidRDefault="0068339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0.0226</w:t>
            </w:r>
          </w:p>
        </w:tc>
        <w:tc>
          <w:tcPr>
            <w:tcW w:w="1191" w:type="dxa"/>
            <w:gridSpan w:val="2"/>
            <w:tcBorders>
              <w:bottom w:val="single" w:sz="4" w:space="0" w:color="auto"/>
            </w:tcBorders>
            <w:shd w:val="clear" w:color="auto" w:fill="FFFFFF"/>
            <w:tcMar>
              <w:top w:w="0" w:type="dxa"/>
              <w:left w:w="0" w:type="dxa"/>
              <w:bottom w:w="0" w:type="dxa"/>
              <w:right w:w="0" w:type="dxa"/>
            </w:tcMar>
            <w:vAlign w:val="center"/>
          </w:tcPr>
          <w:p w14:paraId="3B7FA4E9" w14:textId="77777777" w:rsidR="00683391" w:rsidRPr="00057F2F" w:rsidRDefault="0068339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-0.1401*</w:t>
            </w:r>
          </w:p>
        </w:tc>
        <w:tc>
          <w:tcPr>
            <w:tcW w:w="1020" w:type="dxa"/>
            <w:gridSpan w:val="2"/>
            <w:tcBorders>
              <w:bottom w:val="single" w:sz="4" w:space="0" w:color="auto"/>
            </w:tcBorders>
            <w:shd w:val="clear" w:color="auto" w:fill="FFFFFF"/>
            <w:tcMar>
              <w:top w:w="0" w:type="dxa"/>
              <w:left w:w="0" w:type="dxa"/>
              <w:bottom w:w="0" w:type="dxa"/>
              <w:right w:w="0" w:type="dxa"/>
            </w:tcMar>
            <w:vAlign w:val="center"/>
          </w:tcPr>
          <w:p w14:paraId="2AE65E54" w14:textId="77777777" w:rsidR="00683391" w:rsidRPr="00057F2F" w:rsidRDefault="00683391" w:rsidP="00E276C3">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color w:val="000000"/>
              </w:rPr>
              <w:t>0.0639</w:t>
            </w:r>
          </w:p>
        </w:tc>
      </w:tr>
    </w:tbl>
    <w:p w14:paraId="59657889" w14:textId="506F6311" w:rsidR="00631FFA" w:rsidRPr="00057F2F" w:rsidRDefault="00552D6D" w:rsidP="001F5384">
      <w:pPr>
        <w:spacing w:before="60" w:after="240"/>
        <w:jc w:val="center"/>
        <w:rPr>
          <w:rFonts w:ascii="Times New Roman" w:hAnsi="Times New Roman" w:cs="Times New Roman"/>
          <w:sz w:val="20"/>
          <w:szCs w:val="20"/>
          <w:lang w:val="en-GB"/>
        </w:rPr>
      </w:pPr>
      <w:r w:rsidRPr="00057F2F">
        <w:rPr>
          <w:rFonts w:ascii="Times New Roman" w:hAnsi="Times New Roman" w:cs="Times New Roman"/>
          <w:sz w:val="20"/>
          <w:szCs w:val="20"/>
          <w:lang w:val="en-GB"/>
        </w:rPr>
        <w:t>Note:</w:t>
      </w:r>
      <w:r w:rsidRPr="00057F2F">
        <w:rPr>
          <w:lang w:val="en-US"/>
        </w:rPr>
        <w:t xml:space="preserve"> </w:t>
      </w:r>
      <w:r w:rsidRPr="00057F2F">
        <w:rPr>
          <w:rFonts w:ascii="Times New Roman" w:hAnsi="Times New Roman" w:cs="Times New Roman"/>
          <w:sz w:val="20"/>
          <w:szCs w:val="20"/>
          <w:lang w:val="en-GB"/>
        </w:rPr>
        <w:t xml:space="preserve">ΔPS_SB denotes the change in regional specialization in Science-Based industries between the first and the third periods. </w:t>
      </w:r>
      <w:r w:rsidR="001F5384" w:rsidRPr="00057F2F">
        <w:rPr>
          <w:rFonts w:ascii="Times New Roman" w:hAnsi="Times New Roman" w:cs="Times New Roman"/>
          <w:sz w:val="20"/>
          <w:szCs w:val="20"/>
          <w:lang w:val="en-GB"/>
        </w:rPr>
        <w:t xml:space="preserve">Source: authors’ elaboration based on </w:t>
      </w:r>
      <w:proofErr w:type="spellStart"/>
      <w:r w:rsidR="001F5384" w:rsidRPr="00057F2F">
        <w:rPr>
          <w:rFonts w:ascii="Times New Roman" w:hAnsi="Times New Roman" w:cs="Times New Roman"/>
          <w:sz w:val="20"/>
          <w:szCs w:val="20"/>
          <w:lang w:val="en-GB"/>
        </w:rPr>
        <w:t>fDi</w:t>
      </w:r>
      <w:proofErr w:type="spellEnd"/>
      <w:r w:rsidR="001F5384" w:rsidRPr="00057F2F">
        <w:rPr>
          <w:rFonts w:ascii="Times New Roman" w:hAnsi="Times New Roman" w:cs="Times New Roman"/>
          <w:sz w:val="20"/>
          <w:szCs w:val="20"/>
          <w:lang w:val="en-GB"/>
        </w:rPr>
        <w:t xml:space="preserve"> Markets data.</w:t>
      </w:r>
    </w:p>
    <w:p w14:paraId="0E2A8894" w14:textId="77777777" w:rsidR="00631FFA" w:rsidRPr="00057F2F" w:rsidRDefault="00631FFA">
      <w:pPr>
        <w:rPr>
          <w:rFonts w:ascii="Times New Roman" w:hAnsi="Times New Roman" w:cs="Times New Roman"/>
          <w:lang w:val="en-GB"/>
        </w:rPr>
      </w:pPr>
      <w:r w:rsidRPr="00057F2F">
        <w:rPr>
          <w:lang w:val="en-US"/>
        </w:rPr>
        <w:br w:type="page"/>
      </w:r>
    </w:p>
    <w:p w14:paraId="365795FA" w14:textId="477595C5" w:rsidR="00D36779" w:rsidRPr="00057F2F" w:rsidRDefault="00D36779" w:rsidP="00D36779">
      <w:pPr>
        <w:pStyle w:val="Titolo3"/>
      </w:pPr>
      <w:r w:rsidRPr="00057F2F">
        <w:rPr>
          <w:b/>
          <w:bCs/>
        </w:rPr>
        <w:lastRenderedPageBreak/>
        <w:t>Table E.3.</w:t>
      </w:r>
      <w:r w:rsidRPr="00057F2F">
        <w:t xml:space="preserve"> Change in Science-Based </w:t>
      </w:r>
      <w:r w:rsidR="003A5CC7" w:rsidRPr="00057F2F">
        <w:t xml:space="preserve">PS </w:t>
      </w:r>
      <w:r w:rsidRPr="00057F2F">
        <w:t>on functional trajectory group</w:t>
      </w:r>
    </w:p>
    <w:tbl>
      <w:tblPr>
        <w:tblW w:w="9847" w:type="dxa"/>
        <w:jc w:val="center"/>
        <w:tblLayout w:type="fixed"/>
        <w:tblLook w:val="0420" w:firstRow="1" w:lastRow="0" w:firstColumn="0" w:lastColumn="0" w:noHBand="0" w:noVBand="1"/>
      </w:tblPr>
      <w:tblGrid>
        <w:gridCol w:w="3015"/>
        <w:gridCol w:w="2281"/>
        <w:gridCol w:w="2569"/>
        <w:gridCol w:w="1982"/>
      </w:tblGrid>
      <w:tr w:rsidR="00D36779" w:rsidRPr="00057F2F" w14:paraId="3EAF351E" w14:textId="77777777" w:rsidTr="00163C2A">
        <w:trPr>
          <w:trHeight w:val="283"/>
          <w:tblHeader/>
          <w:jc w:val="center"/>
        </w:trPr>
        <w:tc>
          <w:tcPr>
            <w:tcW w:w="3015"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9216A77"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2281"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1FE3E7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(1)</w:t>
            </w:r>
          </w:p>
        </w:tc>
        <w:tc>
          <w:tcPr>
            <w:tcW w:w="256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1AFDA1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(2)</w:t>
            </w:r>
          </w:p>
        </w:tc>
        <w:tc>
          <w:tcPr>
            <w:tcW w:w="198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24D6883"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(3)</w:t>
            </w:r>
          </w:p>
        </w:tc>
      </w:tr>
      <w:tr w:rsidR="00D36779" w:rsidRPr="00057F2F" w14:paraId="599A3EB6" w14:textId="77777777" w:rsidTr="00163C2A">
        <w:trPr>
          <w:trHeight w:val="283"/>
          <w:jc w:val="center"/>
        </w:trPr>
        <w:tc>
          <w:tcPr>
            <w:tcW w:w="3015" w:type="dxa"/>
            <w:tcBorders>
              <w:top w:val="single" w:sz="4" w:space="0" w:color="auto"/>
            </w:tcBorders>
            <w:shd w:val="clear" w:color="auto" w:fill="FFFFFF"/>
            <w:tcMar>
              <w:top w:w="0" w:type="dxa"/>
              <w:left w:w="0" w:type="dxa"/>
              <w:bottom w:w="0" w:type="dxa"/>
              <w:right w:w="0" w:type="dxa"/>
            </w:tcMar>
            <w:vAlign w:val="center"/>
          </w:tcPr>
          <w:p w14:paraId="62959D5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Upgrading</w:t>
            </w:r>
          </w:p>
        </w:tc>
        <w:tc>
          <w:tcPr>
            <w:tcW w:w="2281" w:type="dxa"/>
            <w:tcBorders>
              <w:top w:val="single" w:sz="4" w:space="0" w:color="auto"/>
            </w:tcBorders>
            <w:shd w:val="clear" w:color="auto" w:fill="FFFFFF"/>
            <w:tcMar>
              <w:top w:w="0" w:type="dxa"/>
              <w:left w:w="0" w:type="dxa"/>
              <w:bottom w:w="0" w:type="dxa"/>
              <w:right w:w="0" w:type="dxa"/>
            </w:tcMar>
            <w:vAlign w:val="center"/>
          </w:tcPr>
          <w:p w14:paraId="20C1B32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0.5201***</w:t>
            </w:r>
          </w:p>
        </w:tc>
        <w:tc>
          <w:tcPr>
            <w:tcW w:w="2569" w:type="dxa"/>
            <w:tcBorders>
              <w:top w:val="single" w:sz="4" w:space="0" w:color="auto"/>
            </w:tcBorders>
            <w:shd w:val="clear" w:color="auto" w:fill="FFFFFF"/>
            <w:tcMar>
              <w:top w:w="0" w:type="dxa"/>
              <w:left w:w="0" w:type="dxa"/>
              <w:bottom w:w="0" w:type="dxa"/>
              <w:right w:w="0" w:type="dxa"/>
            </w:tcMar>
            <w:vAlign w:val="center"/>
          </w:tcPr>
          <w:p w14:paraId="4201A60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0.5329***</w:t>
            </w:r>
          </w:p>
        </w:tc>
        <w:tc>
          <w:tcPr>
            <w:tcW w:w="1982" w:type="dxa"/>
            <w:tcBorders>
              <w:top w:val="single" w:sz="4" w:space="0" w:color="auto"/>
            </w:tcBorders>
            <w:shd w:val="clear" w:color="auto" w:fill="FFFFFF"/>
            <w:tcMar>
              <w:top w:w="0" w:type="dxa"/>
              <w:left w:w="0" w:type="dxa"/>
              <w:bottom w:w="0" w:type="dxa"/>
              <w:right w:w="0" w:type="dxa"/>
            </w:tcMar>
            <w:vAlign w:val="center"/>
          </w:tcPr>
          <w:p w14:paraId="544AEE0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0.5621***</w:t>
            </w:r>
          </w:p>
        </w:tc>
      </w:tr>
      <w:tr w:rsidR="00D36779" w:rsidRPr="00057F2F" w14:paraId="5B87F4C8" w14:textId="77777777" w:rsidTr="00163C2A">
        <w:trPr>
          <w:trHeight w:val="283"/>
          <w:jc w:val="center"/>
        </w:trPr>
        <w:tc>
          <w:tcPr>
            <w:tcW w:w="3015" w:type="dxa"/>
            <w:shd w:val="clear" w:color="auto" w:fill="FFFFFF"/>
            <w:tcMar>
              <w:top w:w="0" w:type="dxa"/>
              <w:left w:w="0" w:type="dxa"/>
              <w:bottom w:w="0" w:type="dxa"/>
              <w:right w:w="0" w:type="dxa"/>
            </w:tcMar>
            <w:vAlign w:val="center"/>
          </w:tcPr>
          <w:p w14:paraId="0D64A07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686DA31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(0.1154)</w:t>
            </w:r>
          </w:p>
        </w:tc>
        <w:tc>
          <w:tcPr>
            <w:tcW w:w="2569" w:type="dxa"/>
            <w:shd w:val="clear" w:color="auto" w:fill="FFFFFF"/>
            <w:tcMar>
              <w:top w:w="0" w:type="dxa"/>
              <w:left w:w="0" w:type="dxa"/>
              <w:bottom w:w="0" w:type="dxa"/>
              <w:right w:w="0" w:type="dxa"/>
            </w:tcMar>
            <w:vAlign w:val="center"/>
          </w:tcPr>
          <w:p w14:paraId="51178938"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(0.1092)</w:t>
            </w:r>
          </w:p>
        </w:tc>
        <w:tc>
          <w:tcPr>
            <w:tcW w:w="1982" w:type="dxa"/>
            <w:shd w:val="clear" w:color="auto" w:fill="FFFFFF"/>
            <w:tcMar>
              <w:top w:w="0" w:type="dxa"/>
              <w:left w:w="0" w:type="dxa"/>
              <w:bottom w:w="0" w:type="dxa"/>
              <w:right w:w="0" w:type="dxa"/>
            </w:tcMar>
            <w:vAlign w:val="center"/>
          </w:tcPr>
          <w:p w14:paraId="0EF8029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(0.1103)</w:t>
            </w:r>
          </w:p>
        </w:tc>
      </w:tr>
      <w:tr w:rsidR="00D36779" w:rsidRPr="00057F2F" w14:paraId="67668699" w14:textId="77777777" w:rsidTr="00163C2A">
        <w:trPr>
          <w:trHeight w:val="283"/>
          <w:jc w:val="center"/>
        </w:trPr>
        <w:tc>
          <w:tcPr>
            <w:tcW w:w="3015" w:type="dxa"/>
            <w:shd w:val="clear" w:color="auto" w:fill="FFFFFF"/>
            <w:tcMar>
              <w:top w:w="0" w:type="dxa"/>
              <w:left w:w="0" w:type="dxa"/>
              <w:bottom w:w="0" w:type="dxa"/>
              <w:right w:w="0" w:type="dxa"/>
            </w:tcMar>
            <w:vAlign w:val="center"/>
          </w:tcPr>
          <w:p w14:paraId="09C670A8"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Persistently upstream</w:t>
            </w:r>
          </w:p>
        </w:tc>
        <w:tc>
          <w:tcPr>
            <w:tcW w:w="2281" w:type="dxa"/>
            <w:shd w:val="clear" w:color="auto" w:fill="FFFFFF"/>
            <w:tcMar>
              <w:top w:w="0" w:type="dxa"/>
              <w:left w:w="0" w:type="dxa"/>
              <w:bottom w:w="0" w:type="dxa"/>
              <w:right w:w="0" w:type="dxa"/>
            </w:tcMar>
            <w:vAlign w:val="center"/>
          </w:tcPr>
          <w:p w14:paraId="1CDC81E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0.0632</w:t>
            </w:r>
          </w:p>
        </w:tc>
        <w:tc>
          <w:tcPr>
            <w:tcW w:w="2569" w:type="dxa"/>
            <w:shd w:val="clear" w:color="auto" w:fill="FFFFFF"/>
            <w:tcMar>
              <w:top w:w="0" w:type="dxa"/>
              <w:left w:w="0" w:type="dxa"/>
              <w:bottom w:w="0" w:type="dxa"/>
              <w:right w:w="0" w:type="dxa"/>
            </w:tcMar>
            <w:vAlign w:val="center"/>
          </w:tcPr>
          <w:p w14:paraId="5270161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0.1423*</w:t>
            </w:r>
          </w:p>
        </w:tc>
        <w:tc>
          <w:tcPr>
            <w:tcW w:w="1982" w:type="dxa"/>
            <w:shd w:val="clear" w:color="auto" w:fill="FFFFFF"/>
            <w:tcMar>
              <w:top w:w="0" w:type="dxa"/>
              <w:left w:w="0" w:type="dxa"/>
              <w:bottom w:w="0" w:type="dxa"/>
              <w:right w:w="0" w:type="dxa"/>
            </w:tcMar>
            <w:vAlign w:val="center"/>
          </w:tcPr>
          <w:p w14:paraId="310D5444"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0.2243**</w:t>
            </w:r>
          </w:p>
        </w:tc>
      </w:tr>
      <w:tr w:rsidR="00D36779" w:rsidRPr="00057F2F" w14:paraId="1B1E4B9C" w14:textId="77777777" w:rsidTr="00163C2A">
        <w:trPr>
          <w:trHeight w:val="283"/>
          <w:jc w:val="center"/>
        </w:trPr>
        <w:tc>
          <w:tcPr>
            <w:tcW w:w="3015" w:type="dxa"/>
            <w:shd w:val="clear" w:color="auto" w:fill="FFFFFF"/>
            <w:tcMar>
              <w:top w:w="0" w:type="dxa"/>
              <w:left w:w="0" w:type="dxa"/>
              <w:bottom w:w="0" w:type="dxa"/>
              <w:right w:w="0" w:type="dxa"/>
            </w:tcMar>
            <w:vAlign w:val="center"/>
          </w:tcPr>
          <w:p w14:paraId="634689E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24243E9A"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(0.0840)</w:t>
            </w:r>
          </w:p>
        </w:tc>
        <w:tc>
          <w:tcPr>
            <w:tcW w:w="2569" w:type="dxa"/>
            <w:shd w:val="clear" w:color="auto" w:fill="FFFFFF"/>
            <w:tcMar>
              <w:top w:w="0" w:type="dxa"/>
              <w:left w:w="0" w:type="dxa"/>
              <w:bottom w:w="0" w:type="dxa"/>
              <w:right w:w="0" w:type="dxa"/>
            </w:tcMar>
            <w:vAlign w:val="center"/>
          </w:tcPr>
          <w:p w14:paraId="1D8266D3"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(0.0807)</w:t>
            </w:r>
          </w:p>
        </w:tc>
        <w:tc>
          <w:tcPr>
            <w:tcW w:w="1982" w:type="dxa"/>
            <w:shd w:val="clear" w:color="auto" w:fill="FFFFFF"/>
            <w:tcMar>
              <w:top w:w="0" w:type="dxa"/>
              <w:left w:w="0" w:type="dxa"/>
              <w:bottom w:w="0" w:type="dxa"/>
              <w:right w:w="0" w:type="dxa"/>
            </w:tcMar>
            <w:vAlign w:val="center"/>
          </w:tcPr>
          <w:p w14:paraId="2EAF6E11"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(0.0947)</w:t>
            </w:r>
          </w:p>
        </w:tc>
      </w:tr>
      <w:tr w:rsidR="00D36779" w:rsidRPr="00057F2F" w14:paraId="3FD68BD9" w14:textId="77777777" w:rsidTr="00163C2A">
        <w:trPr>
          <w:trHeight w:val="283"/>
          <w:jc w:val="center"/>
        </w:trPr>
        <w:tc>
          <w:tcPr>
            <w:tcW w:w="3015" w:type="dxa"/>
            <w:shd w:val="clear" w:color="auto" w:fill="FFFFFF"/>
            <w:tcMar>
              <w:top w:w="0" w:type="dxa"/>
              <w:left w:w="0" w:type="dxa"/>
              <w:bottom w:w="0" w:type="dxa"/>
              <w:right w:w="0" w:type="dxa"/>
            </w:tcMar>
            <w:vAlign w:val="center"/>
          </w:tcPr>
          <w:p w14:paraId="74475372"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Persistently downstream</w:t>
            </w:r>
          </w:p>
        </w:tc>
        <w:tc>
          <w:tcPr>
            <w:tcW w:w="2281" w:type="dxa"/>
            <w:shd w:val="clear" w:color="auto" w:fill="FFFFFF"/>
            <w:tcMar>
              <w:top w:w="0" w:type="dxa"/>
              <w:left w:w="0" w:type="dxa"/>
              <w:bottom w:w="0" w:type="dxa"/>
              <w:right w:w="0" w:type="dxa"/>
            </w:tcMar>
            <w:vAlign w:val="center"/>
          </w:tcPr>
          <w:p w14:paraId="6F5929F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0.0287</w:t>
            </w:r>
          </w:p>
        </w:tc>
        <w:tc>
          <w:tcPr>
            <w:tcW w:w="2569" w:type="dxa"/>
            <w:shd w:val="clear" w:color="auto" w:fill="FFFFFF"/>
            <w:tcMar>
              <w:top w:w="0" w:type="dxa"/>
              <w:left w:w="0" w:type="dxa"/>
              <w:bottom w:w="0" w:type="dxa"/>
              <w:right w:w="0" w:type="dxa"/>
            </w:tcMar>
            <w:vAlign w:val="center"/>
          </w:tcPr>
          <w:p w14:paraId="4AAB8B6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0.0168</w:t>
            </w:r>
          </w:p>
        </w:tc>
        <w:tc>
          <w:tcPr>
            <w:tcW w:w="1982" w:type="dxa"/>
            <w:shd w:val="clear" w:color="auto" w:fill="FFFFFF"/>
            <w:tcMar>
              <w:top w:w="0" w:type="dxa"/>
              <w:left w:w="0" w:type="dxa"/>
              <w:bottom w:w="0" w:type="dxa"/>
              <w:right w:w="0" w:type="dxa"/>
            </w:tcMar>
            <w:vAlign w:val="center"/>
          </w:tcPr>
          <w:p w14:paraId="32108BF9"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0.1045</w:t>
            </w:r>
          </w:p>
        </w:tc>
      </w:tr>
      <w:tr w:rsidR="00D36779" w:rsidRPr="00057F2F" w14:paraId="5418AA01" w14:textId="77777777" w:rsidTr="00163C2A">
        <w:trPr>
          <w:trHeight w:val="283"/>
          <w:jc w:val="center"/>
        </w:trPr>
        <w:tc>
          <w:tcPr>
            <w:tcW w:w="3015" w:type="dxa"/>
            <w:shd w:val="clear" w:color="auto" w:fill="FFFFFF"/>
            <w:tcMar>
              <w:top w:w="0" w:type="dxa"/>
              <w:left w:w="0" w:type="dxa"/>
              <w:bottom w:w="0" w:type="dxa"/>
              <w:right w:w="0" w:type="dxa"/>
            </w:tcMar>
            <w:vAlign w:val="center"/>
          </w:tcPr>
          <w:p w14:paraId="24BFED1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71F80683"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(0.0856)</w:t>
            </w:r>
          </w:p>
        </w:tc>
        <w:tc>
          <w:tcPr>
            <w:tcW w:w="2569" w:type="dxa"/>
            <w:shd w:val="clear" w:color="auto" w:fill="FFFFFF"/>
            <w:tcMar>
              <w:top w:w="0" w:type="dxa"/>
              <w:left w:w="0" w:type="dxa"/>
              <w:bottom w:w="0" w:type="dxa"/>
              <w:right w:w="0" w:type="dxa"/>
            </w:tcMar>
            <w:vAlign w:val="center"/>
          </w:tcPr>
          <w:p w14:paraId="531ECA6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(0.0810)</w:t>
            </w:r>
          </w:p>
        </w:tc>
        <w:tc>
          <w:tcPr>
            <w:tcW w:w="1982" w:type="dxa"/>
            <w:shd w:val="clear" w:color="auto" w:fill="FFFFFF"/>
            <w:tcMar>
              <w:top w:w="0" w:type="dxa"/>
              <w:left w:w="0" w:type="dxa"/>
              <w:bottom w:w="0" w:type="dxa"/>
              <w:right w:w="0" w:type="dxa"/>
            </w:tcMar>
            <w:vAlign w:val="center"/>
          </w:tcPr>
          <w:p w14:paraId="5F4779C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(0.0969)</w:t>
            </w:r>
          </w:p>
        </w:tc>
      </w:tr>
      <w:tr w:rsidR="00D36779" w:rsidRPr="00057F2F" w14:paraId="74C5DB9E" w14:textId="77777777" w:rsidTr="00163C2A">
        <w:trPr>
          <w:trHeight w:val="283"/>
          <w:jc w:val="center"/>
        </w:trPr>
        <w:tc>
          <w:tcPr>
            <w:tcW w:w="3015" w:type="dxa"/>
            <w:shd w:val="clear" w:color="auto" w:fill="FFFFFF"/>
            <w:tcMar>
              <w:top w:w="0" w:type="dxa"/>
              <w:left w:w="0" w:type="dxa"/>
              <w:bottom w:w="0" w:type="dxa"/>
              <w:right w:w="0" w:type="dxa"/>
            </w:tcMar>
            <w:vAlign w:val="center"/>
          </w:tcPr>
          <w:p w14:paraId="513EBDD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Downgrading</w:t>
            </w:r>
          </w:p>
        </w:tc>
        <w:tc>
          <w:tcPr>
            <w:tcW w:w="2281" w:type="dxa"/>
            <w:shd w:val="clear" w:color="auto" w:fill="FFFFFF"/>
            <w:tcMar>
              <w:top w:w="0" w:type="dxa"/>
              <w:left w:w="0" w:type="dxa"/>
              <w:bottom w:w="0" w:type="dxa"/>
              <w:right w:w="0" w:type="dxa"/>
            </w:tcMar>
            <w:vAlign w:val="center"/>
          </w:tcPr>
          <w:p w14:paraId="6F065E1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-0.0811</w:t>
            </w:r>
          </w:p>
        </w:tc>
        <w:tc>
          <w:tcPr>
            <w:tcW w:w="2569" w:type="dxa"/>
            <w:shd w:val="clear" w:color="auto" w:fill="FFFFFF"/>
            <w:tcMar>
              <w:top w:w="0" w:type="dxa"/>
              <w:left w:w="0" w:type="dxa"/>
              <w:bottom w:w="0" w:type="dxa"/>
              <w:right w:w="0" w:type="dxa"/>
            </w:tcMar>
            <w:vAlign w:val="center"/>
          </w:tcPr>
          <w:p w14:paraId="62536E0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-0.0910</w:t>
            </w:r>
          </w:p>
        </w:tc>
        <w:tc>
          <w:tcPr>
            <w:tcW w:w="1982" w:type="dxa"/>
            <w:shd w:val="clear" w:color="auto" w:fill="FFFFFF"/>
            <w:tcMar>
              <w:top w:w="0" w:type="dxa"/>
              <w:left w:w="0" w:type="dxa"/>
              <w:bottom w:w="0" w:type="dxa"/>
              <w:right w:w="0" w:type="dxa"/>
            </w:tcMar>
            <w:vAlign w:val="center"/>
          </w:tcPr>
          <w:p w14:paraId="35B17AE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-0.0124</w:t>
            </w:r>
          </w:p>
        </w:tc>
      </w:tr>
      <w:tr w:rsidR="00D36779" w:rsidRPr="00057F2F" w14:paraId="0EE2C4DA" w14:textId="77777777" w:rsidTr="00163C2A">
        <w:trPr>
          <w:trHeight w:val="283"/>
          <w:jc w:val="center"/>
        </w:trPr>
        <w:tc>
          <w:tcPr>
            <w:tcW w:w="3015" w:type="dxa"/>
            <w:shd w:val="clear" w:color="auto" w:fill="FFFFFF"/>
            <w:tcMar>
              <w:top w:w="0" w:type="dxa"/>
              <w:left w:w="0" w:type="dxa"/>
              <w:bottom w:w="0" w:type="dxa"/>
              <w:right w:w="0" w:type="dxa"/>
            </w:tcMar>
            <w:vAlign w:val="center"/>
          </w:tcPr>
          <w:p w14:paraId="6587307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0E5B06A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(0.1282)</w:t>
            </w:r>
          </w:p>
        </w:tc>
        <w:tc>
          <w:tcPr>
            <w:tcW w:w="2569" w:type="dxa"/>
            <w:shd w:val="clear" w:color="auto" w:fill="FFFFFF"/>
            <w:tcMar>
              <w:top w:w="0" w:type="dxa"/>
              <w:left w:w="0" w:type="dxa"/>
              <w:bottom w:w="0" w:type="dxa"/>
              <w:right w:w="0" w:type="dxa"/>
            </w:tcMar>
            <w:vAlign w:val="center"/>
          </w:tcPr>
          <w:p w14:paraId="551AB15F"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(0.1213)</w:t>
            </w:r>
          </w:p>
        </w:tc>
        <w:tc>
          <w:tcPr>
            <w:tcW w:w="1982" w:type="dxa"/>
            <w:shd w:val="clear" w:color="auto" w:fill="FFFFFF"/>
            <w:tcMar>
              <w:top w:w="0" w:type="dxa"/>
              <w:left w:w="0" w:type="dxa"/>
              <w:bottom w:w="0" w:type="dxa"/>
              <w:right w:w="0" w:type="dxa"/>
            </w:tcMar>
            <w:vAlign w:val="center"/>
          </w:tcPr>
          <w:p w14:paraId="7C1363A6"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(0.1301)</w:t>
            </w:r>
          </w:p>
        </w:tc>
      </w:tr>
      <w:tr w:rsidR="00D36779" w:rsidRPr="00057F2F" w14:paraId="59C78B64" w14:textId="77777777" w:rsidTr="00163C2A">
        <w:trPr>
          <w:trHeight w:val="283"/>
          <w:jc w:val="center"/>
        </w:trPr>
        <w:tc>
          <w:tcPr>
            <w:tcW w:w="3015" w:type="dxa"/>
            <w:shd w:val="clear" w:color="auto" w:fill="FFFFFF"/>
            <w:tcMar>
              <w:top w:w="0" w:type="dxa"/>
              <w:left w:w="0" w:type="dxa"/>
              <w:bottom w:w="0" w:type="dxa"/>
              <w:right w:w="0" w:type="dxa"/>
            </w:tcMar>
            <w:vAlign w:val="center"/>
          </w:tcPr>
          <w:p w14:paraId="2CA6A84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Up-Down switch</w:t>
            </w:r>
          </w:p>
        </w:tc>
        <w:tc>
          <w:tcPr>
            <w:tcW w:w="2281" w:type="dxa"/>
            <w:shd w:val="clear" w:color="auto" w:fill="FFFFFF"/>
            <w:tcMar>
              <w:top w:w="0" w:type="dxa"/>
              <w:left w:w="0" w:type="dxa"/>
              <w:bottom w:w="0" w:type="dxa"/>
              <w:right w:w="0" w:type="dxa"/>
            </w:tcMar>
            <w:vAlign w:val="center"/>
          </w:tcPr>
          <w:p w14:paraId="10917CEA"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0.0706</w:t>
            </w:r>
          </w:p>
        </w:tc>
        <w:tc>
          <w:tcPr>
            <w:tcW w:w="2569" w:type="dxa"/>
            <w:shd w:val="clear" w:color="auto" w:fill="FFFFFF"/>
            <w:tcMar>
              <w:top w:w="0" w:type="dxa"/>
              <w:left w:w="0" w:type="dxa"/>
              <w:bottom w:w="0" w:type="dxa"/>
              <w:right w:w="0" w:type="dxa"/>
            </w:tcMar>
            <w:vAlign w:val="center"/>
          </w:tcPr>
          <w:p w14:paraId="3871D26F"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0.0758</w:t>
            </w:r>
          </w:p>
        </w:tc>
        <w:tc>
          <w:tcPr>
            <w:tcW w:w="1982" w:type="dxa"/>
            <w:shd w:val="clear" w:color="auto" w:fill="FFFFFF"/>
            <w:tcMar>
              <w:top w:w="0" w:type="dxa"/>
              <w:left w:w="0" w:type="dxa"/>
              <w:bottom w:w="0" w:type="dxa"/>
              <w:right w:w="0" w:type="dxa"/>
            </w:tcMar>
            <w:vAlign w:val="center"/>
          </w:tcPr>
          <w:p w14:paraId="01A2B35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0.1635</w:t>
            </w:r>
          </w:p>
        </w:tc>
      </w:tr>
      <w:tr w:rsidR="00D36779" w:rsidRPr="00057F2F" w14:paraId="4CD00A9A" w14:textId="77777777" w:rsidTr="00163C2A">
        <w:trPr>
          <w:trHeight w:val="283"/>
          <w:jc w:val="center"/>
        </w:trPr>
        <w:tc>
          <w:tcPr>
            <w:tcW w:w="3015" w:type="dxa"/>
            <w:shd w:val="clear" w:color="auto" w:fill="FFFFFF"/>
            <w:tcMar>
              <w:top w:w="0" w:type="dxa"/>
              <w:left w:w="0" w:type="dxa"/>
              <w:bottom w:w="0" w:type="dxa"/>
              <w:right w:w="0" w:type="dxa"/>
            </w:tcMar>
            <w:vAlign w:val="center"/>
          </w:tcPr>
          <w:p w14:paraId="573B534B"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19F752F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(0.1212)</w:t>
            </w:r>
          </w:p>
        </w:tc>
        <w:tc>
          <w:tcPr>
            <w:tcW w:w="2569" w:type="dxa"/>
            <w:shd w:val="clear" w:color="auto" w:fill="FFFFFF"/>
            <w:tcMar>
              <w:top w:w="0" w:type="dxa"/>
              <w:left w:w="0" w:type="dxa"/>
              <w:bottom w:w="0" w:type="dxa"/>
              <w:right w:w="0" w:type="dxa"/>
            </w:tcMar>
            <w:vAlign w:val="center"/>
          </w:tcPr>
          <w:p w14:paraId="40379F9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(0.1147)</w:t>
            </w:r>
          </w:p>
        </w:tc>
        <w:tc>
          <w:tcPr>
            <w:tcW w:w="1982" w:type="dxa"/>
            <w:shd w:val="clear" w:color="auto" w:fill="FFFFFF"/>
            <w:tcMar>
              <w:top w:w="0" w:type="dxa"/>
              <w:left w:w="0" w:type="dxa"/>
              <w:bottom w:w="0" w:type="dxa"/>
              <w:right w:w="0" w:type="dxa"/>
            </w:tcMar>
            <w:vAlign w:val="center"/>
          </w:tcPr>
          <w:p w14:paraId="30F1F1A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(0.1262)</w:t>
            </w:r>
          </w:p>
        </w:tc>
      </w:tr>
      <w:tr w:rsidR="00D36779" w:rsidRPr="00057F2F" w14:paraId="2BCFD1DB" w14:textId="77777777" w:rsidTr="00163C2A">
        <w:trPr>
          <w:trHeight w:val="283"/>
          <w:jc w:val="center"/>
        </w:trPr>
        <w:tc>
          <w:tcPr>
            <w:tcW w:w="3015" w:type="dxa"/>
            <w:shd w:val="clear" w:color="auto" w:fill="FFFFFF"/>
            <w:tcMar>
              <w:top w:w="0" w:type="dxa"/>
              <w:left w:w="0" w:type="dxa"/>
              <w:bottom w:w="0" w:type="dxa"/>
              <w:right w:w="0" w:type="dxa"/>
            </w:tcMar>
            <w:vAlign w:val="center"/>
          </w:tcPr>
          <w:p w14:paraId="6433909B" w14:textId="04FF8A73" w:rsidR="00D36779" w:rsidRPr="00057F2F" w:rsidRDefault="003A5CC7"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P</w:t>
            </w:r>
            <w:r w:rsidR="00D36779" w:rsidRPr="00057F2F">
              <w:rPr>
                <w:rFonts w:ascii="Times New Roman" w:eastAsia="Arial" w:hAnsi="Times New Roman" w:cs="Times New Roman"/>
                <w:lang w:val="en-GB"/>
              </w:rPr>
              <w:t>S in SB (2003-2008)</w:t>
            </w:r>
          </w:p>
        </w:tc>
        <w:tc>
          <w:tcPr>
            <w:tcW w:w="2281" w:type="dxa"/>
            <w:shd w:val="clear" w:color="auto" w:fill="FFFFFF"/>
            <w:tcMar>
              <w:top w:w="0" w:type="dxa"/>
              <w:left w:w="0" w:type="dxa"/>
              <w:bottom w:w="0" w:type="dxa"/>
              <w:right w:w="0" w:type="dxa"/>
            </w:tcMar>
            <w:vAlign w:val="center"/>
          </w:tcPr>
          <w:p w14:paraId="293F824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2569" w:type="dxa"/>
            <w:shd w:val="clear" w:color="auto" w:fill="FFFFFF"/>
            <w:tcMar>
              <w:top w:w="0" w:type="dxa"/>
              <w:left w:w="0" w:type="dxa"/>
              <w:bottom w:w="0" w:type="dxa"/>
              <w:right w:w="0" w:type="dxa"/>
            </w:tcMar>
            <w:vAlign w:val="center"/>
          </w:tcPr>
          <w:p w14:paraId="0475637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-0.3240***</w:t>
            </w:r>
          </w:p>
        </w:tc>
        <w:tc>
          <w:tcPr>
            <w:tcW w:w="1982" w:type="dxa"/>
            <w:shd w:val="clear" w:color="auto" w:fill="FFFFFF"/>
            <w:tcMar>
              <w:top w:w="0" w:type="dxa"/>
              <w:left w:w="0" w:type="dxa"/>
              <w:bottom w:w="0" w:type="dxa"/>
              <w:right w:w="0" w:type="dxa"/>
            </w:tcMar>
            <w:vAlign w:val="center"/>
          </w:tcPr>
          <w:p w14:paraId="267684C2"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-0.3080***</w:t>
            </w:r>
          </w:p>
        </w:tc>
      </w:tr>
      <w:tr w:rsidR="00D36779" w:rsidRPr="00057F2F" w14:paraId="087FC20E" w14:textId="77777777" w:rsidTr="00163C2A">
        <w:trPr>
          <w:trHeight w:val="283"/>
          <w:jc w:val="center"/>
        </w:trPr>
        <w:tc>
          <w:tcPr>
            <w:tcW w:w="3015" w:type="dxa"/>
            <w:shd w:val="clear" w:color="auto" w:fill="FFFFFF"/>
            <w:tcMar>
              <w:top w:w="0" w:type="dxa"/>
              <w:left w:w="0" w:type="dxa"/>
              <w:bottom w:w="0" w:type="dxa"/>
              <w:right w:w="0" w:type="dxa"/>
            </w:tcMar>
            <w:vAlign w:val="center"/>
          </w:tcPr>
          <w:p w14:paraId="5EB28E0E"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shd w:val="clear" w:color="auto" w:fill="FFFFFF"/>
            <w:tcMar>
              <w:top w:w="0" w:type="dxa"/>
              <w:left w:w="0" w:type="dxa"/>
              <w:bottom w:w="0" w:type="dxa"/>
              <w:right w:w="0" w:type="dxa"/>
            </w:tcMar>
            <w:vAlign w:val="center"/>
          </w:tcPr>
          <w:p w14:paraId="0300A494"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2569" w:type="dxa"/>
            <w:shd w:val="clear" w:color="auto" w:fill="FFFFFF"/>
            <w:tcMar>
              <w:top w:w="0" w:type="dxa"/>
              <w:left w:w="0" w:type="dxa"/>
              <w:bottom w:w="0" w:type="dxa"/>
              <w:right w:w="0" w:type="dxa"/>
            </w:tcMar>
            <w:vAlign w:val="center"/>
          </w:tcPr>
          <w:p w14:paraId="4AB66E0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(0.0575)</w:t>
            </w:r>
          </w:p>
        </w:tc>
        <w:tc>
          <w:tcPr>
            <w:tcW w:w="1982" w:type="dxa"/>
            <w:shd w:val="clear" w:color="auto" w:fill="FFFFFF"/>
            <w:tcMar>
              <w:top w:w="0" w:type="dxa"/>
              <w:left w:w="0" w:type="dxa"/>
              <w:bottom w:w="0" w:type="dxa"/>
              <w:right w:w="0" w:type="dxa"/>
            </w:tcMar>
            <w:vAlign w:val="center"/>
          </w:tcPr>
          <w:p w14:paraId="53A8A99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(0.0582)</w:t>
            </w:r>
          </w:p>
        </w:tc>
      </w:tr>
      <w:tr w:rsidR="00D36779" w:rsidRPr="00057F2F" w14:paraId="02D75128" w14:textId="77777777" w:rsidTr="00163C2A">
        <w:trPr>
          <w:trHeight w:val="283"/>
          <w:jc w:val="center"/>
        </w:trPr>
        <w:tc>
          <w:tcPr>
            <w:tcW w:w="3015" w:type="dxa"/>
            <w:shd w:val="clear" w:color="auto" w:fill="FFFFFF"/>
            <w:tcMar>
              <w:top w:w="0" w:type="dxa"/>
              <w:left w:w="0" w:type="dxa"/>
              <w:bottom w:w="0" w:type="dxa"/>
              <w:right w:w="0" w:type="dxa"/>
            </w:tcMar>
            <w:vAlign w:val="center"/>
          </w:tcPr>
          <w:p w14:paraId="28445AA5"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RFS (2003-2008)</w:t>
            </w:r>
          </w:p>
        </w:tc>
        <w:tc>
          <w:tcPr>
            <w:tcW w:w="2281" w:type="dxa"/>
            <w:shd w:val="clear" w:color="auto" w:fill="FFFFFF"/>
            <w:tcMar>
              <w:top w:w="0" w:type="dxa"/>
              <w:left w:w="0" w:type="dxa"/>
              <w:bottom w:w="0" w:type="dxa"/>
              <w:right w:w="0" w:type="dxa"/>
            </w:tcMar>
            <w:vAlign w:val="center"/>
          </w:tcPr>
          <w:p w14:paraId="61563153"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2569" w:type="dxa"/>
            <w:shd w:val="clear" w:color="auto" w:fill="FFFFFF"/>
            <w:tcMar>
              <w:top w:w="0" w:type="dxa"/>
              <w:left w:w="0" w:type="dxa"/>
              <w:bottom w:w="0" w:type="dxa"/>
              <w:right w:w="0" w:type="dxa"/>
            </w:tcMar>
            <w:vAlign w:val="center"/>
          </w:tcPr>
          <w:p w14:paraId="42AF1EA2"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1982" w:type="dxa"/>
            <w:shd w:val="clear" w:color="auto" w:fill="FFFFFF"/>
            <w:tcMar>
              <w:top w:w="0" w:type="dxa"/>
              <w:left w:w="0" w:type="dxa"/>
              <w:bottom w:w="0" w:type="dxa"/>
              <w:right w:w="0" w:type="dxa"/>
            </w:tcMar>
            <w:vAlign w:val="center"/>
          </w:tcPr>
          <w:p w14:paraId="533712C1"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0.0580</w:t>
            </w:r>
          </w:p>
        </w:tc>
      </w:tr>
      <w:tr w:rsidR="00D36779" w:rsidRPr="00057F2F" w14:paraId="2E1554D5" w14:textId="77777777" w:rsidTr="00163C2A">
        <w:trPr>
          <w:trHeight w:val="283"/>
          <w:jc w:val="center"/>
        </w:trPr>
        <w:tc>
          <w:tcPr>
            <w:tcW w:w="3015" w:type="dxa"/>
            <w:tcBorders>
              <w:bottom w:val="single" w:sz="4" w:space="0" w:color="auto"/>
            </w:tcBorders>
            <w:shd w:val="clear" w:color="auto" w:fill="FFFFFF"/>
            <w:tcMar>
              <w:top w:w="0" w:type="dxa"/>
              <w:left w:w="0" w:type="dxa"/>
              <w:bottom w:w="0" w:type="dxa"/>
              <w:right w:w="0" w:type="dxa"/>
            </w:tcMar>
            <w:vAlign w:val="center"/>
          </w:tcPr>
          <w:p w14:paraId="1951133F"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i/>
                <w:lang w:val="en-GB"/>
              </w:rPr>
            </w:pPr>
          </w:p>
        </w:tc>
        <w:tc>
          <w:tcPr>
            <w:tcW w:w="2281" w:type="dxa"/>
            <w:tcBorders>
              <w:bottom w:val="single" w:sz="4" w:space="0" w:color="auto"/>
            </w:tcBorders>
            <w:shd w:val="clear" w:color="auto" w:fill="FFFFFF"/>
            <w:tcMar>
              <w:top w:w="0" w:type="dxa"/>
              <w:left w:w="0" w:type="dxa"/>
              <w:bottom w:w="0" w:type="dxa"/>
              <w:right w:w="0" w:type="dxa"/>
            </w:tcMar>
            <w:vAlign w:val="center"/>
          </w:tcPr>
          <w:p w14:paraId="565C15B4"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2569" w:type="dxa"/>
            <w:tcBorders>
              <w:bottom w:val="single" w:sz="4" w:space="0" w:color="auto"/>
            </w:tcBorders>
            <w:shd w:val="clear" w:color="auto" w:fill="FFFFFF"/>
            <w:tcMar>
              <w:top w:w="0" w:type="dxa"/>
              <w:left w:w="0" w:type="dxa"/>
              <w:bottom w:w="0" w:type="dxa"/>
              <w:right w:w="0" w:type="dxa"/>
            </w:tcMar>
            <w:vAlign w:val="center"/>
          </w:tcPr>
          <w:p w14:paraId="25B9859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p>
        </w:tc>
        <w:tc>
          <w:tcPr>
            <w:tcW w:w="1982" w:type="dxa"/>
            <w:tcBorders>
              <w:bottom w:val="single" w:sz="4" w:space="0" w:color="auto"/>
            </w:tcBorders>
            <w:shd w:val="clear" w:color="auto" w:fill="FFFFFF"/>
            <w:tcMar>
              <w:top w:w="0" w:type="dxa"/>
              <w:left w:w="0" w:type="dxa"/>
              <w:bottom w:w="0" w:type="dxa"/>
              <w:right w:w="0" w:type="dxa"/>
            </w:tcMar>
            <w:vAlign w:val="center"/>
          </w:tcPr>
          <w:p w14:paraId="5947AF1A"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(0.0354)</w:t>
            </w:r>
          </w:p>
        </w:tc>
      </w:tr>
      <w:tr w:rsidR="00D36779" w:rsidRPr="00057F2F" w14:paraId="43B9A168" w14:textId="77777777" w:rsidTr="00163C2A">
        <w:trPr>
          <w:trHeight w:val="283"/>
          <w:jc w:val="center"/>
        </w:trPr>
        <w:tc>
          <w:tcPr>
            <w:tcW w:w="3015" w:type="dxa"/>
            <w:tcBorders>
              <w:top w:val="single" w:sz="4" w:space="0" w:color="auto"/>
            </w:tcBorders>
            <w:shd w:val="clear" w:color="auto" w:fill="FFFFFF"/>
            <w:tcMar>
              <w:top w:w="0" w:type="dxa"/>
              <w:left w:w="0" w:type="dxa"/>
              <w:bottom w:w="0" w:type="dxa"/>
              <w:right w:w="0" w:type="dxa"/>
            </w:tcMar>
            <w:vAlign w:val="center"/>
          </w:tcPr>
          <w:p w14:paraId="036447C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N</w:t>
            </w:r>
          </w:p>
        </w:tc>
        <w:tc>
          <w:tcPr>
            <w:tcW w:w="2281" w:type="dxa"/>
            <w:tcBorders>
              <w:top w:val="single" w:sz="4" w:space="0" w:color="auto"/>
            </w:tcBorders>
            <w:shd w:val="clear" w:color="auto" w:fill="FFFFFF"/>
            <w:tcMar>
              <w:top w:w="0" w:type="dxa"/>
              <w:left w:w="0" w:type="dxa"/>
              <w:bottom w:w="0" w:type="dxa"/>
              <w:right w:w="0" w:type="dxa"/>
            </w:tcMar>
            <w:vAlign w:val="center"/>
          </w:tcPr>
          <w:p w14:paraId="39231D79"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266</w:t>
            </w:r>
          </w:p>
        </w:tc>
        <w:tc>
          <w:tcPr>
            <w:tcW w:w="2569" w:type="dxa"/>
            <w:tcBorders>
              <w:top w:val="single" w:sz="4" w:space="0" w:color="auto"/>
            </w:tcBorders>
            <w:shd w:val="clear" w:color="auto" w:fill="FFFFFF"/>
            <w:tcMar>
              <w:top w:w="0" w:type="dxa"/>
              <w:left w:w="0" w:type="dxa"/>
              <w:bottom w:w="0" w:type="dxa"/>
              <w:right w:w="0" w:type="dxa"/>
            </w:tcMar>
            <w:vAlign w:val="center"/>
          </w:tcPr>
          <w:p w14:paraId="132E85EC"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266</w:t>
            </w:r>
          </w:p>
        </w:tc>
        <w:tc>
          <w:tcPr>
            <w:tcW w:w="1982" w:type="dxa"/>
            <w:tcBorders>
              <w:top w:val="single" w:sz="4" w:space="0" w:color="auto"/>
            </w:tcBorders>
            <w:shd w:val="clear" w:color="auto" w:fill="FFFFFF"/>
            <w:tcMar>
              <w:top w:w="0" w:type="dxa"/>
              <w:left w:w="0" w:type="dxa"/>
              <w:bottom w:w="0" w:type="dxa"/>
              <w:right w:w="0" w:type="dxa"/>
            </w:tcMar>
            <w:vAlign w:val="center"/>
          </w:tcPr>
          <w:p w14:paraId="7AD475D7"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266</w:t>
            </w:r>
          </w:p>
        </w:tc>
      </w:tr>
      <w:tr w:rsidR="00D36779" w:rsidRPr="00057F2F" w14:paraId="3FA727FD" w14:textId="77777777" w:rsidTr="00163C2A">
        <w:trPr>
          <w:trHeight w:val="283"/>
          <w:jc w:val="center"/>
        </w:trPr>
        <w:tc>
          <w:tcPr>
            <w:tcW w:w="3015" w:type="dxa"/>
            <w:shd w:val="clear" w:color="auto" w:fill="FFFFFF"/>
            <w:tcMar>
              <w:top w:w="0" w:type="dxa"/>
              <w:left w:w="0" w:type="dxa"/>
              <w:bottom w:w="0" w:type="dxa"/>
              <w:right w:w="0" w:type="dxa"/>
            </w:tcMar>
            <w:vAlign w:val="center"/>
          </w:tcPr>
          <w:p w14:paraId="4371E6A0"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R²</w:t>
            </w:r>
          </w:p>
        </w:tc>
        <w:tc>
          <w:tcPr>
            <w:tcW w:w="2281" w:type="dxa"/>
            <w:shd w:val="clear" w:color="auto" w:fill="FFFFFF"/>
            <w:tcMar>
              <w:top w:w="0" w:type="dxa"/>
              <w:left w:w="0" w:type="dxa"/>
              <w:bottom w:w="0" w:type="dxa"/>
              <w:right w:w="0" w:type="dxa"/>
            </w:tcMar>
            <w:vAlign w:val="center"/>
          </w:tcPr>
          <w:p w14:paraId="03A96BC9"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0.1965</w:t>
            </w:r>
          </w:p>
        </w:tc>
        <w:tc>
          <w:tcPr>
            <w:tcW w:w="2569" w:type="dxa"/>
            <w:shd w:val="clear" w:color="auto" w:fill="FFFFFF"/>
            <w:tcMar>
              <w:top w:w="0" w:type="dxa"/>
              <w:left w:w="0" w:type="dxa"/>
              <w:bottom w:w="0" w:type="dxa"/>
              <w:right w:w="0" w:type="dxa"/>
            </w:tcMar>
            <w:vAlign w:val="center"/>
          </w:tcPr>
          <w:p w14:paraId="1598A177"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0.2521</w:t>
            </w:r>
          </w:p>
        </w:tc>
        <w:tc>
          <w:tcPr>
            <w:tcW w:w="1982" w:type="dxa"/>
            <w:shd w:val="clear" w:color="auto" w:fill="FFFFFF"/>
            <w:tcMar>
              <w:top w:w="0" w:type="dxa"/>
              <w:left w:w="0" w:type="dxa"/>
              <w:bottom w:w="0" w:type="dxa"/>
              <w:right w:w="0" w:type="dxa"/>
            </w:tcMar>
            <w:vAlign w:val="center"/>
          </w:tcPr>
          <w:p w14:paraId="1B77027D"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0.2608</w:t>
            </w:r>
          </w:p>
        </w:tc>
      </w:tr>
      <w:tr w:rsidR="00D36779" w:rsidRPr="00057F2F" w14:paraId="15A26048" w14:textId="77777777" w:rsidTr="00163C2A">
        <w:trPr>
          <w:trHeight w:val="283"/>
          <w:jc w:val="center"/>
        </w:trPr>
        <w:tc>
          <w:tcPr>
            <w:tcW w:w="3015" w:type="dxa"/>
            <w:tcBorders>
              <w:bottom w:val="single" w:sz="4" w:space="0" w:color="auto"/>
            </w:tcBorders>
            <w:shd w:val="clear" w:color="auto" w:fill="FFFFFF"/>
            <w:tcMar>
              <w:top w:w="0" w:type="dxa"/>
              <w:left w:w="0" w:type="dxa"/>
              <w:bottom w:w="0" w:type="dxa"/>
              <w:right w:w="0" w:type="dxa"/>
            </w:tcMar>
            <w:vAlign w:val="center"/>
          </w:tcPr>
          <w:p w14:paraId="0AB5DFB1"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Adj. R²</w:t>
            </w:r>
          </w:p>
        </w:tc>
        <w:tc>
          <w:tcPr>
            <w:tcW w:w="2281" w:type="dxa"/>
            <w:tcBorders>
              <w:bottom w:val="single" w:sz="4" w:space="0" w:color="auto"/>
            </w:tcBorders>
            <w:shd w:val="clear" w:color="auto" w:fill="FFFFFF"/>
            <w:tcMar>
              <w:top w:w="0" w:type="dxa"/>
              <w:left w:w="0" w:type="dxa"/>
              <w:bottom w:w="0" w:type="dxa"/>
              <w:right w:w="0" w:type="dxa"/>
            </w:tcMar>
            <w:vAlign w:val="center"/>
          </w:tcPr>
          <w:p w14:paraId="7E53476A"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0.1785</w:t>
            </w:r>
          </w:p>
        </w:tc>
        <w:tc>
          <w:tcPr>
            <w:tcW w:w="2569" w:type="dxa"/>
            <w:tcBorders>
              <w:bottom w:val="single" w:sz="4" w:space="0" w:color="auto"/>
            </w:tcBorders>
            <w:shd w:val="clear" w:color="auto" w:fill="FFFFFF"/>
            <w:tcMar>
              <w:top w:w="0" w:type="dxa"/>
              <w:left w:w="0" w:type="dxa"/>
              <w:bottom w:w="0" w:type="dxa"/>
              <w:right w:w="0" w:type="dxa"/>
            </w:tcMar>
            <w:vAlign w:val="center"/>
          </w:tcPr>
          <w:p w14:paraId="5BE79D99"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0.2326</w:t>
            </w:r>
          </w:p>
        </w:tc>
        <w:tc>
          <w:tcPr>
            <w:tcW w:w="1982" w:type="dxa"/>
            <w:tcBorders>
              <w:bottom w:val="single" w:sz="4" w:space="0" w:color="auto"/>
            </w:tcBorders>
            <w:shd w:val="clear" w:color="auto" w:fill="FFFFFF"/>
            <w:tcMar>
              <w:top w:w="0" w:type="dxa"/>
              <w:left w:w="0" w:type="dxa"/>
              <w:bottom w:w="0" w:type="dxa"/>
              <w:right w:w="0" w:type="dxa"/>
            </w:tcMar>
            <w:vAlign w:val="center"/>
          </w:tcPr>
          <w:p w14:paraId="5F95EC98" w14:textId="77777777" w:rsidR="00D36779" w:rsidRPr="00057F2F" w:rsidRDefault="00D36779" w:rsidP="00163C2A">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lang w:val="en-GB"/>
              </w:rPr>
            </w:pPr>
            <w:r w:rsidRPr="00057F2F">
              <w:rPr>
                <w:rFonts w:ascii="Times New Roman" w:eastAsia="Arial" w:hAnsi="Times New Roman" w:cs="Times New Roman"/>
                <w:lang w:val="en-GB"/>
              </w:rPr>
              <w:t>0.2387</w:t>
            </w:r>
          </w:p>
        </w:tc>
      </w:tr>
      <w:tr w:rsidR="00D36779" w:rsidRPr="001A64E1" w14:paraId="700879F2" w14:textId="77777777" w:rsidTr="00163C2A">
        <w:trPr>
          <w:trHeight w:val="283"/>
          <w:jc w:val="center"/>
        </w:trPr>
        <w:tc>
          <w:tcPr>
            <w:tcW w:w="9847" w:type="dxa"/>
            <w:gridSpan w:val="4"/>
            <w:tcBorders>
              <w:top w:val="single" w:sz="4" w:space="0" w:color="auto"/>
            </w:tcBorders>
            <w:shd w:val="clear" w:color="auto" w:fill="FFFFFF"/>
            <w:tcMar>
              <w:top w:w="0" w:type="dxa"/>
              <w:left w:w="0" w:type="dxa"/>
              <w:bottom w:w="0" w:type="dxa"/>
              <w:right w:w="0" w:type="dxa"/>
            </w:tcMar>
            <w:vAlign w:val="center"/>
          </w:tcPr>
          <w:p w14:paraId="4824E707" w14:textId="7B25F8CC" w:rsidR="0019644D" w:rsidRPr="00057F2F" w:rsidRDefault="00D36779" w:rsidP="00E870EA">
            <w:pPr>
              <w:pBdr>
                <w:top w:val="none" w:sz="0" w:space="0" w:color="000000"/>
                <w:left w:val="none" w:sz="0" w:space="0" w:color="000000"/>
                <w:bottom w:val="none" w:sz="0" w:space="0" w:color="000000"/>
                <w:right w:val="none" w:sz="0" w:space="0" w:color="000000"/>
              </w:pBdr>
              <w:spacing w:after="0" w:line="240" w:lineRule="auto"/>
              <w:ind w:left="102" w:right="102"/>
              <w:jc w:val="both"/>
              <w:rPr>
                <w:rFonts w:ascii="Times New Roman" w:eastAsia="Arial" w:hAnsi="Times New Roman" w:cs="Times New Roman"/>
                <w:sz w:val="20"/>
                <w:szCs w:val="20"/>
                <w:lang w:val="en-GB"/>
              </w:rPr>
            </w:pPr>
            <w:r w:rsidRPr="00057F2F">
              <w:rPr>
                <w:rFonts w:ascii="Times New Roman" w:eastAsia="Arial" w:hAnsi="Times New Roman" w:cs="Times New Roman"/>
                <w:sz w:val="20"/>
                <w:szCs w:val="20"/>
                <w:lang w:val="en-GB"/>
              </w:rPr>
              <w:t xml:space="preserve">Notes: OLS regression. Dependent variable: change in region-level </w:t>
            </w:r>
            <w:r w:rsidR="003A5CC7" w:rsidRPr="00057F2F">
              <w:rPr>
                <w:rFonts w:ascii="Times New Roman" w:eastAsia="Arial" w:hAnsi="Times New Roman" w:cs="Times New Roman"/>
                <w:sz w:val="20"/>
                <w:szCs w:val="20"/>
                <w:lang w:val="en-GB"/>
              </w:rPr>
              <w:t>Pavitt Specialization (P</w:t>
            </w:r>
            <w:r w:rsidRPr="00057F2F">
              <w:rPr>
                <w:rFonts w:ascii="Times New Roman" w:eastAsia="Arial" w:hAnsi="Times New Roman" w:cs="Times New Roman"/>
                <w:sz w:val="20"/>
                <w:szCs w:val="20"/>
                <w:lang w:val="en-GB"/>
              </w:rPr>
              <w:t>S</w:t>
            </w:r>
            <w:r w:rsidR="003A5CC7" w:rsidRPr="00057F2F">
              <w:rPr>
                <w:rFonts w:ascii="Times New Roman" w:eastAsia="Arial" w:hAnsi="Times New Roman" w:cs="Times New Roman"/>
                <w:sz w:val="20"/>
                <w:szCs w:val="20"/>
                <w:lang w:val="en-GB"/>
              </w:rPr>
              <w:t>)</w:t>
            </w:r>
            <w:r w:rsidRPr="00057F2F">
              <w:rPr>
                <w:rFonts w:ascii="Times New Roman" w:eastAsia="Arial" w:hAnsi="Times New Roman" w:cs="Times New Roman"/>
                <w:sz w:val="20"/>
                <w:szCs w:val="20"/>
                <w:lang w:val="en-GB"/>
              </w:rPr>
              <w:t xml:space="preserve"> in Science-Based</w:t>
            </w:r>
            <w:r w:rsidR="003A5CC7" w:rsidRPr="00057F2F">
              <w:rPr>
                <w:rFonts w:ascii="Times New Roman" w:eastAsia="Arial" w:hAnsi="Times New Roman" w:cs="Times New Roman"/>
                <w:sz w:val="20"/>
                <w:szCs w:val="20"/>
                <w:lang w:val="en-GB"/>
              </w:rPr>
              <w:t xml:space="preserve"> (SB)</w:t>
            </w:r>
            <w:r w:rsidRPr="00057F2F">
              <w:rPr>
                <w:rFonts w:ascii="Times New Roman" w:eastAsia="Arial" w:hAnsi="Times New Roman" w:cs="Times New Roman"/>
                <w:sz w:val="20"/>
                <w:szCs w:val="20"/>
                <w:lang w:val="en-GB"/>
              </w:rPr>
              <w:t xml:space="preserve"> industries. Reference category: Persistently production. Column (2) controls for baseline level of </w:t>
            </w:r>
            <w:r w:rsidR="003A5CC7" w:rsidRPr="00057F2F">
              <w:rPr>
                <w:rFonts w:ascii="Times New Roman" w:eastAsia="Arial" w:hAnsi="Times New Roman" w:cs="Times New Roman"/>
                <w:sz w:val="20"/>
                <w:szCs w:val="20"/>
                <w:lang w:val="en-GB"/>
              </w:rPr>
              <w:t>P</w:t>
            </w:r>
            <w:r w:rsidRPr="00057F2F">
              <w:rPr>
                <w:rFonts w:ascii="Times New Roman" w:eastAsia="Arial" w:hAnsi="Times New Roman" w:cs="Times New Roman"/>
                <w:sz w:val="20"/>
                <w:szCs w:val="20"/>
                <w:lang w:val="en-GB"/>
              </w:rPr>
              <w:t xml:space="preserve">S in SB at period 1. Column (3) additionally controls for baseline </w:t>
            </w:r>
            <w:r w:rsidR="003A5CC7" w:rsidRPr="00057F2F">
              <w:rPr>
                <w:rFonts w:ascii="Times New Roman" w:eastAsia="Arial" w:hAnsi="Times New Roman" w:cs="Times New Roman"/>
                <w:sz w:val="20"/>
                <w:szCs w:val="20"/>
                <w:lang w:val="en-GB"/>
              </w:rPr>
              <w:t xml:space="preserve">level of </w:t>
            </w:r>
            <w:r w:rsidRPr="00057F2F">
              <w:rPr>
                <w:rFonts w:ascii="Times New Roman" w:eastAsia="Arial" w:hAnsi="Times New Roman" w:cs="Times New Roman"/>
                <w:sz w:val="20"/>
                <w:szCs w:val="20"/>
                <w:lang w:val="en-GB"/>
              </w:rPr>
              <w:t>RFS at period 1. *, **, *** significant at 10%, 5%, 1%.</w:t>
            </w:r>
          </w:p>
          <w:p w14:paraId="11547490" w14:textId="126789A9" w:rsidR="00E870EA" w:rsidRPr="00915D78" w:rsidRDefault="001F5384" w:rsidP="00E870EA">
            <w:pPr>
              <w:pBdr>
                <w:top w:val="none" w:sz="0" w:space="0" w:color="000000"/>
                <w:left w:val="none" w:sz="0" w:space="0" w:color="000000"/>
                <w:bottom w:val="none" w:sz="0" w:space="0" w:color="000000"/>
                <w:right w:val="none" w:sz="0" w:space="0" w:color="000000"/>
              </w:pBdr>
              <w:spacing w:after="0" w:line="240" w:lineRule="auto"/>
              <w:ind w:left="102" w:right="102"/>
              <w:jc w:val="both"/>
              <w:rPr>
                <w:rFonts w:ascii="Times New Roman" w:eastAsia="Arial" w:hAnsi="Times New Roman" w:cs="Times New Roman"/>
                <w:sz w:val="20"/>
                <w:szCs w:val="20"/>
                <w:lang w:val="en-GB"/>
              </w:rPr>
            </w:pPr>
            <w:r w:rsidRPr="00057F2F">
              <w:rPr>
                <w:rFonts w:ascii="Times New Roman" w:eastAsia="Arial" w:hAnsi="Times New Roman" w:cs="Times New Roman"/>
                <w:sz w:val="20"/>
                <w:szCs w:val="20"/>
                <w:lang w:val="en-GB"/>
              </w:rPr>
              <w:t xml:space="preserve">Source: authors’ elaboration based on </w:t>
            </w:r>
            <w:proofErr w:type="spellStart"/>
            <w:r w:rsidRPr="00057F2F">
              <w:rPr>
                <w:rFonts w:ascii="Times New Roman" w:eastAsia="Arial" w:hAnsi="Times New Roman" w:cs="Times New Roman"/>
                <w:sz w:val="20"/>
                <w:szCs w:val="20"/>
                <w:lang w:val="en-GB"/>
              </w:rPr>
              <w:t>fDi</w:t>
            </w:r>
            <w:proofErr w:type="spellEnd"/>
            <w:r w:rsidRPr="00057F2F">
              <w:rPr>
                <w:rFonts w:ascii="Times New Roman" w:eastAsia="Arial" w:hAnsi="Times New Roman" w:cs="Times New Roman"/>
                <w:sz w:val="20"/>
                <w:szCs w:val="20"/>
                <w:lang w:val="en-GB"/>
              </w:rPr>
              <w:t xml:space="preserve"> Markets data.</w:t>
            </w:r>
          </w:p>
        </w:tc>
      </w:tr>
    </w:tbl>
    <w:p w14:paraId="4FF053E3" w14:textId="103B3D9E" w:rsidR="00D36779" w:rsidRDefault="00D36779" w:rsidP="00E870EA">
      <w:pPr>
        <w:rPr>
          <w:lang w:val="en-GB"/>
        </w:rPr>
      </w:pPr>
    </w:p>
    <w:p w14:paraId="1779311B" w14:textId="77777777" w:rsidR="00E870EA" w:rsidRPr="00E870EA" w:rsidRDefault="00E870EA" w:rsidP="00E870EA">
      <w:pPr>
        <w:rPr>
          <w:lang w:val="en-GB"/>
        </w:rPr>
      </w:pPr>
    </w:p>
    <w:sectPr w:rsidR="00E870EA" w:rsidRPr="00E870EA" w:rsidSect="00B17EF6">
      <w:footerReference w:type="default" r:id="rId15"/>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A8E9C" w14:textId="77777777" w:rsidR="007D0F1A" w:rsidRDefault="007D0F1A" w:rsidP="008D59D1">
      <w:pPr>
        <w:spacing w:after="0" w:line="240" w:lineRule="auto"/>
      </w:pPr>
      <w:r>
        <w:separator/>
      </w:r>
    </w:p>
  </w:endnote>
  <w:endnote w:type="continuationSeparator" w:id="0">
    <w:p w14:paraId="2A3410A8" w14:textId="77777777" w:rsidR="007D0F1A" w:rsidRDefault="007D0F1A" w:rsidP="008D5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852963"/>
      <w:docPartObj>
        <w:docPartGallery w:val="Page Numbers (Bottom of Page)"/>
        <w:docPartUnique/>
      </w:docPartObj>
    </w:sdtPr>
    <w:sdtContent>
      <w:p w14:paraId="2C9CC72E" w14:textId="1C4371E4" w:rsidR="008D59D1" w:rsidRDefault="008D59D1">
        <w:pPr>
          <w:pStyle w:val="Pidipagina"/>
          <w:jc w:val="center"/>
        </w:pPr>
        <w:r>
          <w:fldChar w:fldCharType="begin"/>
        </w:r>
        <w:r>
          <w:instrText>PAGE   \* MERGEFORMAT</w:instrText>
        </w:r>
        <w:r>
          <w:fldChar w:fldCharType="separate"/>
        </w:r>
        <w:r>
          <w:t>2</w:t>
        </w:r>
        <w:r>
          <w:fldChar w:fldCharType="end"/>
        </w:r>
      </w:p>
    </w:sdtContent>
  </w:sdt>
  <w:p w14:paraId="6AB6083C" w14:textId="77777777" w:rsidR="008D59D1" w:rsidRDefault="008D59D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1E147" w14:textId="77777777" w:rsidR="007D0F1A" w:rsidRDefault="007D0F1A" w:rsidP="008D59D1">
      <w:pPr>
        <w:spacing w:after="0" w:line="240" w:lineRule="auto"/>
      </w:pPr>
      <w:r>
        <w:separator/>
      </w:r>
    </w:p>
  </w:footnote>
  <w:footnote w:type="continuationSeparator" w:id="0">
    <w:p w14:paraId="491FD355" w14:textId="77777777" w:rsidR="007D0F1A" w:rsidRDefault="007D0F1A" w:rsidP="008D59D1">
      <w:pPr>
        <w:spacing w:after="0" w:line="240" w:lineRule="auto"/>
      </w:pPr>
      <w:r>
        <w:continuationSeparator/>
      </w:r>
    </w:p>
  </w:footnote>
  <w:footnote w:id="1">
    <w:p w14:paraId="28A04994" w14:textId="6E0F9C97" w:rsidR="000E3928" w:rsidRPr="009017D5" w:rsidRDefault="000E3928" w:rsidP="000E3928">
      <w:pPr>
        <w:pStyle w:val="Testonotaapidipagina"/>
        <w:jc w:val="both"/>
        <w:rPr>
          <w:rFonts w:ascii="Times New Roman" w:hAnsi="Times New Roman" w:cs="Times New Roman"/>
          <w:lang w:val="en-GB"/>
        </w:rPr>
      </w:pPr>
      <w:r w:rsidRPr="009017D5">
        <w:rPr>
          <w:rStyle w:val="Rimandonotaapidipagina"/>
          <w:rFonts w:ascii="Times New Roman" w:hAnsi="Times New Roman" w:cs="Times New Roman"/>
          <w:lang w:val="en-GB"/>
        </w:rPr>
        <w:footnoteRef/>
      </w:r>
      <w:r w:rsidRPr="009017D5">
        <w:rPr>
          <w:rFonts w:ascii="Times New Roman" w:hAnsi="Times New Roman" w:cs="Times New Roman"/>
          <w:lang w:val="en-GB"/>
        </w:rPr>
        <w:t xml:space="preserve"> The functional trajectories are: Persistently upstream, </w:t>
      </w:r>
      <w:proofErr w:type="gramStart"/>
      <w:r w:rsidRPr="009017D5">
        <w:rPr>
          <w:rFonts w:ascii="Times New Roman" w:hAnsi="Times New Roman" w:cs="Times New Roman"/>
          <w:lang w:val="en-GB"/>
        </w:rPr>
        <w:t>Persistently</w:t>
      </w:r>
      <w:proofErr w:type="gramEnd"/>
      <w:r w:rsidRPr="009017D5">
        <w:rPr>
          <w:rFonts w:ascii="Times New Roman" w:hAnsi="Times New Roman" w:cs="Times New Roman"/>
          <w:lang w:val="en-GB"/>
        </w:rPr>
        <w:t xml:space="preserve"> production, </w:t>
      </w:r>
      <w:proofErr w:type="gramStart"/>
      <w:r w:rsidRPr="009017D5">
        <w:rPr>
          <w:rFonts w:ascii="Times New Roman" w:hAnsi="Times New Roman" w:cs="Times New Roman"/>
          <w:lang w:val="en-GB"/>
        </w:rPr>
        <w:t>Persistently</w:t>
      </w:r>
      <w:proofErr w:type="gramEnd"/>
      <w:r w:rsidRPr="009017D5">
        <w:rPr>
          <w:rFonts w:ascii="Times New Roman" w:hAnsi="Times New Roman" w:cs="Times New Roman"/>
          <w:lang w:val="en-GB"/>
        </w:rPr>
        <w:t xml:space="preserve"> downstream, Upgrading, Downgrading, and Up-Down switch. The dominant Pavitt class </w:t>
      </w:r>
      <w:proofErr w:type="gramStart"/>
      <w:r w:rsidR="009017D5" w:rsidRPr="009017D5">
        <w:rPr>
          <w:rFonts w:ascii="Times New Roman" w:hAnsi="Times New Roman" w:cs="Times New Roman"/>
          <w:lang w:val="en-GB"/>
        </w:rPr>
        <w:t>are:</w:t>
      </w:r>
      <w:proofErr w:type="gramEnd"/>
      <w:r w:rsidR="009017D5" w:rsidRPr="009017D5">
        <w:rPr>
          <w:rFonts w:ascii="Times New Roman" w:hAnsi="Times New Roman" w:cs="Times New Roman"/>
          <w:lang w:val="en-GB"/>
        </w:rPr>
        <w:t xml:space="preserve"> </w:t>
      </w:r>
      <w:r w:rsidRPr="009017D5">
        <w:rPr>
          <w:rFonts w:ascii="Times New Roman" w:hAnsi="Times New Roman" w:cs="Times New Roman"/>
          <w:lang w:val="en-GB"/>
        </w:rPr>
        <w:t>Science-Based, Supplier Dominated, Scale Intensive, and Specialised Supplier</w:t>
      </w:r>
      <w:r w:rsidR="009017D5" w:rsidRPr="009017D5">
        <w:rPr>
          <w:rFonts w:ascii="Times New Roman" w:hAnsi="Times New Roman" w:cs="Times New Roman"/>
          <w:lang w:val="en-GB"/>
        </w:rPr>
        <w:t xml:space="preserve"> industries.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1E37"/>
    <w:multiLevelType w:val="hybridMultilevel"/>
    <w:tmpl w:val="9C8C4F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FA4048"/>
    <w:multiLevelType w:val="hybridMultilevel"/>
    <w:tmpl w:val="A33237AA"/>
    <w:lvl w:ilvl="0" w:tplc="DB70EC5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E4B5BF8"/>
    <w:multiLevelType w:val="hybridMultilevel"/>
    <w:tmpl w:val="943A2004"/>
    <w:lvl w:ilvl="0" w:tplc="AB0C5740">
      <w:start w:val="1"/>
      <w:numFmt w:val="decimal"/>
      <w:lvlText w:val="%1)"/>
      <w:lvlJc w:val="left"/>
      <w:pPr>
        <w:ind w:left="720" w:hanging="360"/>
      </w:pPr>
      <w:rPr>
        <w:rFonts w:asciiTheme="minorHAnsi" w:hAnsiTheme="minorHAnsi"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60879052">
    <w:abstractNumId w:val="2"/>
  </w:num>
  <w:num w:numId="2" w16cid:durableId="956640839">
    <w:abstractNumId w:val="0"/>
  </w:num>
  <w:num w:numId="3" w16cid:durableId="2071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183"/>
    <w:rsid w:val="0000655A"/>
    <w:rsid w:val="000442EA"/>
    <w:rsid w:val="00057F2F"/>
    <w:rsid w:val="00066207"/>
    <w:rsid w:val="00086FF7"/>
    <w:rsid w:val="000A4827"/>
    <w:rsid w:val="000E12A9"/>
    <w:rsid w:val="000E3928"/>
    <w:rsid w:val="00112D54"/>
    <w:rsid w:val="0011688E"/>
    <w:rsid w:val="00160CBA"/>
    <w:rsid w:val="0018767F"/>
    <w:rsid w:val="00193B07"/>
    <w:rsid w:val="0019644D"/>
    <w:rsid w:val="001A64E1"/>
    <w:rsid w:val="001B1ECC"/>
    <w:rsid w:val="001E3BB9"/>
    <w:rsid w:val="001F5384"/>
    <w:rsid w:val="00200890"/>
    <w:rsid w:val="00215618"/>
    <w:rsid w:val="002211E6"/>
    <w:rsid w:val="0024519B"/>
    <w:rsid w:val="00262336"/>
    <w:rsid w:val="00264638"/>
    <w:rsid w:val="002868DF"/>
    <w:rsid w:val="002944DB"/>
    <w:rsid w:val="002A30FE"/>
    <w:rsid w:val="002D3A9C"/>
    <w:rsid w:val="002D6997"/>
    <w:rsid w:val="002E6334"/>
    <w:rsid w:val="00322B9C"/>
    <w:rsid w:val="00371A48"/>
    <w:rsid w:val="0038582D"/>
    <w:rsid w:val="003A5CC7"/>
    <w:rsid w:val="003B4F90"/>
    <w:rsid w:val="003B6B99"/>
    <w:rsid w:val="003C6BBB"/>
    <w:rsid w:val="003E1A9D"/>
    <w:rsid w:val="00414F71"/>
    <w:rsid w:val="004430EE"/>
    <w:rsid w:val="004A3A2E"/>
    <w:rsid w:val="004A5C6B"/>
    <w:rsid w:val="004B1044"/>
    <w:rsid w:val="004C19C1"/>
    <w:rsid w:val="004C764D"/>
    <w:rsid w:val="004D64A3"/>
    <w:rsid w:val="004F5E75"/>
    <w:rsid w:val="00511CB9"/>
    <w:rsid w:val="0055084D"/>
    <w:rsid w:val="00552D6D"/>
    <w:rsid w:val="00583585"/>
    <w:rsid w:val="00586F64"/>
    <w:rsid w:val="005E1EF4"/>
    <w:rsid w:val="0060403E"/>
    <w:rsid w:val="0060510F"/>
    <w:rsid w:val="00631FFA"/>
    <w:rsid w:val="00635DBC"/>
    <w:rsid w:val="0064631F"/>
    <w:rsid w:val="00666AFC"/>
    <w:rsid w:val="00667680"/>
    <w:rsid w:val="00683391"/>
    <w:rsid w:val="006A5028"/>
    <w:rsid w:val="006E166F"/>
    <w:rsid w:val="006F01CB"/>
    <w:rsid w:val="006F6030"/>
    <w:rsid w:val="0070415C"/>
    <w:rsid w:val="007119B9"/>
    <w:rsid w:val="00762AA3"/>
    <w:rsid w:val="007741FB"/>
    <w:rsid w:val="007744D2"/>
    <w:rsid w:val="007844B3"/>
    <w:rsid w:val="00786B36"/>
    <w:rsid w:val="00790DDF"/>
    <w:rsid w:val="007A4725"/>
    <w:rsid w:val="007A70BB"/>
    <w:rsid w:val="007B45DD"/>
    <w:rsid w:val="007D0F1A"/>
    <w:rsid w:val="007D5D48"/>
    <w:rsid w:val="007F21EA"/>
    <w:rsid w:val="00802D68"/>
    <w:rsid w:val="00824489"/>
    <w:rsid w:val="00827969"/>
    <w:rsid w:val="00843B52"/>
    <w:rsid w:val="00864BA4"/>
    <w:rsid w:val="00885152"/>
    <w:rsid w:val="00886C9B"/>
    <w:rsid w:val="008B4AA7"/>
    <w:rsid w:val="008D59D1"/>
    <w:rsid w:val="008E0883"/>
    <w:rsid w:val="008E5DF9"/>
    <w:rsid w:val="009017D5"/>
    <w:rsid w:val="00915D78"/>
    <w:rsid w:val="009227BB"/>
    <w:rsid w:val="00957404"/>
    <w:rsid w:val="009F30E7"/>
    <w:rsid w:val="00A26BE2"/>
    <w:rsid w:val="00A320EB"/>
    <w:rsid w:val="00A37323"/>
    <w:rsid w:val="00A45609"/>
    <w:rsid w:val="00A60C29"/>
    <w:rsid w:val="00A75491"/>
    <w:rsid w:val="00A87CD0"/>
    <w:rsid w:val="00A918D8"/>
    <w:rsid w:val="00AF2D92"/>
    <w:rsid w:val="00B01FED"/>
    <w:rsid w:val="00B05724"/>
    <w:rsid w:val="00B140ED"/>
    <w:rsid w:val="00B14DCE"/>
    <w:rsid w:val="00B17EF6"/>
    <w:rsid w:val="00B92799"/>
    <w:rsid w:val="00C07188"/>
    <w:rsid w:val="00C67DF1"/>
    <w:rsid w:val="00C74370"/>
    <w:rsid w:val="00C94D61"/>
    <w:rsid w:val="00CF1ADB"/>
    <w:rsid w:val="00D36779"/>
    <w:rsid w:val="00D7771A"/>
    <w:rsid w:val="00D9033F"/>
    <w:rsid w:val="00DB0EA6"/>
    <w:rsid w:val="00DB415F"/>
    <w:rsid w:val="00DB625F"/>
    <w:rsid w:val="00DC2D7E"/>
    <w:rsid w:val="00E15175"/>
    <w:rsid w:val="00E20689"/>
    <w:rsid w:val="00E52554"/>
    <w:rsid w:val="00E8583D"/>
    <w:rsid w:val="00E870EA"/>
    <w:rsid w:val="00EB1997"/>
    <w:rsid w:val="00EE2B8E"/>
    <w:rsid w:val="00EF5144"/>
    <w:rsid w:val="00F03AEF"/>
    <w:rsid w:val="00F26540"/>
    <w:rsid w:val="00F341E7"/>
    <w:rsid w:val="00F57507"/>
    <w:rsid w:val="00F62B33"/>
    <w:rsid w:val="00F764CE"/>
    <w:rsid w:val="00F93DF9"/>
    <w:rsid w:val="00FD71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55D7"/>
  <w15:chartTrackingRefBased/>
  <w15:docId w15:val="{AED81EFF-BB22-4BD2-BAC0-906DEBEB3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21EA"/>
    <w:rPr>
      <w:kern w:val="0"/>
      <w14:ligatures w14:val="none"/>
    </w:rPr>
  </w:style>
  <w:style w:type="paragraph" w:styleId="Titolo1">
    <w:name w:val="heading 1"/>
    <w:basedOn w:val="Normale"/>
    <w:next w:val="Normale"/>
    <w:link w:val="Titolo1Carattere"/>
    <w:uiPriority w:val="9"/>
    <w:qFormat/>
    <w:rsid w:val="007F21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B17EF6"/>
    <w:pPr>
      <w:spacing w:after="120"/>
      <w:jc w:val="both"/>
      <w:outlineLvl w:val="1"/>
    </w:pPr>
    <w:rPr>
      <w:rFonts w:ascii="Times New Roman" w:hAnsi="Times New Roman" w:cs="Times New Roman"/>
      <w:b/>
      <w:bCs/>
      <w:sz w:val="24"/>
      <w:szCs w:val="24"/>
      <w:lang w:val="en-GB"/>
    </w:rPr>
  </w:style>
  <w:style w:type="paragraph" w:styleId="Titolo3">
    <w:name w:val="heading 3"/>
    <w:basedOn w:val="Normale"/>
    <w:next w:val="Normale"/>
    <w:link w:val="Titolo3Carattere"/>
    <w:uiPriority w:val="9"/>
    <w:unhideWhenUsed/>
    <w:qFormat/>
    <w:rsid w:val="00DB415F"/>
    <w:pPr>
      <w:jc w:val="center"/>
      <w:outlineLvl w:val="2"/>
    </w:pPr>
    <w:rPr>
      <w:rFonts w:ascii="Times New Roman" w:hAnsi="Times New Roman" w:cs="Times New Roman"/>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21EA"/>
    <w:rPr>
      <w:rFonts w:asciiTheme="majorHAnsi" w:eastAsiaTheme="majorEastAsia" w:hAnsiTheme="majorHAnsi" w:cstheme="majorBidi"/>
      <w:color w:val="2F5496" w:themeColor="accent1" w:themeShade="BF"/>
      <w:kern w:val="0"/>
      <w:sz w:val="32"/>
      <w:szCs w:val="32"/>
      <w14:ligatures w14:val="none"/>
    </w:rPr>
  </w:style>
  <w:style w:type="character" w:customStyle="1" w:styleId="Titolo3Carattere">
    <w:name w:val="Titolo 3 Carattere"/>
    <w:basedOn w:val="Carpredefinitoparagrafo"/>
    <w:link w:val="Titolo3"/>
    <w:uiPriority w:val="9"/>
    <w:rsid w:val="00DB415F"/>
    <w:rPr>
      <w:rFonts w:ascii="Times New Roman" w:hAnsi="Times New Roman" w:cs="Times New Roman"/>
      <w:kern w:val="0"/>
      <w:lang w:val="en-GB"/>
      <w14:ligatures w14:val="none"/>
    </w:rPr>
  </w:style>
  <w:style w:type="table" w:styleId="Grigliatabella">
    <w:name w:val="Table Grid"/>
    <w:basedOn w:val="Tabellanormale"/>
    <w:uiPriority w:val="39"/>
    <w:rsid w:val="008E5D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D59D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59D1"/>
    <w:rPr>
      <w:kern w:val="0"/>
      <w14:ligatures w14:val="none"/>
    </w:rPr>
  </w:style>
  <w:style w:type="paragraph" w:styleId="Pidipagina">
    <w:name w:val="footer"/>
    <w:basedOn w:val="Normale"/>
    <w:link w:val="PidipaginaCarattere"/>
    <w:uiPriority w:val="99"/>
    <w:unhideWhenUsed/>
    <w:rsid w:val="008D59D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59D1"/>
    <w:rPr>
      <w:kern w:val="0"/>
      <w14:ligatures w14:val="none"/>
    </w:rPr>
  </w:style>
  <w:style w:type="character" w:customStyle="1" w:styleId="Titolo2Carattere">
    <w:name w:val="Titolo 2 Carattere"/>
    <w:basedOn w:val="Carpredefinitoparagrafo"/>
    <w:link w:val="Titolo2"/>
    <w:uiPriority w:val="9"/>
    <w:rsid w:val="00B17EF6"/>
    <w:rPr>
      <w:rFonts w:ascii="Times New Roman" w:hAnsi="Times New Roman" w:cs="Times New Roman"/>
      <w:b/>
      <w:bCs/>
      <w:kern w:val="0"/>
      <w:sz w:val="24"/>
      <w:szCs w:val="24"/>
      <w:lang w:val="en-GB"/>
      <w14:ligatures w14:val="none"/>
    </w:rPr>
  </w:style>
  <w:style w:type="paragraph" w:styleId="Paragrafoelenco">
    <w:name w:val="List Paragraph"/>
    <w:basedOn w:val="Normale"/>
    <w:uiPriority w:val="34"/>
    <w:qFormat/>
    <w:rsid w:val="00B17EF6"/>
    <w:pPr>
      <w:spacing w:line="278" w:lineRule="auto"/>
      <w:ind w:left="720"/>
      <w:contextualSpacing/>
    </w:pPr>
    <w:rPr>
      <w:kern w:val="2"/>
      <w:sz w:val="24"/>
      <w:szCs w:val="24"/>
      <w14:ligatures w14:val="standardContextual"/>
    </w:rPr>
  </w:style>
  <w:style w:type="character" w:styleId="Rimandocommento">
    <w:name w:val="annotation reference"/>
    <w:basedOn w:val="Carpredefinitoparagrafo"/>
    <w:uiPriority w:val="99"/>
    <w:semiHidden/>
    <w:unhideWhenUsed/>
    <w:rsid w:val="00B01FED"/>
    <w:rPr>
      <w:sz w:val="16"/>
      <w:szCs w:val="16"/>
    </w:rPr>
  </w:style>
  <w:style w:type="paragraph" w:styleId="Testocommento">
    <w:name w:val="annotation text"/>
    <w:basedOn w:val="Normale"/>
    <w:link w:val="TestocommentoCarattere"/>
    <w:uiPriority w:val="99"/>
    <w:unhideWhenUsed/>
    <w:rsid w:val="00B01FED"/>
    <w:pPr>
      <w:spacing w:line="240" w:lineRule="auto"/>
    </w:pPr>
    <w:rPr>
      <w:sz w:val="20"/>
      <w:szCs w:val="20"/>
    </w:rPr>
  </w:style>
  <w:style w:type="character" w:customStyle="1" w:styleId="TestocommentoCarattere">
    <w:name w:val="Testo commento Carattere"/>
    <w:basedOn w:val="Carpredefinitoparagrafo"/>
    <w:link w:val="Testocommento"/>
    <w:uiPriority w:val="99"/>
    <w:rsid w:val="00B01FED"/>
    <w:rPr>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B01FED"/>
    <w:rPr>
      <w:b/>
      <w:bCs/>
    </w:rPr>
  </w:style>
  <w:style w:type="character" w:customStyle="1" w:styleId="SoggettocommentoCarattere">
    <w:name w:val="Soggetto commento Carattere"/>
    <w:basedOn w:val="TestocommentoCarattere"/>
    <w:link w:val="Soggettocommento"/>
    <w:uiPriority w:val="99"/>
    <w:semiHidden/>
    <w:rsid w:val="00B01FED"/>
    <w:rPr>
      <w:b/>
      <w:bCs/>
      <w:kern w:val="0"/>
      <w:sz w:val="20"/>
      <w:szCs w:val="20"/>
      <w14:ligatures w14:val="none"/>
    </w:rPr>
  </w:style>
  <w:style w:type="paragraph" w:styleId="Testonotaapidipagina">
    <w:name w:val="footnote text"/>
    <w:basedOn w:val="Normale"/>
    <w:link w:val="TestonotaapidipaginaCarattere"/>
    <w:uiPriority w:val="99"/>
    <w:semiHidden/>
    <w:unhideWhenUsed/>
    <w:rsid w:val="000E392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E3928"/>
    <w:rPr>
      <w:kern w:val="0"/>
      <w:sz w:val="20"/>
      <w:szCs w:val="20"/>
      <w14:ligatures w14:val="none"/>
    </w:rPr>
  </w:style>
  <w:style w:type="character" w:styleId="Rimandonotaapidipagina">
    <w:name w:val="footnote reference"/>
    <w:basedOn w:val="Carpredefinitoparagrafo"/>
    <w:uiPriority w:val="99"/>
    <w:semiHidden/>
    <w:unhideWhenUsed/>
    <w:rsid w:val="000E3928"/>
    <w:rPr>
      <w:vertAlign w:val="superscript"/>
    </w:rPr>
  </w:style>
  <w:style w:type="paragraph" w:styleId="Revisione">
    <w:name w:val="Revision"/>
    <w:hidden/>
    <w:uiPriority w:val="99"/>
    <w:semiHidden/>
    <w:rsid w:val="004C764D"/>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1F353-1F0C-4668-8926-CCF0C99E2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14</Pages>
  <Words>4288</Words>
  <Characters>24442</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Coveri</dc:creator>
  <cp:keywords/>
  <dc:description/>
  <cp:lastModifiedBy>Andrea Coveri</cp:lastModifiedBy>
  <cp:revision>96</cp:revision>
  <cp:lastPrinted>2026-07-26T10:15:00Z</cp:lastPrinted>
  <dcterms:created xsi:type="dcterms:W3CDTF">2023-12-22T20:19:00Z</dcterms:created>
  <dcterms:modified xsi:type="dcterms:W3CDTF">2026-07-26T10:15:00Z</dcterms:modified>
</cp:coreProperties>
</file>