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50E64" w14:textId="29A4FD5C" w:rsidR="00901424" w:rsidRPr="00163950" w:rsidRDefault="00AE360F" w:rsidP="00A04CA4">
      <w:pPr>
        <w:spacing w:after="100" w:afterAutospacing="1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b/>
          <w:bCs/>
          <w:szCs w:val="21"/>
        </w:rPr>
        <w:t xml:space="preserve">Appendix A. </w:t>
      </w:r>
      <w:r w:rsidR="00B61363" w:rsidRPr="00163950">
        <w:rPr>
          <w:rFonts w:ascii="Times New Roman" w:eastAsia="宋体" w:hAnsi="Times New Roman" w:cs="Times New Roman"/>
          <w:b/>
          <w:bCs/>
          <w:szCs w:val="21"/>
        </w:rPr>
        <w:t>Print detailed information of parameters</w:t>
      </w:r>
    </w:p>
    <w:p w14:paraId="23F47768" w14:textId="567065B9" w:rsidR="00FB19C5" w:rsidRPr="00163950" w:rsidRDefault="00FB19C5" w:rsidP="00A04CA4">
      <w:pPr>
        <w:tabs>
          <w:tab w:val="left" w:pos="312"/>
        </w:tabs>
        <w:spacing w:line="360" w:lineRule="auto"/>
        <w:rPr>
          <w:rFonts w:ascii="Times New Roman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b/>
          <w:bCs/>
          <w:szCs w:val="21"/>
        </w:rPr>
        <w:t>Table S1</w:t>
      </w:r>
      <w:r w:rsidRPr="00163950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7D712B" w:rsidRPr="00163950">
        <w:rPr>
          <w:rFonts w:ascii="Times New Roman" w:hAnsi="Times New Roman" w:cs="Times New Roman"/>
          <w:szCs w:val="21"/>
        </w:rPr>
        <w:t>Print detailed information of parameters</w:t>
      </w:r>
    </w:p>
    <w:tbl>
      <w:tblPr>
        <w:tblStyle w:val="a3"/>
        <w:tblW w:w="864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9"/>
        <w:gridCol w:w="5624"/>
      </w:tblGrid>
      <w:tr w:rsidR="00FB19C5" w:rsidRPr="00163950" w14:paraId="38FD01AA" w14:textId="77777777" w:rsidTr="00A04CA4">
        <w:trPr>
          <w:trHeight w:val="568"/>
          <w:jc w:val="center"/>
        </w:trPr>
        <w:tc>
          <w:tcPr>
            <w:tcW w:w="301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4958920" w14:textId="70AB72FB" w:rsidR="00FB19C5" w:rsidRPr="00163950" w:rsidRDefault="007D712B" w:rsidP="00A04CA4">
            <w:pPr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b/>
                <w:bCs/>
                <w:kern w:val="0"/>
                <w:szCs w:val="21"/>
              </w:rPr>
              <w:t>Printing parameters</w:t>
            </w:r>
          </w:p>
        </w:tc>
        <w:tc>
          <w:tcPr>
            <w:tcW w:w="5624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27BA813E" w14:textId="7C66E990" w:rsidR="00FB19C5" w:rsidRPr="00163950" w:rsidRDefault="007D712B" w:rsidP="00A04CA4">
            <w:pPr>
              <w:pStyle w:val="a8"/>
              <w:ind w:firstLineChars="0" w:firstLine="0"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b/>
                <w:bCs/>
                <w:kern w:val="0"/>
                <w:szCs w:val="21"/>
              </w:rPr>
              <w:t>Parameter values</w:t>
            </w:r>
          </w:p>
        </w:tc>
      </w:tr>
      <w:tr w:rsidR="00F025A5" w:rsidRPr="00163950" w14:paraId="25072B3B" w14:textId="77777777" w:rsidTr="00A04CA4">
        <w:trPr>
          <w:trHeight w:val="568"/>
          <w:jc w:val="center"/>
        </w:trPr>
        <w:tc>
          <w:tcPr>
            <w:tcW w:w="3019" w:type="dxa"/>
            <w:tcBorders>
              <w:top w:val="single" w:sz="12" w:space="0" w:color="auto"/>
            </w:tcBorders>
            <w:noWrap/>
            <w:vAlign w:val="center"/>
          </w:tcPr>
          <w:p w14:paraId="5D359DF0" w14:textId="63CB26F5" w:rsidR="00F025A5" w:rsidRPr="00163950" w:rsidRDefault="000C4747" w:rsidP="00A04CA4">
            <w:pPr>
              <w:spacing w:line="360" w:lineRule="auto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Number of wall routing times</w:t>
            </w:r>
          </w:p>
        </w:tc>
        <w:tc>
          <w:tcPr>
            <w:tcW w:w="5624" w:type="dxa"/>
            <w:tcBorders>
              <w:top w:val="single" w:sz="12" w:space="0" w:color="auto"/>
            </w:tcBorders>
            <w:noWrap/>
            <w:vAlign w:val="center"/>
          </w:tcPr>
          <w:p w14:paraId="6CF8EF74" w14:textId="4B4311DA" w:rsidR="00F025A5" w:rsidRPr="00163950" w:rsidRDefault="00F025A5" w:rsidP="00A04CA4">
            <w:pPr>
              <w:spacing w:line="360" w:lineRule="auto"/>
              <w:jc w:val="left"/>
              <w:rPr>
                <w:rFonts w:ascii="Times New Roman" w:hAnsi="Times New Roman"/>
                <w:color w:val="FF0000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2</w:t>
            </w:r>
          </w:p>
        </w:tc>
      </w:tr>
      <w:tr w:rsidR="00FB19C5" w:rsidRPr="00163950" w14:paraId="13A568FE" w14:textId="77777777" w:rsidTr="00A04CA4">
        <w:trPr>
          <w:trHeight w:val="568"/>
          <w:jc w:val="center"/>
        </w:trPr>
        <w:tc>
          <w:tcPr>
            <w:tcW w:w="3019" w:type="dxa"/>
            <w:noWrap/>
            <w:vAlign w:val="center"/>
          </w:tcPr>
          <w:p w14:paraId="59DBB0BA" w14:textId="1607D3AF" w:rsidR="00FB19C5" w:rsidRPr="00163950" w:rsidRDefault="000C4747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Top layer thickness</w:t>
            </w:r>
          </w:p>
        </w:tc>
        <w:tc>
          <w:tcPr>
            <w:tcW w:w="5624" w:type="dxa"/>
            <w:noWrap/>
            <w:vAlign w:val="center"/>
          </w:tcPr>
          <w:p w14:paraId="5C17AF1A" w14:textId="3E3FB4D2" w:rsidR="00FB19C5" w:rsidRPr="00163950" w:rsidRDefault="007D712B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0</w:t>
            </w:r>
          </w:p>
        </w:tc>
      </w:tr>
      <w:tr w:rsidR="00FB19C5" w:rsidRPr="00163950" w14:paraId="062ECC78" w14:textId="77777777" w:rsidTr="00A04CA4">
        <w:trPr>
          <w:trHeight w:val="568"/>
          <w:jc w:val="center"/>
        </w:trPr>
        <w:tc>
          <w:tcPr>
            <w:tcW w:w="3019" w:type="dxa"/>
            <w:noWrap/>
            <w:vAlign w:val="center"/>
          </w:tcPr>
          <w:p w14:paraId="4BB98501" w14:textId="739415C1" w:rsidR="00FB19C5" w:rsidRPr="00163950" w:rsidRDefault="000C4747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Bottom layer thickness</w:t>
            </w:r>
          </w:p>
        </w:tc>
        <w:tc>
          <w:tcPr>
            <w:tcW w:w="5624" w:type="dxa"/>
            <w:noWrap/>
            <w:vAlign w:val="center"/>
          </w:tcPr>
          <w:p w14:paraId="27306210" w14:textId="1E139B23" w:rsidR="00FB19C5" w:rsidRPr="00163950" w:rsidRDefault="007D712B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0</w:t>
            </w:r>
          </w:p>
        </w:tc>
      </w:tr>
      <w:tr w:rsidR="00FB19C5" w:rsidRPr="00163950" w14:paraId="034FD02E" w14:textId="77777777" w:rsidTr="00A04CA4">
        <w:trPr>
          <w:trHeight w:val="568"/>
          <w:jc w:val="center"/>
        </w:trPr>
        <w:tc>
          <w:tcPr>
            <w:tcW w:w="3019" w:type="dxa"/>
            <w:noWrap/>
            <w:vAlign w:val="center"/>
          </w:tcPr>
          <w:p w14:paraId="4C66C41A" w14:textId="0DF7F1DD" w:rsidR="00FB19C5" w:rsidRPr="00163950" w:rsidRDefault="000C4747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Fill the wiring pattern</w:t>
            </w:r>
          </w:p>
        </w:tc>
        <w:tc>
          <w:tcPr>
            <w:tcW w:w="5624" w:type="dxa"/>
            <w:noWrap/>
            <w:vAlign w:val="center"/>
          </w:tcPr>
          <w:p w14:paraId="1D7DEF3E" w14:textId="01CBCF30" w:rsidR="00FB19C5" w:rsidRPr="00163950" w:rsidRDefault="000C4747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Concentric circles</w:t>
            </w:r>
          </w:p>
        </w:tc>
      </w:tr>
      <w:tr w:rsidR="00F025A5" w:rsidRPr="00163950" w14:paraId="73590B0F" w14:textId="77777777" w:rsidTr="00A04CA4">
        <w:trPr>
          <w:trHeight w:val="568"/>
          <w:jc w:val="center"/>
        </w:trPr>
        <w:tc>
          <w:tcPr>
            <w:tcW w:w="3019" w:type="dxa"/>
            <w:noWrap/>
            <w:vAlign w:val="center"/>
          </w:tcPr>
          <w:p w14:paraId="5E75F20E" w14:textId="767E679F" w:rsidR="00F025A5" w:rsidRPr="00163950" w:rsidRDefault="000C4747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Print empty driving speed</w:t>
            </w:r>
          </w:p>
        </w:tc>
        <w:tc>
          <w:tcPr>
            <w:tcW w:w="5624" w:type="dxa"/>
            <w:noWrap/>
            <w:vAlign w:val="center"/>
          </w:tcPr>
          <w:p w14:paraId="6DD3D9D7" w14:textId="37E80154" w:rsidR="00F025A5" w:rsidRPr="00163950" w:rsidRDefault="00F025A5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200</w:t>
            </w:r>
            <w:r w:rsidRPr="00163950">
              <w:rPr>
                <w:rFonts w:ascii="Times New Roman" w:hAnsi="Times New Roman" w:hint="eastAsia"/>
                <w:kern w:val="0"/>
                <w:szCs w:val="21"/>
              </w:rPr>
              <w:t>mm</w:t>
            </w:r>
            <w:r w:rsidRPr="00163950">
              <w:rPr>
                <w:rFonts w:ascii="Times New Roman" w:hAnsi="Times New Roman"/>
                <w:kern w:val="0"/>
                <w:szCs w:val="21"/>
              </w:rPr>
              <w:t>/</w:t>
            </w:r>
            <w:r w:rsidRPr="00163950">
              <w:rPr>
                <w:rFonts w:ascii="Times New Roman" w:hAnsi="Times New Roman" w:hint="eastAsia"/>
                <w:kern w:val="0"/>
                <w:szCs w:val="21"/>
              </w:rPr>
              <w:t>s</w:t>
            </w:r>
          </w:p>
        </w:tc>
      </w:tr>
      <w:tr w:rsidR="00BC0651" w:rsidRPr="00163950" w14:paraId="283B977C" w14:textId="77777777" w:rsidTr="00A04CA4">
        <w:trPr>
          <w:trHeight w:val="568"/>
          <w:jc w:val="center"/>
        </w:trPr>
        <w:tc>
          <w:tcPr>
            <w:tcW w:w="3019" w:type="dxa"/>
            <w:noWrap/>
            <w:vAlign w:val="center"/>
          </w:tcPr>
          <w:p w14:paraId="649BC2CC" w14:textId="10F6215B" w:rsidR="00BC0651" w:rsidRPr="00163950" w:rsidRDefault="000C4747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/>
                <w:kern w:val="0"/>
                <w:szCs w:val="21"/>
              </w:rPr>
              <w:t>Pull back distance</w:t>
            </w:r>
          </w:p>
        </w:tc>
        <w:tc>
          <w:tcPr>
            <w:tcW w:w="5624" w:type="dxa"/>
            <w:noWrap/>
            <w:vAlign w:val="center"/>
          </w:tcPr>
          <w:p w14:paraId="468CF263" w14:textId="471E27B0" w:rsidR="00BC0651" w:rsidRPr="00163950" w:rsidRDefault="00BC0651" w:rsidP="00A04CA4">
            <w:pPr>
              <w:pStyle w:val="a8"/>
              <w:spacing w:line="360" w:lineRule="auto"/>
              <w:ind w:firstLineChars="0" w:firstLine="0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63950">
              <w:rPr>
                <w:rFonts w:ascii="Times New Roman" w:hAnsi="Times New Roman" w:hint="eastAsia"/>
                <w:kern w:val="0"/>
                <w:szCs w:val="21"/>
              </w:rPr>
              <w:t>1mm</w:t>
            </w:r>
          </w:p>
        </w:tc>
      </w:tr>
    </w:tbl>
    <w:p w14:paraId="14B942AA" w14:textId="50FEC517" w:rsidR="00583520" w:rsidRPr="00163950" w:rsidRDefault="000F0B60" w:rsidP="0020260B">
      <w:pPr>
        <w:spacing w:before="100" w:beforeAutospacing="1" w:after="100" w:afterAutospacing="1"/>
        <w:rPr>
          <w:rFonts w:ascii="Times New Roman" w:eastAsia="宋体" w:hAnsi="Times New Roman" w:cs="Times New Roman"/>
          <w:b/>
          <w:bCs/>
          <w:szCs w:val="21"/>
        </w:rPr>
      </w:pPr>
      <w:r w:rsidRPr="00163950">
        <w:rPr>
          <w:rFonts w:ascii="Times New Roman" w:eastAsia="宋体" w:hAnsi="Times New Roman" w:cs="Times New Roman"/>
          <w:b/>
          <w:bCs/>
          <w:szCs w:val="21"/>
        </w:rPr>
        <w:t>Appendix B.</w:t>
      </w:r>
      <w:r w:rsidRPr="00163950">
        <w:rPr>
          <w:szCs w:val="21"/>
        </w:rPr>
        <w:t xml:space="preserve"> </w:t>
      </w:r>
      <w:r w:rsidR="0020260B" w:rsidRPr="00163950">
        <w:rPr>
          <w:rFonts w:ascii="Times New Roman" w:eastAsia="宋体" w:hAnsi="Times New Roman" w:cs="Times New Roman"/>
          <w:b/>
          <w:bCs/>
          <w:szCs w:val="21"/>
        </w:rPr>
        <w:t>Detailed basis for parameter selection</w:t>
      </w:r>
    </w:p>
    <w:p w14:paraId="07FABF3C" w14:textId="2300004A" w:rsidR="0020260B" w:rsidRPr="00163950" w:rsidRDefault="0020260B" w:rsidP="0020260B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In this study, the mechanical interlocking parameters (interlocking depth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h</w:t>
      </w:r>
      <w:r w:rsidRPr="00163950">
        <w:rPr>
          <w:rFonts w:ascii="Times New Roman" w:eastAsia="宋体" w:hAnsi="Times New Roman" w:cs="Times New Roman"/>
          <w:szCs w:val="21"/>
        </w:rPr>
        <w:t>, interlocking angle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θ</w:t>
      </w:r>
      <w:r w:rsidRPr="00163950">
        <w:rPr>
          <w:rFonts w:ascii="Times New Roman" w:eastAsia="宋体" w:hAnsi="Times New Roman" w:cs="Times New Roman"/>
          <w:szCs w:val="21"/>
        </w:rPr>
        <w:t>) and alternating deposition width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D</w:t>
      </w:r>
      <w:r w:rsidRPr="00163950">
        <w:rPr>
          <w:rFonts w:ascii="Times New Roman" w:eastAsia="宋体" w:hAnsi="Times New Roman" w:cs="Times New Roman"/>
          <w:szCs w:val="21"/>
        </w:rPr>
        <w:t> were determined by integrating geometric characteristics, pre-experimental verification, and processing feasibility, so as to ensure the effectiveness of parameter gradients and the operability of experiments.</w:t>
      </w:r>
    </w:p>
    <w:p w14:paraId="5217D945" w14:textId="7692C5E3" w:rsidR="0020260B" w:rsidRPr="00163950" w:rsidRDefault="0020260B" w:rsidP="0020260B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Specifically, the mechanical interlocking angle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θ</w:t>
      </w:r>
      <w:r w:rsidRPr="00163950">
        <w:rPr>
          <w:rFonts w:ascii="Times New Roman" w:eastAsia="宋体" w:hAnsi="Times New Roman" w:cs="Times New Roman"/>
          <w:szCs w:val="21"/>
        </w:rPr>
        <w:t> was selected as 0°, 22.5°, and 45°. This is because the interface engagement morphology and force transmission between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θ</w:t>
      </w:r>
      <w:r w:rsidRPr="00163950">
        <w:rPr>
          <w:rFonts w:ascii="Times New Roman" w:eastAsia="宋体" w:hAnsi="Times New Roman" w:cs="Times New Roman"/>
          <w:szCs w:val="21"/>
        </w:rPr>
        <w:t xml:space="preserve"> and 90°- 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θ</w:t>
      </w:r>
      <w:r w:rsidRPr="00163950">
        <w:rPr>
          <w:rFonts w:ascii="Times New Roman" w:eastAsia="宋体" w:hAnsi="Times New Roman" w:cs="Times New Roman"/>
          <w:szCs w:val="21"/>
        </w:rPr>
        <w:t> (e.g., 22.5° and 67.5°, 0° and 90°) are equivalent</w:t>
      </w:r>
      <w:r w:rsidR="004B7E69">
        <w:rPr>
          <w:rFonts w:ascii="Times New Roman" w:eastAsia="宋体" w:hAnsi="Times New Roman" w:cs="Times New Roman" w:hint="eastAsia"/>
          <w:szCs w:val="21"/>
        </w:rPr>
        <w:t>,</w:t>
      </w:r>
      <w:r w:rsidR="008E74E1">
        <w:rPr>
          <w:rFonts w:ascii="Times New Roman" w:eastAsia="宋体" w:hAnsi="Times New Roman" w:cs="Times New Roman"/>
          <w:szCs w:val="21"/>
        </w:rPr>
        <w:t xml:space="preserve"> </w:t>
      </w:r>
      <w:r w:rsidR="00904915" w:rsidRPr="00904915">
        <w:rPr>
          <w:rFonts w:ascii="Times New Roman" w:eastAsia="宋体" w:hAnsi="Times New Roman" w:cs="Times New Roman"/>
          <w:szCs w:val="21"/>
        </w:rPr>
        <w:t xml:space="preserve">As shown in Figure </w:t>
      </w:r>
      <w:r w:rsidR="00904915">
        <w:rPr>
          <w:rFonts w:ascii="Times New Roman" w:eastAsia="宋体" w:hAnsi="Times New Roman" w:cs="Times New Roman"/>
          <w:szCs w:val="21"/>
        </w:rPr>
        <w:t>S</w:t>
      </w:r>
      <w:r w:rsidR="00904915" w:rsidRPr="00904915">
        <w:rPr>
          <w:rFonts w:ascii="Times New Roman" w:eastAsia="宋体" w:hAnsi="Times New Roman" w:cs="Times New Roman"/>
          <w:szCs w:val="21"/>
        </w:rPr>
        <w:t>1</w:t>
      </w:r>
      <w:r w:rsidRPr="00163950">
        <w:rPr>
          <w:rFonts w:ascii="Times New Roman" w:eastAsia="宋体" w:hAnsi="Times New Roman" w:cs="Times New Roman"/>
          <w:szCs w:val="21"/>
        </w:rPr>
        <w:t>, and thus the effective range can be simplified to 0°- 45°. The selection of 0° (no inclination), 22.5° (moderate inclination), and 45° (maximum inclination) not only covers the effective range but also clearly reveals the influence of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θ</w:t>
      </w:r>
      <w:r w:rsidRPr="00163950">
        <w:rPr>
          <w:rFonts w:ascii="Times New Roman" w:eastAsia="宋体" w:hAnsi="Times New Roman" w:cs="Times New Roman"/>
          <w:szCs w:val="21"/>
        </w:rPr>
        <w:t> on the interface bonding strength with an interval of 22.5°, avoiding the redundancy caused by repeated testing of equivalent angles.</w:t>
      </w:r>
    </w:p>
    <w:p w14:paraId="23EB5E49" w14:textId="77777777" w:rsidR="00630B9F" w:rsidRDefault="00163950" w:rsidP="00630B9F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The mechanical interlocking depth h is chosen as 2 mm and 4 mm, based on pre-experiments and interface performance requirements. When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h</w:t>
      </w:r>
      <w:r w:rsidRPr="00163950">
        <w:rPr>
          <w:rFonts w:ascii="Times New Roman" w:eastAsia="宋体" w:hAnsi="Times New Roman" w:cs="Times New Roman"/>
          <w:szCs w:val="21"/>
        </w:rPr>
        <w:t xml:space="preserve"> &lt; 2 mm, the embedding of interlocking teeth is insufficient, resulting in weak interlayer interlocking and high susceptibility to slipping; when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h</w:t>
      </w:r>
      <w:r w:rsidRPr="00163950">
        <w:rPr>
          <w:rFonts w:ascii="Times New Roman" w:eastAsia="宋体" w:hAnsi="Times New Roman" w:cs="Times New Roman"/>
          <w:szCs w:val="21"/>
        </w:rPr>
        <w:t xml:space="preserve"> &gt; 4 m</w:t>
      </w:r>
      <w:r w:rsidRPr="00163950">
        <w:rPr>
          <w:rFonts w:ascii="Times New Roman" w:eastAsia="宋体" w:hAnsi="Times New Roman" w:cs="Times New Roman" w:hint="eastAsia"/>
          <w:szCs w:val="21"/>
        </w:rPr>
        <w:t>m</w:t>
      </w:r>
      <w:r w:rsidRPr="00163950">
        <w:rPr>
          <w:rFonts w:ascii="Times New Roman" w:eastAsia="宋体" w:hAnsi="Times New Roman" w:cs="Times New Roman"/>
          <w:szCs w:val="21"/>
        </w:rPr>
        <w:t>, the interlocking effect becomes redundant due to the limitation of sample width</w:t>
      </w:r>
      <w:r w:rsidR="00904915">
        <w:rPr>
          <w:rFonts w:ascii="Times New Roman" w:eastAsia="宋体" w:hAnsi="Times New Roman" w:cs="Times New Roman"/>
          <w:szCs w:val="21"/>
        </w:rPr>
        <w:t xml:space="preserve"> </w:t>
      </w:r>
      <w:r w:rsidR="00904915">
        <w:rPr>
          <w:rFonts w:ascii="Times New Roman" w:eastAsia="宋体" w:hAnsi="Times New Roman" w:cs="Times New Roman"/>
          <w:szCs w:val="21"/>
        </w:rPr>
        <w:t>(</w:t>
      </w:r>
      <w:r w:rsidR="00904915" w:rsidRPr="00904915">
        <w:rPr>
          <w:rFonts w:ascii="Times New Roman" w:eastAsia="宋体" w:hAnsi="Times New Roman" w:cs="Times New Roman"/>
          <w:szCs w:val="21"/>
        </w:rPr>
        <w:t xml:space="preserve">As shown in Figure </w:t>
      </w:r>
      <w:r w:rsidR="00904915">
        <w:rPr>
          <w:rFonts w:ascii="Times New Roman" w:eastAsia="宋体" w:hAnsi="Times New Roman" w:cs="Times New Roman"/>
          <w:szCs w:val="21"/>
        </w:rPr>
        <w:t>S</w:t>
      </w:r>
      <w:r w:rsidR="00904915" w:rsidRPr="00904915">
        <w:rPr>
          <w:rFonts w:ascii="Times New Roman" w:eastAsia="宋体" w:hAnsi="Times New Roman" w:cs="Times New Roman"/>
          <w:szCs w:val="21"/>
        </w:rPr>
        <w:t>1</w:t>
      </w:r>
      <w:r w:rsidR="00904915">
        <w:rPr>
          <w:rFonts w:ascii="Times New Roman" w:eastAsia="宋体" w:hAnsi="Times New Roman" w:cs="Times New Roman" w:hint="eastAsia"/>
          <w:szCs w:val="21"/>
        </w:rPr>
        <w:t>)</w:t>
      </w:r>
      <w:r w:rsidRPr="00163950">
        <w:rPr>
          <w:rFonts w:ascii="Times New Roman" w:eastAsia="宋体" w:hAnsi="Times New Roman" w:cs="Times New Roman"/>
          <w:szCs w:val="21"/>
        </w:rPr>
        <w:t xml:space="preserve">. The 2-fold depth gradient allows for an intuitive comparison of the regulatory effect of "shallow-deep interlocking" on the interface load-bearing capacity, and both depths can be </w:t>
      </w:r>
      <w:r w:rsidRPr="00163950">
        <w:rPr>
          <w:rFonts w:ascii="Times New Roman" w:eastAsia="宋体" w:hAnsi="Times New Roman" w:cs="Times New Roman"/>
          <w:szCs w:val="21"/>
        </w:rPr>
        <w:lastRenderedPageBreak/>
        <w:t>achieved through conventional FDM printing.</w:t>
      </w:r>
    </w:p>
    <w:p w14:paraId="337B9216" w14:textId="178CC9C6" w:rsidR="00630B9F" w:rsidRDefault="00630B9F" w:rsidP="00630B9F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drawing>
          <wp:inline distT="0" distB="0" distL="0" distR="0" wp14:anchorId="24D61AAF" wp14:editId="2B12C0F2">
            <wp:extent cx="5200650" cy="1327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/>
                    <a:srcRect l="-1" t="24859" r="1398" b="39554"/>
                    <a:stretch/>
                  </pic:blipFill>
                  <pic:spPr bwMode="auto">
                    <a:xfrm>
                      <a:off x="0" y="0"/>
                      <a:ext cx="5200650" cy="1327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3698E" w14:textId="0C4A51EB" w:rsidR="00630B9F" w:rsidRDefault="00630B9F" w:rsidP="00630B9F">
      <w:pPr>
        <w:pStyle w:val="a8"/>
        <w:spacing w:after="100" w:afterAutospacing="1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F</w:t>
      </w:r>
      <w:r>
        <w:rPr>
          <w:rFonts w:ascii="Times New Roman" w:hAnsi="Times New Roman" w:cs="Times New Roman"/>
          <w:b/>
          <w:bCs/>
          <w:szCs w:val="21"/>
        </w:rPr>
        <w:t xml:space="preserve">ig. S1 </w:t>
      </w:r>
      <w:r w:rsidRPr="00630B9F">
        <w:rPr>
          <w:rFonts w:ascii="Times New Roman" w:hAnsi="Times New Roman" w:cs="Times New Roman"/>
          <w:szCs w:val="21"/>
        </w:rPr>
        <w:t>Schematic diagram of mechanical interlock effect</w:t>
      </w:r>
      <w:r>
        <w:rPr>
          <w:rFonts w:ascii="Times New Roman" w:hAnsi="Times New Roman" w:cs="Times New Roman"/>
          <w:szCs w:val="21"/>
        </w:rPr>
        <w:t>.</w:t>
      </w:r>
    </w:p>
    <w:p w14:paraId="3C29E8B4" w14:textId="00AE22D9" w:rsidR="00163950" w:rsidRPr="00163950" w:rsidRDefault="00163950" w:rsidP="0020260B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For the alternating deposition width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D</w:t>
      </w:r>
      <w:r w:rsidRPr="00163950">
        <w:rPr>
          <w:rFonts w:ascii="Times New Roman" w:eastAsia="宋体" w:hAnsi="Times New Roman" w:cs="Times New Roman"/>
          <w:szCs w:val="21"/>
        </w:rPr>
        <w:t>:</w:t>
      </w:r>
    </w:p>
    <w:p w14:paraId="24009B49" w14:textId="77777777" w:rsidR="00163950" w:rsidRPr="00163950" w:rsidRDefault="00163950" w:rsidP="0020260B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In shear tests, </w:t>
      </w:r>
      <w:r w:rsidRPr="00163950">
        <w:rPr>
          <w:rFonts w:ascii="Times New Roman" w:eastAsia="宋体" w:hAnsi="Times New Roman" w:cs="Times New Roman"/>
          <w:i/>
          <w:iCs/>
          <w:szCs w:val="21"/>
        </w:rPr>
        <w:t>D</w:t>
      </w:r>
      <w:r w:rsidRPr="00163950">
        <w:rPr>
          <w:rFonts w:ascii="Times New Roman" w:eastAsia="宋体" w:hAnsi="Times New Roman" w:cs="Times New Roman"/>
          <w:szCs w:val="21"/>
        </w:rPr>
        <w:t> is selected as 1 mm, 2 mm, and 4 mm. Among these, 4 mm is the maximum width that balances the shear sample size and printing quality. The 1:2:4 equal-proportion gradient facilitates quantifying the correlation law between "width and shear performance"; 1 mm is the minimum width for stable FDM printing, which eliminates interference from processing defects.</w:t>
      </w:r>
    </w:p>
    <w:p w14:paraId="0665445F" w14:textId="2ED106DA" w:rsidR="00163950" w:rsidRPr="00163950" w:rsidRDefault="00163950" w:rsidP="0020260B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In tensile tests, 6 mm and 8 mm are added on the basis of the parameters used in shear tests. This is because widths of 4 mm and below tend to cause premature sample fracture due to the narrowness of the interface material mixing zone. The added sizes can increase the load-bearing area of the mixing zone, making the data more representative. Moreover, these sizes have been verified by pre-experiments to enable stable forming via FDM. The continuous gradient of 1:2:4:6:8 covers the full range of "narrow-medium-wide" widths, avoiding discontinuities in performance laws caused by excessively large gradient intervals. This results in a smoother "width-tensile performance" curve and more rigorous conclusions.</w:t>
      </w:r>
    </w:p>
    <w:p w14:paraId="4A0111B2" w14:textId="7B2921D9" w:rsidR="00055317" w:rsidRPr="00163950" w:rsidRDefault="00055317" w:rsidP="00A04CA4">
      <w:pPr>
        <w:spacing w:before="100" w:beforeAutospacing="1" w:after="100" w:afterAutospacing="1"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163950">
        <w:rPr>
          <w:rFonts w:ascii="Times New Roman" w:eastAsia="宋体" w:hAnsi="Times New Roman" w:cs="Times New Roman"/>
          <w:b/>
          <w:bCs/>
          <w:szCs w:val="21"/>
        </w:rPr>
        <w:t xml:space="preserve">Appendix </w:t>
      </w:r>
      <w:r w:rsidR="000F0B60" w:rsidRPr="00163950">
        <w:rPr>
          <w:rFonts w:ascii="Times New Roman" w:eastAsia="宋体" w:hAnsi="Times New Roman" w:cs="Times New Roman"/>
          <w:b/>
          <w:bCs/>
          <w:szCs w:val="21"/>
        </w:rPr>
        <w:t>C</w:t>
      </w:r>
      <w:r w:rsidRPr="00163950">
        <w:rPr>
          <w:rFonts w:ascii="Times New Roman" w:eastAsia="宋体" w:hAnsi="Times New Roman" w:cs="Times New Roman"/>
          <w:b/>
          <w:bCs/>
          <w:szCs w:val="21"/>
        </w:rPr>
        <w:t xml:space="preserve">. </w:t>
      </w:r>
      <w:r w:rsidR="004B1542" w:rsidRPr="00163950">
        <w:rPr>
          <w:rFonts w:ascii="Times New Roman" w:eastAsia="宋体" w:hAnsi="Times New Roman" w:cs="Times New Roman"/>
          <w:b/>
          <w:bCs/>
          <w:szCs w:val="21"/>
        </w:rPr>
        <w:t>Microscopic morphological characterization of the bonding surface at the joint of the interlocking structure with a 0° interlocking angle</w:t>
      </w:r>
    </w:p>
    <w:p w14:paraId="63F4AC36" w14:textId="66F0C751" w:rsidR="00BE7CA1" w:rsidRPr="00163950" w:rsidRDefault="000C4747" w:rsidP="00A04CA4">
      <w:pPr>
        <w:spacing w:before="100" w:beforeAutospacing="1" w:after="100" w:afterAutospacing="1"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163950">
        <w:rPr>
          <w:rFonts w:ascii="Times New Roman" w:eastAsia="宋体" w:hAnsi="Times New Roman" w:cs="Times New Roman"/>
          <w:szCs w:val="21"/>
        </w:rPr>
        <w:t>Utilizing laser scanning confocal microscopy to microscopically characterize the interlocking structure, the sample configuration is as depicted in Fig</w:t>
      </w:r>
      <w:r w:rsidR="00F15D1A" w:rsidRPr="00163950">
        <w:rPr>
          <w:rFonts w:ascii="Times New Roman" w:eastAsia="宋体" w:hAnsi="Times New Roman" w:cs="Times New Roman"/>
          <w:szCs w:val="21"/>
        </w:rPr>
        <w:t>.</w:t>
      </w:r>
      <w:r w:rsidRPr="00163950">
        <w:rPr>
          <w:rFonts w:ascii="Times New Roman" w:eastAsia="宋体" w:hAnsi="Times New Roman" w:cs="Times New Roman"/>
          <w:szCs w:val="21"/>
        </w:rPr>
        <w:t xml:space="preserve"> </w:t>
      </w:r>
      <w:r w:rsidR="00F15D1A" w:rsidRPr="00163950">
        <w:rPr>
          <w:rFonts w:ascii="Times New Roman" w:eastAsia="宋体" w:hAnsi="Times New Roman" w:cs="Times New Roman"/>
          <w:szCs w:val="21"/>
        </w:rPr>
        <w:t>S</w:t>
      </w:r>
      <w:r w:rsidR="004B7E69">
        <w:rPr>
          <w:rFonts w:ascii="Times New Roman" w:eastAsia="宋体" w:hAnsi="Times New Roman" w:cs="Times New Roman"/>
          <w:szCs w:val="21"/>
        </w:rPr>
        <w:t>2</w:t>
      </w:r>
      <w:r w:rsidRPr="00163950">
        <w:rPr>
          <w:rFonts w:ascii="Times New Roman" w:eastAsia="宋体" w:hAnsi="Times New Roman" w:cs="Times New Roman"/>
          <w:szCs w:val="21"/>
        </w:rPr>
        <w:t>. The printing parameters of the sample are consistent with those of the tensile/shear specimens mentioned in the main text.</w:t>
      </w:r>
      <w:r w:rsidR="00F15D1A" w:rsidRPr="00163950">
        <w:rPr>
          <w:rFonts w:ascii="Times New Roman" w:eastAsia="宋体" w:hAnsi="Times New Roman" w:cs="Times New Roman"/>
          <w:szCs w:val="21"/>
        </w:rPr>
        <w:t xml:space="preserve"> </w:t>
      </w:r>
    </w:p>
    <w:p w14:paraId="6BE834D5" w14:textId="63C67E5E" w:rsidR="00055317" w:rsidRDefault="00712DCD" w:rsidP="00F025A5">
      <w:pPr>
        <w:spacing w:beforeLines="50" w:before="156" w:afterLines="50" w:after="156" w:line="360" w:lineRule="auto"/>
        <w:jc w:val="center"/>
        <w:rPr>
          <w:rFonts w:ascii="Times New Roman" w:eastAsia="等线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4920478A" wp14:editId="20442AC6">
            <wp:extent cx="5431890" cy="2340000"/>
            <wp:effectExtent l="0" t="0" r="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3739" t="21414" r="29982" b="38208"/>
                    <a:stretch/>
                  </pic:blipFill>
                  <pic:spPr bwMode="auto">
                    <a:xfrm>
                      <a:off x="0" y="0"/>
                      <a:ext cx="543189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0CA55" w14:textId="61676225" w:rsidR="00425EDB" w:rsidRDefault="00425EDB" w:rsidP="00A04CA4">
      <w:pPr>
        <w:pStyle w:val="a8"/>
        <w:spacing w:after="100" w:afterAutospacing="1"/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b/>
          <w:bCs/>
          <w:szCs w:val="21"/>
        </w:rPr>
        <w:t>F</w:t>
      </w:r>
      <w:r>
        <w:rPr>
          <w:rFonts w:ascii="Times New Roman" w:hAnsi="Times New Roman" w:cs="Times New Roman"/>
          <w:b/>
          <w:bCs/>
          <w:szCs w:val="21"/>
        </w:rPr>
        <w:t>ig. S</w:t>
      </w:r>
      <w:r w:rsidR="008E74E1">
        <w:rPr>
          <w:rFonts w:ascii="Times New Roman" w:hAnsi="Times New Roman" w:cs="Times New Roman"/>
          <w:b/>
          <w:bCs/>
          <w:szCs w:val="21"/>
        </w:rPr>
        <w:t>2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  <w:r w:rsidRPr="00425EDB">
        <w:rPr>
          <w:rFonts w:ascii="Times New Roman" w:hAnsi="Times New Roman" w:cs="Times New Roman"/>
          <w:szCs w:val="21"/>
        </w:rPr>
        <w:t>Schematic diagram of microstructure characterization sample</w:t>
      </w:r>
      <w:r>
        <w:rPr>
          <w:rFonts w:ascii="Times New Roman" w:hAnsi="Times New Roman" w:cs="Times New Roman"/>
          <w:szCs w:val="21"/>
        </w:rPr>
        <w:t>.</w:t>
      </w:r>
    </w:p>
    <w:sectPr w:rsidR="00425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9C96B" w14:textId="77777777" w:rsidR="00B86E77" w:rsidRDefault="00B86E77" w:rsidP="00757026">
      <w:r>
        <w:separator/>
      </w:r>
    </w:p>
  </w:endnote>
  <w:endnote w:type="continuationSeparator" w:id="0">
    <w:p w14:paraId="7183E182" w14:textId="77777777" w:rsidR="00B86E77" w:rsidRDefault="00B86E77" w:rsidP="00757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2A2C3" w14:textId="77777777" w:rsidR="00B86E77" w:rsidRDefault="00B86E77" w:rsidP="00757026">
      <w:r>
        <w:separator/>
      </w:r>
    </w:p>
  </w:footnote>
  <w:footnote w:type="continuationSeparator" w:id="0">
    <w:p w14:paraId="78497659" w14:textId="77777777" w:rsidR="00B86E77" w:rsidRDefault="00B86E77" w:rsidP="00757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B11"/>
    <w:rsid w:val="00014D29"/>
    <w:rsid w:val="00036733"/>
    <w:rsid w:val="00055317"/>
    <w:rsid w:val="000A7A9E"/>
    <w:rsid w:val="000C4747"/>
    <w:rsid w:val="000F0B60"/>
    <w:rsid w:val="00163950"/>
    <w:rsid w:val="001653FD"/>
    <w:rsid w:val="001C5755"/>
    <w:rsid w:val="0020260B"/>
    <w:rsid w:val="0022418E"/>
    <w:rsid w:val="002A1940"/>
    <w:rsid w:val="002D6161"/>
    <w:rsid w:val="002E2BDD"/>
    <w:rsid w:val="002E2CC4"/>
    <w:rsid w:val="002F0A44"/>
    <w:rsid w:val="00425EDB"/>
    <w:rsid w:val="00467FD6"/>
    <w:rsid w:val="004A0B65"/>
    <w:rsid w:val="004B1542"/>
    <w:rsid w:val="004B7E69"/>
    <w:rsid w:val="004E020B"/>
    <w:rsid w:val="00583520"/>
    <w:rsid w:val="00612988"/>
    <w:rsid w:val="00630B9F"/>
    <w:rsid w:val="00694E92"/>
    <w:rsid w:val="00712DCD"/>
    <w:rsid w:val="00734C62"/>
    <w:rsid w:val="00754AB8"/>
    <w:rsid w:val="00757026"/>
    <w:rsid w:val="0076500C"/>
    <w:rsid w:val="007D712B"/>
    <w:rsid w:val="00850300"/>
    <w:rsid w:val="0087232E"/>
    <w:rsid w:val="008A1F19"/>
    <w:rsid w:val="008E74E1"/>
    <w:rsid w:val="00901424"/>
    <w:rsid w:val="00904915"/>
    <w:rsid w:val="009139A6"/>
    <w:rsid w:val="00981972"/>
    <w:rsid w:val="00A04CA4"/>
    <w:rsid w:val="00A062AF"/>
    <w:rsid w:val="00AE360F"/>
    <w:rsid w:val="00B55D3D"/>
    <w:rsid w:val="00B61363"/>
    <w:rsid w:val="00B86E77"/>
    <w:rsid w:val="00BB7363"/>
    <w:rsid w:val="00BC0651"/>
    <w:rsid w:val="00BE7CA1"/>
    <w:rsid w:val="00C6530D"/>
    <w:rsid w:val="00CB61E7"/>
    <w:rsid w:val="00CB7B11"/>
    <w:rsid w:val="00CE5A35"/>
    <w:rsid w:val="00D76A14"/>
    <w:rsid w:val="00DF2AE6"/>
    <w:rsid w:val="00E568F0"/>
    <w:rsid w:val="00E655C6"/>
    <w:rsid w:val="00E94EDA"/>
    <w:rsid w:val="00F025A5"/>
    <w:rsid w:val="00F123F1"/>
    <w:rsid w:val="00F15D1A"/>
    <w:rsid w:val="00F26031"/>
    <w:rsid w:val="00F268B4"/>
    <w:rsid w:val="00F30489"/>
    <w:rsid w:val="00F314B0"/>
    <w:rsid w:val="00F3720F"/>
    <w:rsid w:val="00F6340B"/>
    <w:rsid w:val="00F816B5"/>
    <w:rsid w:val="00FB19C5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53746E"/>
  <w14:defaultImageDpi w14:val="32767"/>
  <w15:chartTrackingRefBased/>
  <w15:docId w15:val="{6DA0151C-ED41-42EC-BFAA-CCA042E7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B61E7"/>
    <w:pPr>
      <w:autoSpaceDE w:val="0"/>
      <w:autoSpaceDN w:val="0"/>
      <w:ind w:left="719" w:hanging="359"/>
      <w:jc w:val="left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036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70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5702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570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57026"/>
    <w:rPr>
      <w:sz w:val="18"/>
      <w:szCs w:val="18"/>
    </w:rPr>
  </w:style>
  <w:style w:type="paragraph" w:styleId="a8">
    <w:name w:val="List Paragraph"/>
    <w:basedOn w:val="a"/>
    <w:link w:val="a9"/>
    <w:uiPriority w:val="34"/>
    <w:qFormat/>
    <w:rsid w:val="00FB19C5"/>
    <w:pPr>
      <w:ind w:firstLineChars="200" w:firstLine="420"/>
    </w:pPr>
  </w:style>
  <w:style w:type="character" w:customStyle="1" w:styleId="a9">
    <w:name w:val="列表段落 字符"/>
    <w:basedOn w:val="a0"/>
    <w:link w:val="a8"/>
    <w:autoRedefine/>
    <w:uiPriority w:val="34"/>
    <w:qFormat/>
    <w:rsid w:val="00FB19C5"/>
  </w:style>
  <w:style w:type="character" w:styleId="aa">
    <w:name w:val="Hyperlink"/>
    <w:basedOn w:val="a0"/>
    <w:autoRedefine/>
    <w:uiPriority w:val="99"/>
    <w:unhideWhenUsed/>
    <w:qFormat/>
    <w:rsid w:val="00CB61E7"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sid w:val="00CB61E7"/>
    <w:rPr>
      <w:rFonts w:ascii="Times New Roman" w:eastAsia="Times New Roman" w:hAnsi="Times New Roman" w:cs="Times New Roman"/>
      <w:b/>
      <w:bCs/>
      <w:kern w:val="0"/>
      <w:sz w:val="24"/>
      <w:szCs w:val="24"/>
      <w:lang w:eastAsia="en-US"/>
    </w:rPr>
  </w:style>
  <w:style w:type="paragraph" w:styleId="ab">
    <w:name w:val="Body Text"/>
    <w:basedOn w:val="a"/>
    <w:link w:val="ac"/>
    <w:uiPriority w:val="1"/>
    <w:qFormat/>
    <w:rsid w:val="00CB61E7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ac">
    <w:name w:val="正文文本 字符"/>
    <w:basedOn w:val="a0"/>
    <w:link w:val="ab"/>
    <w:uiPriority w:val="1"/>
    <w:rsid w:val="00CB61E7"/>
    <w:rPr>
      <w:rFonts w:ascii="Times New Roman" w:eastAsia="Times New Roman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546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驰 张</dc:creator>
  <cp:keywords/>
  <dc:description/>
  <cp:lastModifiedBy>驰 张</cp:lastModifiedBy>
  <cp:revision>7</cp:revision>
  <dcterms:created xsi:type="dcterms:W3CDTF">2025-06-30T08:48:00Z</dcterms:created>
  <dcterms:modified xsi:type="dcterms:W3CDTF">2025-09-26T09:16:00Z</dcterms:modified>
</cp:coreProperties>
</file>