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2A" w:rsidRPr="00B70376" w:rsidRDefault="0016632A" w:rsidP="0016632A">
      <w:pPr>
        <w:spacing w:line="360" w:lineRule="auto"/>
        <w:jc w:val="center"/>
        <w:rPr>
          <w:rFonts w:eastAsiaTheme="minorEastAsia"/>
          <w:b/>
          <w:sz w:val="30"/>
          <w:szCs w:val="30"/>
        </w:rPr>
      </w:pPr>
      <w:r w:rsidRPr="00B70376">
        <w:rPr>
          <w:rFonts w:eastAsiaTheme="minorEastAsia"/>
          <w:b/>
          <w:sz w:val="30"/>
          <w:szCs w:val="30"/>
        </w:rPr>
        <w:t>Appendix A: Data and Data Sources</w:t>
      </w:r>
    </w:p>
    <w:p w:rsidR="0016632A" w:rsidRPr="00B70376" w:rsidRDefault="0016632A" w:rsidP="0016632A">
      <w:pPr>
        <w:spacing w:line="360" w:lineRule="auto"/>
        <w:jc w:val="center"/>
        <w:rPr>
          <w:rFonts w:eastAsiaTheme="minorEastAsia"/>
          <w:b/>
          <w:sz w:val="30"/>
          <w:szCs w:val="30"/>
        </w:rPr>
      </w:pPr>
    </w:p>
    <w:p w:rsidR="0016632A" w:rsidRPr="00D07961" w:rsidRDefault="0016632A" w:rsidP="0016632A">
      <w:pPr>
        <w:spacing w:after="0" w:line="360" w:lineRule="auto"/>
        <w:jc w:val="both"/>
        <w:rPr>
          <w:rFonts w:eastAsiaTheme="minorEastAsia"/>
        </w:rPr>
      </w:pPr>
      <w:r w:rsidRPr="00D07961">
        <w:rPr>
          <w:rFonts w:eastAsiaTheme="minorEastAsia"/>
          <w:b/>
        </w:rPr>
        <w:t>Table A1.</w:t>
      </w:r>
      <w:r w:rsidRPr="00D07961">
        <w:rPr>
          <w:rFonts w:eastAsiaTheme="minorEastAsia"/>
        </w:rPr>
        <w:t xml:space="preserve"> Summary Statistics</w:t>
      </w:r>
    </w:p>
    <w:tbl>
      <w:tblPr>
        <w:tblStyle w:val="TableGrid"/>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5"/>
        <w:gridCol w:w="1260"/>
        <w:gridCol w:w="1549"/>
        <w:gridCol w:w="1713"/>
        <w:gridCol w:w="1787"/>
        <w:gridCol w:w="1350"/>
      </w:tblGrid>
      <w:tr w:rsidR="0016632A" w:rsidRPr="00B70376" w:rsidTr="00D25386">
        <w:tc>
          <w:tcPr>
            <w:tcW w:w="2065" w:type="dxa"/>
            <w:tcBorders>
              <w:top w:val="single" w:sz="4" w:space="0" w:color="auto"/>
            </w:tcBorders>
            <w:vAlign w:val="bottom"/>
          </w:tcPr>
          <w:p w:rsidR="0016632A" w:rsidRPr="008B1557" w:rsidRDefault="0016632A" w:rsidP="00D25386">
            <w:pPr>
              <w:spacing w:line="360" w:lineRule="auto"/>
              <w:jc w:val="both"/>
              <w:rPr>
                <w:rFonts w:eastAsiaTheme="minorEastAsia"/>
                <w:b/>
                <w:sz w:val="22"/>
                <w:szCs w:val="22"/>
              </w:rPr>
            </w:pPr>
            <w:r w:rsidRPr="008B1557">
              <w:rPr>
                <w:b/>
                <w:color w:val="000000"/>
                <w:sz w:val="22"/>
                <w:szCs w:val="22"/>
              </w:rPr>
              <w:t>Variable</w:t>
            </w:r>
          </w:p>
        </w:tc>
        <w:tc>
          <w:tcPr>
            <w:tcW w:w="1260" w:type="dxa"/>
            <w:tcBorders>
              <w:top w:val="single" w:sz="4" w:space="0" w:color="auto"/>
            </w:tcBorders>
            <w:vAlign w:val="bottom"/>
          </w:tcPr>
          <w:p w:rsidR="0016632A" w:rsidRPr="008B1557" w:rsidRDefault="0016632A" w:rsidP="00D25386">
            <w:pPr>
              <w:spacing w:line="360" w:lineRule="auto"/>
              <w:jc w:val="both"/>
              <w:rPr>
                <w:rFonts w:eastAsiaTheme="minorEastAsia"/>
                <w:b/>
                <w:sz w:val="22"/>
                <w:szCs w:val="22"/>
              </w:rPr>
            </w:pPr>
            <w:r w:rsidRPr="008B1557">
              <w:rPr>
                <w:b/>
                <w:color w:val="000000"/>
                <w:sz w:val="22"/>
                <w:szCs w:val="22"/>
              </w:rPr>
              <w:t>Obs</w:t>
            </w:r>
          </w:p>
        </w:tc>
        <w:tc>
          <w:tcPr>
            <w:tcW w:w="1549" w:type="dxa"/>
            <w:tcBorders>
              <w:top w:val="single" w:sz="4" w:space="0" w:color="auto"/>
            </w:tcBorders>
            <w:vAlign w:val="bottom"/>
          </w:tcPr>
          <w:p w:rsidR="0016632A" w:rsidRPr="008B1557" w:rsidRDefault="0016632A" w:rsidP="00D25386">
            <w:pPr>
              <w:spacing w:line="360" w:lineRule="auto"/>
              <w:jc w:val="both"/>
              <w:rPr>
                <w:rFonts w:eastAsiaTheme="minorEastAsia"/>
                <w:b/>
                <w:sz w:val="22"/>
                <w:szCs w:val="22"/>
              </w:rPr>
            </w:pPr>
            <w:r w:rsidRPr="008B1557">
              <w:rPr>
                <w:b/>
                <w:color w:val="000000"/>
                <w:sz w:val="22"/>
                <w:szCs w:val="22"/>
              </w:rPr>
              <w:t xml:space="preserve">Mean    </w:t>
            </w:r>
          </w:p>
        </w:tc>
        <w:tc>
          <w:tcPr>
            <w:tcW w:w="1713" w:type="dxa"/>
            <w:tcBorders>
              <w:top w:val="single" w:sz="4" w:space="0" w:color="auto"/>
            </w:tcBorders>
          </w:tcPr>
          <w:p w:rsidR="0016632A" w:rsidRPr="008B1557" w:rsidRDefault="0016632A" w:rsidP="00D25386">
            <w:pPr>
              <w:spacing w:line="360" w:lineRule="auto"/>
              <w:jc w:val="both"/>
              <w:rPr>
                <w:b/>
                <w:color w:val="000000"/>
                <w:sz w:val="22"/>
                <w:szCs w:val="22"/>
              </w:rPr>
            </w:pPr>
            <w:r w:rsidRPr="008B1557">
              <w:rPr>
                <w:b/>
                <w:color w:val="000000"/>
                <w:sz w:val="22"/>
                <w:szCs w:val="22"/>
              </w:rPr>
              <w:t>Std. Dev.</w:t>
            </w:r>
          </w:p>
        </w:tc>
        <w:tc>
          <w:tcPr>
            <w:tcW w:w="1787" w:type="dxa"/>
            <w:tcBorders>
              <w:top w:val="single" w:sz="4" w:space="0" w:color="auto"/>
            </w:tcBorders>
            <w:vAlign w:val="bottom"/>
          </w:tcPr>
          <w:p w:rsidR="0016632A" w:rsidRPr="008B1557" w:rsidRDefault="0016632A" w:rsidP="00D25386">
            <w:pPr>
              <w:spacing w:line="360" w:lineRule="auto"/>
              <w:jc w:val="both"/>
              <w:rPr>
                <w:rFonts w:eastAsiaTheme="minorEastAsia"/>
                <w:b/>
                <w:sz w:val="22"/>
                <w:szCs w:val="22"/>
              </w:rPr>
            </w:pPr>
            <w:r w:rsidRPr="008B1557">
              <w:rPr>
                <w:b/>
                <w:color w:val="000000"/>
                <w:sz w:val="22"/>
                <w:szCs w:val="22"/>
              </w:rPr>
              <w:t>Min</w:t>
            </w:r>
          </w:p>
        </w:tc>
        <w:tc>
          <w:tcPr>
            <w:tcW w:w="1350" w:type="dxa"/>
            <w:tcBorders>
              <w:top w:val="single" w:sz="4" w:space="0" w:color="auto"/>
            </w:tcBorders>
            <w:vAlign w:val="bottom"/>
          </w:tcPr>
          <w:p w:rsidR="0016632A" w:rsidRPr="008B1557" w:rsidRDefault="0016632A" w:rsidP="00D25386">
            <w:pPr>
              <w:spacing w:line="360" w:lineRule="auto"/>
              <w:jc w:val="both"/>
              <w:rPr>
                <w:rFonts w:eastAsiaTheme="minorEastAsia"/>
                <w:b/>
                <w:sz w:val="22"/>
                <w:szCs w:val="22"/>
              </w:rPr>
            </w:pPr>
            <w:r w:rsidRPr="008B1557">
              <w:rPr>
                <w:b/>
                <w:color w:val="000000"/>
                <w:sz w:val="22"/>
                <w:szCs w:val="22"/>
              </w:rPr>
              <w:t>Max</w:t>
            </w:r>
          </w:p>
        </w:tc>
      </w:tr>
      <w:tr w:rsidR="0016632A" w:rsidRPr="00B70376" w:rsidTr="00D25386">
        <w:tc>
          <w:tcPr>
            <w:tcW w:w="2065" w:type="dxa"/>
            <w:tcBorders>
              <w:top w:val="single" w:sz="4" w:space="0" w:color="auto"/>
            </w:tcBorders>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ECI Index</w:t>
            </w:r>
          </w:p>
        </w:tc>
        <w:tc>
          <w:tcPr>
            <w:tcW w:w="1260" w:type="dxa"/>
            <w:tcBorders>
              <w:top w:val="single" w:sz="4" w:space="0" w:color="auto"/>
            </w:tcBorders>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108</w:t>
            </w:r>
          </w:p>
        </w:tc>
        <w:tc>
          <w:tcPr>
            <w:tcW w:w="1549" w:type="dxa"/>
            <w:tcBorders>
              <w:top w:val="single" w:sz="4" w:space="0" w:color="auto"/>
            </w:tcBorders>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0.068</w:t>
            </w:r>
          </w:p>
        </w:tc>
        <w:tc>
          <w:tcPr>
            <w:tcW w:w="1713" w:type="dxa"/>
            <w:tcBorders>
              <w:top w:val="single" w:sz="4" w:space="0" w:color="auto"/>
            </w:tcBorders>
            <w:vAlign w:val="center"/>
          </w:tcPr>
          <w:p w:rsidR="0016632A" w:rsidRPr="008B1557" w:rsidRDefault="0016632A" w:rsidP="00D25386">
            <w:pPr>
              <w:spacing w:line="360" w:lineRule="auto"/>
              <w:rPr>
                <w:color w:val="000000"/>
                <w:sz w:val="22"/>
                <w:szCs w:val="22"/>
              </w:rPr>
            </w:pPr>
            <w:r w:rsidRPr="008B1557">
              <w:rPr>
                <w:color w:val="000000"/>
                <w:sz w:val="22"/>
                <w:szCs w:val="22"/>
              </w:rPr>
              <w:t>0.975</w:t>
            </w:r>
          </w:p>
        </w:tc>
        <w:tc>
          <w:tcPr>
            <w:tcW w:w="1787" w:type="dxa"/>
            <w:tcBorders>
              <w:top w:val="single" w:sz="4" w:space="0" w:color="auto"/>
            </w:tcBorders>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-2.385</w:t>
            </w:r>
          </w:p>
        </w:tc>
        <w:tc>
          <w:tcPr>
            <w:tcW w:w="1350" w:type="dxa"/>
            <w:tcBorders>
              <w:top w:val="single" w:sz="4" w:space="0" w:color="auto"/>
            </w:tcBorders>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2.102</w:t>
            </w:r>
          </w:p>
        </w:tc>
      </w:tr>
      <w:tr w:rsidR="0016632A" w:rsidRPr="00B70376" w:rsidTr="00D25386">
        <w:tc>
          <w:tcPr>
            <w:tcW w:w="2065" w:type="dxa"/>
            <w:vAlign w:val="center"/>
          </w:tcPr>
          <w:p w:rsidR="0016632A" w:rsidRPr="008B1557" w:rsidRDefault="0016632A" w:rsidP="00D25386">
            <w:pPr>
              <w:spacing w:line="360" w:lineRule="auto"/>
              <w:rPr>
                <w:rFonts w:eastAsiaTheme="minorEastAsia"/>
                <w:sz w:val="22"/>
                <w:szCs w:val="22"/>
              </w:rPr>
            </w:pPr>
            <w:r w:rsidRPr="00B70376">
              <w:rPr>
                <w:color w:val="000000"/>
                <w:sz w:val="22"/>
                <w:szCs w:val="22"/>
              </w:rPr>
              <w:t>Intelligence</w:t>
            </w:r>
          </w:p>
        </w:tc>
        <w:tc>
          <w:tcPr>
            <w:tcW w:w="1260"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108</w:t>
            </w:r>
          </w:p>
        </w:tc>
        <w:tc>
          <w:tcPr>
            <w:tcW w:w="1549"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87.5</w:t>
            </w:r>
          </w:p>
        </w:tc>
        <w:tc>
          <w:tcPr>
            <w:tcW w:w="1713" w:type="dxa"/>
            <w:vAlign w:val="center"/>
          </w:tcPr>
          <w:p w:rsidR="0016632A" w:rsidRPr="008B1557" w:rsidRDefault="0016632A" w:rsidP="00D25386">
            <w:pPr>
              <w:spacing w:line="360" w:lineRule="auto"/>
              <w:rPr>
                <w:color w:val="000000"/>
                <w:sz w:val="22"/>
                <w:szCs w:val="22"/>
              </w:rPr>
            </w:pPr>
            <w:r w:rsidRPr="008B1557">
              <w:rPr>
                <w:color w:val="000000"/>
                <w:sz w:val="22"/>
                <w:szCs w:val="22"/>
              </w:rPr>
              <w:t>10.784</w:t>
            </w:r>
          </w:p>
        </w:tc>
        <w:tc>
          <w:tcPr>
            <w:tcW w:w="1787"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64</w:t>
            </w:r>
          </w:p>
        </w:tc>
        <w:tc>
          <w:tcPr>
            <w:tcW w:w="1350"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108</w:t>
            </w:r>
          </w:p>
        </w:tc>
      </w:tr>
      <w:tr w:rsidR="0016632A" w:rsidRPr="00B70376" w:rsidTr="00D25386">
        <w:tc>
          <w:tcPr>
            <w:tcW w:w="2065" w:type="dxa"/>
            <w:vAlign w:val="center"/>
          </w:tcPr>
          <w:p w:rsidR="0016632A" w:rsidRPr="00B70376" w:rsidRDefault="0016632A" w:rsidP="00D25386">
            <w:pPr>
              <w:spacing w:line="360" w:lineRule="auto"/>
              <w:rPr>
                <w:color w:val="000000"/>
                <w:sz w:val="22"/>
                <w:szCs w:val="22"/>
              </w:rPr>
            </w:pPr>
            <w:r w:rsidRPr="00B70376">
              <w:rPr>
                <w:color w:val="000000"/>
                <w:sz w:val="22"/>
                <w:szCs w:val="22"/>
              </w:rPr>
              <w:t>GDP per capita</w:t>
            </w:r>
          </w:p>
        </w:tc>
        <w:tc>
          <w:tcPr>
            <w:tcW w:w="1260" w:type="dxa"/>
            <w:vAlign w:val="center"/>
          </w:tcPr>
          <w:p w:rsidR="0016632A" w:rsidRPr="00B70376" w:rsidRDefault="0016632A" w:rsidP="00D25386">
            <w:pPr>
              <w:spacing w:line="360" w:lineRule="auto"/>
              <w:rPr>
                <w:color w:val="000000"/>
                <w:sz w:val="22"/>
                <w:szCs w:val="22"/>
              </w:rPr>
            </w:pPr>
            <w:r w:rsidRPr="00B70376">
              <w:rPr>
                <w:color w:val="000000"/>
                <w:sz w:val="22"/>
                <w:szCs w:val="22"/>
              </w:rPr>
              <w:t>108</w:t>
            </w:r>
          </w:p>
        </w:tc>
        <w:tc>
          <w:tcPr>
            <w:tcW w:w="1549" w:type="dxa"/>
            <w:vAlign w:val="center"/>
          </w:tcPr>
          <w:p w:rsidR="0016632A" w:rsidRPr="00B70376" w:rsidRDefault="0016632A" w:rsidP="00D25386">
            <w:pPr>
              <w:spacing w:line="360" w:lineRule="auto"/>
              <w:rPr>
                <w:color w:val="000000"/>
                <w:sz w:val="22"/>
                <w:szCs w:val="22"/>
              </w:rPr>
            </w:pPr>
            <w:r w:rsidRPr="00B70376">
              <w:rPr>
                <w:color w:val="000000"/>
                <w:sz w:val="22"/>
                <w:szCs w:val="22"/>
              </w:rPr>
              <w:t>15596.68</w:t>
            </w:r>
          </w:p>
        </w:tc>
        <w:tc>
          <w:tcPr>
            <w:tcW w:w="1713" w:type="dxa"/>
            <w:vAlign w:val="center"/>
          </w:tcPr>
          <w:p w:rsidR="0016632A" w:rsidRPr="00B70376" w:rsidRDefault="0016632A" w:rsidP="00D25386">
            <w:pPr>
              <w:spacing w:line="360" w:lineRule="auto"/>
              <w:rPr>
                <w:color w:val="000000"/>
                <w:sz w:val="22"/>
                <w:szCs w:val="22"/>
              </w:rPr>
            </w:pPr>
            <w:r w:rsidRPr="00B70376">
              <w:rPr>
                <w:color w:val="000000"/>
                <w:sz w:val="22"/>
                <w:szCs w:val="22"/>
              </w:rPr>
              <w:t>18059.51</w:t>
            </w:r>
          </w:p>
        </w:tc>
        <w:tc>
          <w:tcPr>
            <w:tcW w:w="1787" w:type="dxa"/>
            <w:vAlign w:val="center"/>
          </w:tcPr>
          <w:p w:rsidR="0016632A" w:rsidRPr="00B70376" w:rsidRDefault="0016632A" w:rsidP="00D25386">
            <w:pPr>
              <w:spacing w:line="360" w:lineRule="auto"/>
              <w:rPr>
                <w:color w:val="000000"/>
                <w:sz w:val="22"/>
                <w:szCs w:val="22"/>
              </w:rPr>
            </w:pPr>
            <w:r w:rsidRPr="00B70376">
              <w:rPr>
                <w:color w:val="000000"/>
                <w:sz w:val="22"/>
                <w:szCs w:val="22"/>
              </w:rPr>
              <w:t>319.043</w:t>
            </w:r>
          </w:p>
        </w:tc>
        <w:tc>
          <w:tcPr>
            <w:tcW w:w="1350" w:type="dxa"/>
            <w:vAlign w:val="center"/>
          </w:tcPr>
          <w:p w:rsidR="0016632A" w:rsidRPr="00B70376" w:rsidRDefault="0016632A" w:rsidP="00D25386">
            <w:pPr>
              <w:spacing w:line="360" w:lineRule="auto"/>
              <w:rPr>
                <w:color w:val="000000"/>
                <w:sz w:val="22"/>
                <w:szCs w:val="22"/>
              </w:rPr>
            </w:pPr>
            <w:r w:rsidRPr="00B70376">
              <w:rPr>
                <w:color w:val="000000"/>
                <w:sz w:val="22"/>
                <w:szCs w:val="22"/>
              </w:rPr>
              <w:t>136248.1</w:t>
            </w:r>
          </w:p>
        </w:tc>
      </w:tr>
      <w:tr w:rsidR="0016632A" w:rsidRPr="00B70376" w:rsidTr="00D25386">
        <w:tc>
          <w:tcPr>
            <w:tcW w:w="2065" w:type="dxa"/>
            <w:vAlign w:val="center"/>
          </w:tcPr>
          <w:p w:rsidR="0016632A" w:rsidRPr="008B1557" w:rsidRDefault="0016632A" w:rsidP="00D25386">
            <w:pPr>
              <w:spacing w:line="360" w:lineRule="auto"/>
              <w:rPr>
                <w:rFonts w:eastAsiaTheme="minorEastAsia"/>
                <w:sz w:val="22"/>
                <w:szCs w:val="22"/>
              </w:rPr>
            </w:pPr>
            <w:r w:rsidRPr="00B70376">
              <w:rPr>
                <w:color w:val="000000"/>
                <w:sz w:val="22"/>
                <w:szCs w:val="22"/>
              </w:rPr>
              <w:t>Polity</w:t>
            </w:r>
          </w:p>
        </w:tc>
        <w:tc>
          <w:tcPr>
            <w:tcW w:w="1260"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108</w:t>
            </w:r>
          </w:p>
        </w:tc>
        <w:tc>
          <w:tcPr>
            <w:tcW w:w="1549"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4.361</w:t>
            </w:r>
          </w:p>
        </w:tc>
        <w:tc>
          <w:tcPr>
            <w:tcW w:w="1713" w:type="dxa"/>
            <w:vAlign w:val="center"/>
          </w:tcPr>
          <w:p w:rsidR="0016632A" w:rsidRPr="008B1557" w:rsidRDefault="0016632A" w:rsidP="00D25386">
            <w:pPr>
              <w:spacing w:line="360" w:lineRule="auto"/>
              <w:rPr>
                <w:color w:val="000000"/>
                <w:sz w:val="22"/>
                <w:szCs w:val="22"/>
              </w:rPr>
            </w:pPr>
            <w:r w:rsidRPr="008B1557">
              <w:rPr>
                <w:color w:val="000000"/>
                <w:sz w:val="22"/>
                <w:szCs w:val="22"/>
              </w:rPr>
              <w:t>6.674</w:t>
            </w:r>
          </w:p>
        </w:tc>
        <w:tc>
          <w:tcPr>
            <w:tcW w:w="1787"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-10</w:t>
            </w:r>
          </w:p>
        </w:tc>
        <w:tc>
          <w:tcPr>
            <w:tcW w:w="1350" w:type="dxa"/>
            <w:vAlign w:val="center"/>
          </w:tcPr>
          <w:p w:rsidR="0016632A" w:rsidRPr="008B1557" w:rsidRDefault="0016632A" w:rsidP="00D25386">
            <w:pPr>
              <w:spacing w:line="360" w:lineRule="auto"/>
              <w:rPr>
                <w:rFonts w:eastAsiaTheme="minorEastAsia"/>
                <w:sz w:val="22"/>
                <w:szCs w:val="22"/>
              </w:rPr>
            </w:pPr>
            <w:r w:rsidRPr="008B1557">
              <w:rPr>
                <w:color w:val="000000"/>
                <w:sz w:val="22"/>
                <w:szCs w:val="22"/>
              </w:rPr>
              <w:t>10</w:t>
            </w:r>
          </w:p>
        </w:tc>
      </w:tr>
      <w:tr w:rsidR="0016632A" w:rsidRPr="00B70376" w:rsidTr="00D25386">
        <w:tc>
          <w:tcPr>
            <w:tcW w:w="2065" w:type="dxa"/>
            <w:vAlign w:val="center"/>
          </w:tcPr>
          <w:p w:rsidR="0016632A" w:rsidRPr="00B70376" w:rsidRDefault="0016632A" w:rsidP="00D25386">
            <w:pPr>
              <w:spacing w:line="360" w:lineRule="auto"/>
              <w:rPr>
                <w:color w:val="000000"/>
                <w:sz w:val="22"/>
                <w:szCs w:val="22"/>
              </w:rPr>
            </w:pPr>
            <w:r w:rsidRPr="00B70376">
              <w:rPr>
                <w:color w:val="000000"/>
                <w:sz w:val="22"/>
                <w:szCs w:val="22"/>
              </w:rPr>
              <w:t>Ethnic Diversity</w:t>
            </w:r>
          </w:p>
        </w:tc>
        <w:tc>
          <w:tcPr>
            <w:tcW w:w="1260" w:type="dxa"/>
            <w:vAlign w:val="center"/>
          </w:tcPr>
          <w:p w:rsidR="0016632A" w:rsidRPr="00B70376" w:rsidRDefault="0016632A" w:rsidP="00D25386">
            <w:pPr>
              <w:spacing w:line="360" w:lineRule="auto"/>
              <w:rPr>
                <w:color w:val="000000"/>
                <w:sz w:val="22"/>
                <w:szCs w:val="22"/>
              </w:rPr>
            </w:pPr>
            <w:r w:rsidRPr="00B70376">
              <w:rPr>
                <w:color w:val="000000"/>
                <w:sz w:val="22"/>
                <w:szCs w:val="22"/>
              </w:rPr>
              <w:t>108</w:t>
            </w:r>
          </w:p>
        </w:tc>
        <w:tc>
          <w:tcPr>
            <w:tcW w:w="1549" w:type="dxa"/>
            <w:vAlign w:val="center"/>
          </w:tcPr>
          <w:p w:rsidR="0016632A" w:rsidRPr="00B70376" w:rsidRDefault="0016632A" w:rsidP="00D25386">
            <w:pPr>
              <w:spacing w:line="360" w:lineRule="auto"/>
              <w:rPr>
                <w:color w:val="000000"/>
                <w:sz w:val="22"/>
                <w:szCs w:val="22"/>
              </w:rPr>
            </w:pPr>
            <w:r w:rsidRPr="00B70376">
              <w:rPr>
                <w:color w:val="000000"/>
                <w:sz w:val="22"/>
                <w:szCs w:val="22"/>
              </w:rPr>
              <w:t>0.431</w:t>
            </w:r>
          </w:p>
        </w:tc>
        <w:tc>
          <w:tcPr>
            <w:tcW w:w="1713" w:type="dxa"/>
            <w:vAlign w:val="center"/>
          </w:tcPr>
          <w:p w:rsidR="0016632A" w:rsidRPr="00B70376" w:rsidRDefault="0016632A" w:rsidP="00D25386">
            <w:pPr>
              <w:spacing w:line="360" w:lineRule="auto"/>
              <w:rPr>
                <w:color w:val="000000"/>
                <w:sz w:val="22"/>
                <w:szCs w:val="22"/>
              </w:rPr>
            </w:pPr>
            <w:r w:rsidRPr="00B70376">
              <w:rPr>
                <w:color w:val="000000"/>
                <w:sz w:val="22"/>
                <w:szCs w:val="22"/>
              </w:rPr>
              <w:t>0.235</w:t>
            </w:r>
          </w:p>
        </w:tc>
        <w:tc>
          <w:tcPr>
            <w:tcW w:w="1787" w:type="dxa"/>
            <w:vAlign w:val="center"/>
          </w:tcPr>
          <w:p w:rsidR="0016632A" w:rsidRPr="00B70376" w:rsidRDefault="0016632A" w:rsidP="00D25386">
            <w:pPr>
              <w:spacing w:line="360" w:lineRule="auto"/>
              <w:rPr>
                <w:color w:val="000000"/>
                <w:sz w:val="22"/>
                <w:szCs w:val="22"/>
              </w:rPr>
            </w:pPr>
            <w:r w:rsidRPr="00B70376">
              <w:rPr>
                <w:color w:val="000000"/>
                <w:sz w:val="22"/>
                <w:szCs w:val="22"/>
              </w:rPr>
              <w:t>0.012</w:t>
            </w:r>
          </w:p>
        </w:tc>
        <w:tc>
          <w:tcPr>
            <w:tcW w:w="1350" w:type="dxa"/>
            <w:vAlign w:val="center"/>
          </w:tcPr>
          <w:p w:rsidR="0016632A" w:rsidRPr="00B70376" w:rsidRDefault="0016632A" w:rsidP="00D25386">
            <w:pPr>
              <w:spacing w:line="360" w:lineRule="auto"/>
              <w:rPr>
                <w:color w:val="000000"/>
                <w:sz w:val="22"/>
                <w:szCs w:val="22"/>
              </w:rPr>
            </w:pPr>
            <w:r w:rsidRPr="00B70376">
              <w:rPr>
                <w:color w:val="000000"/>
                <w:sz w:val="22"/>
                <w:szCs w:val="22"/>
              </w:rPr>
              <w:t>0.879</w:t>
            </w:r>
          </w:p>
        </w:tc>
      </w:tr>
      <w:tr w:rsidR="0016632A" w:rsidRPr="00B70376" w:rsidTr="00D25386">
        <w:tc>
          <w:tcPr>
            <w:tcW w:w="2065" w:type="dxa"/>
            <w:vAlign w:val="center"/>
          </w:tcPr>
          <w:p w:rsidR="0016632A" w:rsidRPr="00B70376" w:rsidRDefault="0016632A" w:rsidP="00D25386">
            <w:pPr>
              <w:spacing w:line="360" w:lineRule="auto"/>
              <w:rPr>
                <w:color w:val="000000"/>
                <w:sz w:val="22"/>
                <w:szCs w:val="22"/>
              </w:rPr>
            </w:pPr>
            <w:r w:rsidRPr="00B70376">
              <w:rPr>
                <w:color w:val="000000"/>
                <w:sz w:val="22"/>
                <w:szCs w:val="22"/>
              </w:rPr>
              <w:t>Linguistic Diversity</w:t>
            </w:r>
          </w:p>
        </w:tc>
        <w:tc>
          <w:tcPr>
            <w:tcW w:w="1260" w:type="dxa"/>
            <w:vAlign w:val="center"/>
          </w:tcPr>
          <w:p w:rsidR="0016632A" w:rsidRPr="00B70376" w:rsidRDefault="0016632A" w:rsidP="00D25386">
            <w:pPr>
              <w:spacing w:line="360" w:lineRule="auto"/>
              <w:rPr>
                <w:color w:val="000000"/>
                <w:sz w:val="22"/>
                <w:szCs w:val="22"/>
              </w:rPr>
            </w:pPr>
            <w:r w:rsidRPr="00B70376">
              <w:rPr>
                <w:color w:val="000000"/>
                <w:sz w:val="22"/>
                <w:szCs w:val="22"/>
              </w:rPr>
              <w:t>108</w:t>
            </w:r>
          </w:p>
        </w:tc>
        <w:tc>
          <w:tcPr>
            <w:tcW w:w="1549" w:type="dxa"/>
            <w:vAlign w:val="center"/>
          </w:tcPr>
          <w:p w:rsidR="0016632A" w:rsidRPr="00B70376" w:rsidRDefault="0016632A" w:rsidP="00D25386">
            <w:pPr>
              <w:spacing w:line="360" w:lineRule="auto"/>
              <w:rPr>
                <w:color w:val="000000"/>
                <w:sz w:val="22"/>
                <w:szCs w:val="22"/>
              </w:rPr>
            </w:pPr>
            <w:r w:rsidRPr="00B70376">
              <w:rPr>
                <w:color w:val="000000"/>
                <w:sz w:val="22"/>
                <w:szCs w:val="22"/>
              </w:rPr>
              <w:t>0.371</w:t>
            </w:r>
          </w:p>
        </w:tc>
        <w:tc>
          <w:tcPr>
            <w:tcW w:w="1713" w:type="dxa"/>
            <w:vAlign w:val="center"/>
          </w:tcPr>
          <w:p w:rsidR="0016632A" w:rsidRPr="00B70376" w:rsidRDefault="0016632A" w:rsidP="00D25386">
            <w:pPr>
              <w:spacing w:line="360" w:lineRule="auto"/>
              <w:rPr>
                <w:color w:val="000000"/>
                <w:sz w:val="22"/>
                <w:szCs w:val="22"/>
              </w:rPr>
            </w:pPr>
            <w:r w:rsidRPr="00B70376">
              <w:rPr>
                <w:color w:val="000000"/>
                <w:sz w:val="22"/>
                <w:szCs w:val="22"/>
              </w:rPr>
              <w:t>0.270</w:t>
            </w:r>
          </w:p>
        </w:tc>
        <w:tc>
          <w:tcPr>
            <w:tcW w:w="1787" w:type="dxa"/>
            <w:vAlign w:val="center"/>
          </w:tcPr>
          <w:p w:rsidR="0016632A" w:rsidRPr="00B70376" w:rsidRDefault="0016632A" w:rsidP="00D25386">
            <w:pPr>
              <w:spacing w:line="360" w:lineRule="auto"/>
              <w:rPr>
                <w:color w:val="000000"/>
                <w:sz w:val="22"/>
                <w:szCs w:val="22"/>
              </w:rPr>
            </w:pPr>
            <w:r w:rsidRPr="00B70376">
              <w:rPr>
                <w:color w:val="000000"/>
                <w:sz w:val="22"/>
                <w:szCs w:val="22"/>
              </w:rPr>
              <w:t>0.018</w:t>
            </w:r>
          </w:p>
        </w:tc>
        <w:tc>
          <w:tcPr>
            <w:tcW w:w="1350" w:type="dxa"/>
            <w:vAlign w:val="center"/>
          </w:tcPr>
          <w:p w:rsidR="0016632A" w:rsidRPr="00B70376" w:rsidRDefault="0016632A" w:rsidP="00D25386">
            <w:pPr>
              <w:spacing w:line="360" w:lineRule="auto"/>
              <w:rPr>
                <w:color w:val="000000"/>
                <w:sz w:val="22"/>
                <w:szCs w:val="22"/>
              </w:rPr>
            </w:pPr>
            <w:r w:rsidRPr="00B70376">
              <w:rPr>
                <w:color w:val="000000"/>
                <w:sz w:val="22"/>
                <w:szCs w:val="22"/>
              </w:rPr>
              <w:t>0.899</w:t>
            </w:r>
          </w:p>
        </w:tc>
      </w:tr>
      <w:tr w:rsidR="0016632A" w:rsidRPr="00B70376" w:rsidTr="00D25386">
        <w:tc>
          <w:tcPr>
            <w:tcW w:w="2065" w:type="dxa"/>
            <w:tcBorders>
              <w:bottom w:val="double" w:sz="4" w:space="0" w:color="auto"/>
            </w:tcBorders>
            <w:vAlign w:val="center"/>
          </w:tcPr>
          <w:p w:rsidR="0016632A" w:rsidRPr="00B70376" w:rsidRDefault="0016632A" w:rsidP="00D25386">
            <w:pPr>
              <w:spacing w:line="360" w:lineRule="auto"/>
              <w:rPr>
                <w:color w:val="000000"/>
                <w:sz w:val="22"/>
                <w:szCs w:val="22"/>
              </w:rPr>
            </w:pPr>
            <w:r w:rsidRPr="00B70376">
              <w:rPr>
                <w:color w:val="000000"/>
                <w:sz w:val="22"/>
                <w:szCs w:val="22"/>
              </w:rPr>
              <w:t>Openess</w:t>
            </w:r>
          </w:p>
        </w:tc>
        <w:tc>
          <w:tcPr>
            <w:tcW w:w="1260" w:type="dxa"/>
            <w:tcBorders>
              <w:bottom w:val="double" w:sz="4" w:space="0" w:color="auto"/>
            </w:tcBorders>
            <w:vAlign w:val="center"/>
          </w:tcPr>
          <w:p w:rsidR="0016632A" w:rsidRPr="008B1557" w:rsidRDefault="0016632A" w:rsidP="00D25386">
            <w:pPr>
              <w:spacing w:line="360" w:lineRule="auto"/>
              <w:rPr>
                <w:color w:val="000000"/>
                <w:sz w:val="22"/>
                <w:szCs w:val="22"/>
              </w:rPr>
            </w:pPr>
            <w:r w:rsidRPr="008B1557">
              <w:rPr>
                <w:color w:val="000000"/>
                <w:sz w:val="22"/>
                <w:szCs w:val="22"/>
              </w:rPr>
              <w:t>108</w:t>
            </w:r>
          </w:p>
        </w:tc>
        <w:tc>
          <w:tcPr>
            <w:tcW w:w="1549" w:type="dxa"/>
            <w:tcBorders>
              <w:bottom w:val="double" w:sz="4" w:space="0" w:color="auto"/>
            </w:tcBorders>
            <w:vAlign w:val="center"/>
          </w:tcPr>
          <w:p w:rsidR="0016632A" w:rsidRPr="008B1557" w:rsidRDefault="0016632A" w:rsidP="00D25386">
            <w:pPr>
              <w:spacing w:line="360" w:lineRule="auto"/>
              <w:rPr>
                <w:sz w:val="22"/>
                <w:szCs w:val="22"/>
              </w:rPr>
            </w:pPr>
            <w:r w:rsidRPr="008B1557">
              <w:rPr>
                <w:sz w:val="22"/>
                <w:szCs w:val="22"/>
              </w:rPr>
              <w:t>87.231</w:t>
            </w:r>
          </w:p>
        </w:tc>
        <w:tc>
          <w:tcPr>
            <w:tcW w:w="1713" w:type="dxa"/>
            <w:tcBorders>
              <w:bottom w:val="double" w:sz="4" w:space="0" w:color="auto"/>
            </w:tcBorders>
            <w:vAlign w:val="center"/>
          </w:tcPr>
          <w:p w:rsidR="0016632A" w:rsidRPr="008B1557" w:rsidRDefault="0016632A" w:rsidP="00D25386">
            <w:pPr>
              <w:spacing w:line="360" w:lineRule="auto"/>
              <w:rPr>
                <w:color w:val="000000"/>
                <w:sz w:val="22"/>
                <w:szCs w:val="22"/>
              </w:rPr>
            </w:pPr>
            <w:r w:rsidRPr="008B1557">
              <w:rPr>
                <w:color w:val="000000"/>
                <w:sz w:val="22"/>
                <w:szCs w:val="22"/>
              </w:rPr>
              <w:t>47.340</w:t>
            </w:r>
          </w:p>
        </w:tc>
        <w:tc>
          <w:tcPr>
            <w:tcW w:w="1787" w:type="dxa"/>
            <w:tcBorders>
              <w:bottom w:val="double" w:sz="4" w:space="0" w:color="auto"/>
            </w:tcBorders>
            <w:vAlign w:val="center"/>
          </w:tcPr>
          <w:p w:rsidR="0016632A" w:rsidRPr="008B1557" w:rsidRDefault="0016632A" w:rsidP="00D25386">
            <w:pPr>
              <w:spacing w:line="360" w:lineRule="auto"/>
              <w:rPr>
                <w:color w:val="000000"/>
                <w:sz w:val="22"/>
                <w:szCs w:val="22"/>
              </w:rPr>
            </w:pPr>
            <w:r w:rsidRPr="008B1557">
              <w:rPr>
                <w:color w:val="000000"/>
                <w:sz w:val="22"/>
                <w:szCs w:val="22"/>
              </w:rPr>
              <w:t>25.500</w:t>
            </w:r>
          </w:p>
        </w:tc>
        <w:tc>
          <w:tcPr>
            <w:tcW w:w="1350" w:type="dxa"/>
            <w:tcBorders>
              <w:bottom w:val="double" w:sz="4" w:space="0" w:color="auto"/>
            </w:tcBorders>
            <w:vAlign w:val="center"/>
          </w:tcPr>
          <w:p w:rsidR="0016632A" w:rsidRPr="008B1557" w:rsidRDefault="0016632A" w:rsidP="00D25386">
            <w:pPr>
              <w:spacing w:line="360" w:lineRule="auto"/>
              <w:rPr>
                <w:color w:val="000000"/>
                <w:sz w:val="22"/>
                <w:szCs w:val="22"/>
              </w:rPr>
            </w:pPr>
            <w:r w:rsidRPr="008B1557">
              <w:rPr>
                <w:color w:val="000000"/>
                <w:sz w:val="22"/>
                <w:szCs w:val="22"/>
              </w:rPr>
              <w:t>422.331</w:t>
            </w:r>
          </w:p>
        </w:tc>
      </w:tr>
    </w:tbl>
    <w:p w:rsidR="0016632A" w:rsidRPr="008B1557" w:rsidRDefault="0016632A" w:rsidP="0016632A">
      <w:pPr>
        <w:spacing w:line="360" w:lineRule="auto"/>
        <w:jc w:val="both"/>
        <w:rPr>
          <w:rFonts w:eastAsiaTheme="minorEastAsia"/>
          <w:sz w:val="30"/>
          <w:szCs w:val="30"/>
        </w:rPr>
      </w:pPr>
    </w:p>
    <w:p w:rsidR="0016632A" w:rsidRDefault="0016632A" w:rsidP="0016632A">
      <w:pPr>
        <w:spacing w:line="360" w:lineRule="auto"/>
        <w:jc w:val="both"/>
        <w:rPr>
          <w:rFonts w:eastAsiaTheme="minorEastAsia"/>
        </w:rPr>
      </w:pPr>
    </w:p>
    <w:p w:rsidR="0016632A" w:rsidRDefault="0016632A" w:rsidP="0016632A">
      <w:pPr>
        <w:spacing w:line="240" w:lineRule="auto"/>
        <w:jc w:val="both"/>
        <w:rPr>
          <w:rFonts w:eastAsiaTheme="minorEastAsia"/>
          <w:b/>
        </w:rPr>
      </w:pPr>
    </w:p>
    <w:p w:rsidR="0016632A" w:rsidRPr="00B70376" w:rsidRDefault="0016632A" w:rsidP="0016632A">
      <w:pPr>
        <w:spacing w:line="240" w:lineRule="auto"/>
        <w:jc w:val="both"/>
        <w:rPr>
          <w:rFonts w:eastAsiaTheme="minorEastAsia"/>
        </w:rPr>
      </w:pPr>
      <w:r w:rsidRPr="00B70376">
        <w:rPr>
          <w:rFonts w:eastAsiaTheme="minorEastAsia"/>
          <w:b/>
        </w:rPr>
        <w:t>Table A2.</w:t>
      </w:r>
      <w:r w:rsidRPr="00B70376">
        <w:rPr>
          <w:rFonts w:eastAsiaTheme="minorEastAsia"/>
        </w:rPr>
        <w:t xml:space="preserve"> Data sources</w:t>
      </w:r>
    </w:p>
    <w:tbl>
      <w:tblPr>
        <w:tblW w:w="4858" w:type="pct"/>
        <w:tblLayout w:type="fixed"/>
        <w:tblLook w:val="04A0"/>
      </w:tblPr>
      <w:tblGrid>
        <w:gridCol w:w="1385"/>
        <w:gridCol w:w="242"/>
        <w:gridCol w:w="4300"/>
        <w:gridCol w:w="3377"/>
      </w:tblGrid>
      <w:tr w:rsidR="0016632A" w:rsidRPr="00B70376" w:rsidTr="00D25386">
        <w:trPr>
          <w:trHeight w:val="277"/>
        </w:trPr>
        <w:tc>
          <w:tcPr>
            <w:tcW w:w="744" w:type="pct"/>
            <w:tcBorders>
              <w:top w:val="single" w:sz="4" w:space="0" w:color="auto"/>
              <w:left w:val="nil"/>
              <w:bottom w:val="single" w:sz="8" w:space="0" w:color="auto"/>
              <w:right w:val="nil"/>
            </w:tcBorders>
            <w:shd w:val="clear" w:color="auto" w:fill="auto"/>
            <w:noWrap/>
            <w:vAlign w:val="bottom"/>
            <w:hideMark/>
          </w:tcPr>
          <w:p w:rsidR="0016632A" w:rsidRPr="008B1557" w:rsidRDefault="0016632A" w:rsidP="00D25386">
            <w:pPr>
              <w:spacing w:after="0" w:line="240" w:lineRule="auto"/>
              <w:rPr>
                <w:rFonts w:eastAsia="Times New Roman"/>
                <w:b/>
              </w:rPr>
            </w:pPr>
            <w:r w:rsidRPr="008B1557">
              <w:rPr>
                <w:rFonts w:eastAsia="Times New Roman"/>
                <w:b/>
              </w:rPr>
              <w:t>Variable</w:t>
            </w:r>
          </w:p>
        </w:tc>
        <w:tc>
          <w:tcPr>
            <w:tcW w:w="130" w:type="pct"/>
            <w:tcBorders>
              <w:top w:val="single" w:sz="4" w:space="0" w:color="auto"/>
              <w:left w:val="nil"/>
              <w:bottom w:val="single" w:sz="8" w:space="0" w:color="auto"/>
              <w:right w:val="nil"/>
            </w:tcBorders>
          </w:tcPr>
          <w:p w:rsidR="0016632A" w:rsidRPr="008B1557" w:rsidRDefault="0016632A" w:rsidP="00D25386">
            <w:pPr>
              <w:spacing w:after="0" w:line="240" w:lineRule="auto"/>
              <w:rPr>
                <w:rFonts w:eastAsia="Times New Roman"/>
                <w:b/>
              </w:rPr>
            </w:pPr>
          </w:p>
        </w:tc>
        <w:tc>
          <w:tcPr>
            <w:tcW w:w="2311" w:type="pct"/>
            <w:tcBorders>
              <w:top w:val="single" w:sz="4" w:space="0" w:color="auto"/>
              <w:left w:val="nil"/>
              <w:bottom w:val="single" w:sz="8" w:space="0" w:color="auto"/>
              <w:right w:val="nil"/>
            </w:tcBorders>
            <w:shd w:val="clear" w:color="auto" w:fill="auto"/>
            <w:noWrap/>
            <w:vAlign w:val="bottom"/>
            <w:hideMark/>
          </w:tcPr>
          <w:p w:rsidR="0016632A" w:rsidRPr="008B1557" w:rsidRDefault="0016632A" w:rsidP="00D25386">
            <w:pPr>
              <w:spacing w:after="0" w:line="240" w:lineRule="auto"/>
              <w:rPr>
                <w:rFonts w:eastAsia="Times New Roman"/>
                <w:b/>
              </w:rPr>
            </w:pPr>
            <w:r w:rsidRPr="008B1557">
              <w:rPr>
                <w:rFonts w:eastAsia="Times New Roman"/>
                <w:b/>
              </w:rPr>
              <w:t>Description</w:t>
            </w:r>
          </w:p>
        </w:tc>
        <w:tc>
          <w:tcPr>
            <w:tcW w:w="1815" w:type="pct"/>
            <w:tcBorders>
              <w:top w:val="single" w:sz="4" w:space="0" w:color="auto"/>
              <w:left w:val="nil"/>
              <w:bottom w:val="single" w:sz="8" w:space="0" w:color="auto"/>
              <w:right w:val="nil"/>
            </w:tcBorders>
            <w:shd w:val="clear" w:color="auto" w:fill="auto"/>
            <w:noWrap/>
            <w:vAlign w:val="bottom"/>
            <w:hideMark/>
          </w:tcPr>
          <w:p w:rsidR="0016632A" w:rsidRPr="008B1557" w:rsidRDefault="0016632A" w:rsidP="00D25386">
            <w:pPr>
              <w:spacing w:after="0" w:line="240" w:lineRule="auto"/>
              <w:rPr>
                <w:rFonts w:eastAsia="Times New Roman"/>
                <w:b/>
              </w:rPr>
            </w:pPr>
            <w:r w:rsidRPr="008B1557">
              <w:rPr>
                <w:rFonts w:eastAsia="Times New Roman"/>
                <w:b/>
              </w:rPr>
              <w:t>Source</w:t>
            </w: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8B1557">
              <w:rPr>
                <w:rFonts w:eastAsia="Times New Roman"/>
                <w:i/>
                <w:iCs/>
              </w:rPr>
              <w:t>ECI</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Sophistication of a country's productive structure</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The Observatory of Economic Complexity,</w:t>
            </w:r>
          </w:p>
          <w:p w:rsidR="0016632A" w:rsidRPr="008B1557" w:rsidRDefault="0016632A" w:rsidP="00D25386">
            <w:pPr>
              <w:spacing w:after="0" w:line="240" w:lineRule="auto"/>
              <w:rPr>
                <w:rFonts w:eastAsia="Times New Roman"/>
              </w:rPr>
            </w:pPr>
            <w:hyperlink r:id="rId5" w:history="1">
              <w:r w:rsidRPr="008B1557">
                <w:rPr>
                  <w:rStyle w:val="Hyperlink"/>
                  <w:rFonts w:eastAsia="Times New Roman"/>
                </w:rPr>
                <w:t>http://atlas.media.mit.edu/en/</w:t>
              </w:r>
            </w:hyperlink>
          </w:p>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r w:rsidRPr="008B1557">
              <w:rPr>
                <w:rFonts w:eastAsia="Times New Roman"/>
                <w:i/>
                <w:iCs/>
              </w:rPr>
              <w:t>ECI updated</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Sophistication of a country's productive structure (data accessed on October 2017)</w:t>
            </w: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The Observatory of Economic Complexity,</w:t>
            </w:r>
          </w:p>
          <w:p w:rsidR="0016632A" w:rsidRPr="008B1557" w:rsidRDefault="0016632A" w:rsidP="00D25386">
            <w:pPr>
              <w:spacing w:after="0" w:line="240" w:lineRule="auto"/>
              <w:rPr>
                <w:rFonts w:eastAsia="Times New Roman"/>
              </w:rPr>
            </w:pPr>
            <w:hyperlink r:id="rId6" w:history="1">
              <w:r w:rsidRPr="008B1557">
                <w:rPr>
                  <w:rStyle w:val="Hyperlink"/>
                  <w:rFonts w:eastAsia="Times New Roman"/>
                </w:rPr>
                <w:t>http://atlas.media.mit.edu/en/</w:t>
              </w:r>
            </w:hyperlink>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r w:rsidRPr="008B1557">
              <w:rPr>
                <w:rFonts w:eastAsia="Times New Roman"/>
                <w:i/>
                <w:iCs/>
              </w:rPr>
              <w:t>ECI+</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 xml:space="preserve">Sophistication of a country's productive structure </w:t>
            </w:r>
            <w:r w:rsidRPr="008B1557">
              <w:rPr>
                <w:rFonts w:eastAsiaTheme="minorEastAsia"/>
              </w:rPr>
              <w:t>corrected by how difficult it is to export each product</w:t>
            </w: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The Observatory of Economic Complexity,</w:t>
            </w:r>
          </w:p>
          <w:p w:rsidR="0016632A" w:rsidRPr="008B1557" w:rsidRDefault="0016632A" w:rsidP="00D25386">
            <w:pPr>
              <w:spacing w:after="0" w:line="240" w:lineRule="auto"/>
              <w:rPr>
                <w:rFonts w:eastAsia="Times New Roman"/>
              </w:rPr>
            </w:pPr>
            <w:hyperlink r:id="rId7" w:history="1">
              <w:r w:rsidRPr="008B1557">
                <w:rPr>
                  <w:rStyle w:val="Hyperlink"/>
                  <w:rFonts w:eastAsia="Times New Roman"/>
                </w:rPr>
                <w:t>http://atlas.media.mit.edu/en/</w:t>
              </w:r>
            </w:hyperlink>
          </w:p>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r w:rsidRPr="008B1557">
              <w:rPr>
                <w:rFonts w:eastAsia="Times New Roman"/>
                <w:i/>
                <w:iCs/>
              </w:rPr>
              <w:t>Intelligence</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IQ-scores</w:t>
            </w: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Lynn and Vanhanen (2006),</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r w:rsidRPr="008B1557">
              <w:rPr>
                <w:rFonts w:eastAsia="Times New Roman"/>
                <w:i/>
                <w:iCs/>
              </w:rPr>
              <w:t>Intelligence</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IQ-scores</w:t>
            </w: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Lynn and Meisenberg (2010)</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8B1557">
              <w:rPr>
                <w:rFonts w:eastAsia="Times New Roman"/>
                <w:i/>
              </w:rPr>
              <w:t>Log GDP per capita</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GDP per capita  in 2010</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B70376">
              <w:rPr>
                <w:rFonts w:eastAsia="Times New Roman"/>
              </w:rPr>
              <w:t>Penn World Tables</w:t>
            </w:r>
            <w:r w:rsidRPr="008B1557">
              <w:rPr>
                <w:rFonts w:eastAsia="Times New Roman"/>
              </w:rPr>
              <w:t xml:space="preserve"> (PWT)</w:t>
            </w:r>
          </w:p>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B70376">
              <w:rPr>
                <w:rFonts w:eastAsia="Times New Roman"/>
                <w:i/>
                <w:iCs/>
              </w:rPr>
              <w:t>P</w:t>
            </w:r>
            <w:r w:rsidRPr="008B1557">
              <w:rPr>
                <w:rFonts w:eastAsia="Times New Roman"/>
                <w:i/>
                <w:iCs/>
              </w:rPr>
              <w:t>olity</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Democracy index</w:t>
            </w:r>
          </w:p>
        </w:tc>
        <w:tc>
          <w:tcPr>
            <w:tcW w:w="1815" w:type="pct"/>
            <w:tcBorders>
              <w:top w:val="nil"/>
              <w:left w:val="nil"/>
              <w:bottom w:val="nil"/>
              <w:right w:val="nil"/>
            </w:tcBorders>
            <w:shd w:val="clear" w:color="auto" w:fill="auto"/>
            <w:noWrap/>
            <w:hideMark/>
          </w:tcPr>
          <w:p w:rsidR="0016632A" w:rsidRPr="00B70376" w:rsidRDefault="0016632A" w:rsidP="00D25386">
            <w:pPr>
              <w:spacing w:after="0" w:line="240" w:lineRule="auto"/>
              <w:rPr>
                <w:rFonts w:eastAsia="Times New Roman"/>
              </w:rPr>
            </w:pPr>
            <w:r w:rsidRPr="008B1557">
              <w:rPr>
                <w:rFonts w:eastAsia="Times New Roman"/>
              </w:rPr>
              <w:t>Polity IV</w:t>
            </w:r>
            <w:r w:rsidRPr="00B70376">
              <w:rPr>
                <w:rFonts w:eastAsia="Times New Roman"/>
              </w:rPr>
              <w:t xml:space="preserve"> project</w:t>
            </w:r>
          </w:p>
          <w:p w:rsidR="0016632A" w:rsidRPr="008B1557" w:rsidRDefault="0016632A" w:rsidP="00D25386">
            <w:pPr>
              <w:spacing w:after="0" w:line="240" w:lineRule="auto"/>
              <w:rPr>
                <w:rFonts w:eastAsia="Times New Roman"/>
              </w:rPr>
            </w:pPr>
            <w:r w:rsidRPr="00B70376">
              <w:rPr>
                <w:color w:val="222222"/>
                <w:shd w:val="clear" w:color="auto" w:fill="FFFFFF"/>
              </w:rPr>
              <w:lastRenderedPageBreak/>
              <w:t>Marshall and Jaggers (2002)</w:t>
            </w:r>
          </w:p>
        </w:tc>
      </w:tr>
      <w:tr w:rsidR="0016632A" w:rsidRPr="00B70376" w:rsidTr="00D25386">
        <w:trPr>
          <w:trHeight w:val="261"/>
        </w:trPr>
        <w:tc>
          <w:tcPr>
            <w:tcW w:w="744" w:type="pct"/>
            <w:tcBorders>
              <w:top w:val="nil"/>
              <w:left w:val="nil"/>
              <w:bottom w:val="nil"/>
              <w:right w:val="nil"/>
            </w:tcBorders>
            <w:shd w:val="clear" w:color="auto" w:fill="auto"/>
            <w:noWrap/>
            <w:vAlign w:val="center"/>
          </w:tcPr>
          <w:p w:rsidR="0016632A" w:rsidRPr="00B70376"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vAlign w:val="center"/>
          </w:tcPr>
          <w:p w:rsidR="0016632A" w:rsidRPr="00B70376"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vAlign w:val="bottom"/>
          </w:tcPr>
          <w:p w:rsidR="0016632A" w:rsidRPr="00B70376"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vAlign w:val="center"/>
          </w:tcPr>
          <w:p w:rsidR="0016632A" w:rsidRPr="00B70376" w:rsidRDefault="0016632A" w:rsidP="00D25386">
            <w:pPr>
              <w:spacing w:after="0" w:line="240" w:lineRule="auto"/>
              <w:rPr>
                <w:rFonts w:eastAsia="Times New Roman"/>
                <w:i/>
                <w:iCs/>
              </w:rPr>
            </w:pPr>
            <w:r w:rsidRPr="008B1557">
              <w:rPr>
                <w:rFonts w:eastAsia="Times New Roman"/>
                <w:i/>
                <w:iCs/>
              </w:rPr>
              <w:t>Democracy (Cheibub)</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i/>
                <w:iCs/>
              </w:rPr>
            </w:pPr>
          </w:p>
        </w:tc>
        <w:tc>
          <w:tcPr>
            <w:tcW w:w="2311" w:type="pct"/>
            <w:tcBorders>
              <w:top w:val="nil"/>
              <w:left w:val="nil"/>
              <w:bottom w:val="nil"/>
              <w:right w:val="nil"/>
            </w:tcBorders>
            <w:shd w:val="clear" w:color="auto" w:fill="auto"/>
            <w:noWrap/>
            <w:vAlign w:val="center"/>
          </w:tcPr>
          <w:p w:rsidR="0016632A" w:rsidRPr="00B70376" w:rsidRDefault="0016632A" w:rsidP="00D25386">
            <w:pPr>
              <w:spacing w:after="0" w:line="240" w:lineRule="auto"/>
              <w:rPr>
                <w:rFonts w:eastAsia="Times New Roman"/>
                <w:iCs/>
              </w:rPr>
            </w:pPr>
            <w:r w:rsidRPr="00B70376">
              <w:rPr>
                <w:rFonts w:eastAsia="Times New Roman"/>
                <w:iCs/>
              </w:rPr>
              <w:t>Democracy-dicatorship data</w:t>
            </w:r>
          </w:p>
        </w:tc>
        <w:tc>
          <w:tcPr>
            <w:tcW w:w="1815"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Cs/>
              </w:rPr>
            </w:pPr>
            <w:r w:rsidRPr="008B1557">
              <w:rPr>
                <w:rFonts w:eastAsia="Times New Roman"/>
                <w:iCs/>
              </w:rPr>
              <w:t>Cheibub et al. (2010)</w:t>
            </w:r>
          </w:p>
        </w:tc>
      </w:tr>
      <w:tr w:rsidR="0016632A" w:rsidRPr="00B70376" w:rsidTr="00D25386">
        <w:trPr>
          <w:trHeight w:val="261"/>
        </w:trPr>
        <w:tc>
          <w:tcPr>
            <w:tcW w:w="744" w:type="pct"/>
            <w:tcBorders>
              <w:top w:val="nil"/>
              <w:left w:val="nil"/>
              <w:bottom w:val="nil"/>
              <w:right w:val="nil"/>
            </w:tcBorders>
            <w:shd w:val="clear" w:color="auto" w:fill="auto"/>
            <w:noWrap/>
            <w:vAlign w:val="center"/>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vAlign w:val="center"/>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vAlign w:val="bottom"/>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B70376">
              <w:rPr>
                <w:rFonts w:eastAsia="Times New Roman"/>
                <w:i/>
                <w:iCs/>
              </w:rPr>
              <w:t>E</w:t>
            </w:r>
            <w:r w:rsidRPr="008B1557">
              <w:rPr>
                <w:rFonts w:eastAsia="Times New Roman"/>
                <w:i/>
                <w:iCs/>
              </w:rPr>
              <w:t>thnic</w:t>
            </w:r>
            <w:r w:rsidRPr="00B70376">
              <w:rPr>
                <w:rFonts w:eastAsia="Times New Roman"/>
                <w:i/>
                <w:iCs/>
              </w:rPr>
              <w:t xml:space="preserve"> Diversity</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 xml:space="preserve">Ethnic </w:t>
            </w:r>
            <w:r w:rsidRPr="00B70376">
              <w:rPr>
                <w:rFonts w:eastAsia="Times New Roman"/>
              </w:rPr>
              <w:t>f</w:t>
            </w:r>
            <w:r w:rsidRPr="008B1557">
              <w:rPr>
                <w:rFonts w:eastAsia="Times New Roman"/>
              </w:rPr>
              <w:t>ractionalization</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Alesina et al. (2003)</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B70376">
              <w:rPr>
                <w:rFonts w:eastAsia="Times New Roman"/>
                <w:i/>
                <w:iCs/>
              </w:rPr>
              <w:t>L</w:t>
            </w:r>
            <w:r w:rsidRPr="008B1557">
              <w:rPr>
                <w:rFonts w:eastAsia="Times New Roman"/>
                <w:i/>
                <w:iCs/>
              </w:rPr>
              <w:t>inguistic</w:t>
            </w:r>
            <w:r w:rsidRPr="00B70376">
              <w:rPr>
                <w:rFonts w:eastAsia="Times New Roman"/>
                <w:i/>
                <w:iCs/>
              </w:rPr>
              <w:t xml:space="preserve"> Diversity</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Linguistic fractionalization</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Alesina et al. (2003)</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r w:rsidRPr="00B70376">
              <w:rPr>
                <w:rFonts w:eastAsia="Times New Roman"/>
                <w:i/>
                <w:iCs/>
              </w:rPr>
              <w:t>O</w:t>
            </w:r>
            <w:r w:rsidRPr="008B1557">
              <w:rPr>
                <w:rFonts w:eastAsia="Times New Roman"/>
                <w:i/>
                <w:iCs/>
              </w:rPr>
              <w:t>peness</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Imports plus exports as percentage of GDP</w:t>
            </w: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r w:rsidRPr="008B1557">
              <w:rPr>
                <w:rFonts w:eastAsia="Times New Roman"/>
              </w:rPr>
              <w:t>World Bank Development Indicators</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8B1557">
              <w:rPr>
                <w:rFonts w:eastAsia="Times New Roman"/>
                <w:i/>
                <w:iCs/>
              </w:rPr>
              <w:t xml:space="preserve">KOF </w:t>
            </w:r>
            <w:r w:rsidRPr="00B70376">
              <w:rPr>
                <w:rFonts w:eastAsia="Times New Roman"/>
                <w:i/>
                <w:iCs/>
              </w:rPr>
              <w:t>I</w:t>
            </w:r>
            <w:r w:rsidRPr="008B1557">
              <w:rPr>
                <w:rFonts w:eastAsia="Times New Roman"/>
                <w:i/>
                <w:iCs/>
              </w:rPr>
              <w:t>ndex</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Index of economic globalization</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Dreher (2006), Dreher et al. (2008)</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
                <w:iCs/>
              </w:rPr>
            </w:pPr>
            <w:r w:rsidRPr="00B70376">
              <w:rPr>
                <w:rFonts w:eastAsia="Times New Roman"/>
                <w:i/>
                <w:iCs/>
              </w:rPr>
              <w:t>Executive Constraints</w:t>
            </w: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B70376" w:rsidRDefault="0016632A" w:rsidP="00D25386">
            <w:pPr>
              <w:spacing w:after="0" w:line="240" w:lineRule="auto"/>
            </w:pPr>
            <w:r w:rsidRPr="00B70376">
              <w:t>The extent of institutionalized constraints on the decision making powers of chief executives</w:t>
            </w:r>
          </w:p>
        </w:tc>
        <w:tc>
          <w:tcPr>
            <w:tcW w:w="1815" w:type="pct"/>
            <w:tcBorders>
              <w:top w:val="nil"/>
              <w:left w:val="nil"/>
              <w:bottom w:val="nil"/>
              <w:right w:val="nil"/>
            </w:tcBorders>
            <w:shd w:val="clear" w:color="auto" w:fill="auto"/>
            <w:noWrap/>
          </w:tcPr>
          <w:p w:rsidR="0016632A" w:rsidRPr="00B70376" w:rsidRDefault="0016632A" w:rsidP="00D25386">
            <w:pPr>
              <w:spacing w:after="0" w:line="240" w:lineRule="auto"/>
            </w:pPr>
            <w:r w:rsidRPr="00B70376">
              <w:t>Polity IV project</w:t>
            </w:r>
          </w:p>
          <w:p w:rsidR="0016632A" w:rsidRPr="00B70376" w:rsidRDefault="0016632A" w:rsidP="00D25386">
            <w:pPr>
              <w:spacing w:after="0" w:line="240" w:lineRule="auto"/>
            </w:pPr>
            <w:r w:rsidRPr="008B1557">
              <w:rPr>
                <w:color w:val="222222"/>
                <w:shd w:val="clear" w:color="auto" w:fill="FFFFFF"/>
              </w:rPr>
              <w:t>Marshall and Jaggers (2002)</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B70376" w:rsidRDefault="0016632A" w:rsidP="00D25386">
            <w:pPr>
              <w:spacing w:after="0" w:line="240" w:lineRule="auto"/>
            </w:pPr>
          </w:p>
        </w:tc>
        <w:tc>
          <w:tcPr>
            <w:tcW w:w="1815" w:type="pct"/>
            <w:tcBorders>
              <w:top w:val="nil"/>
              <w:left w:val="nil"/>
              <w:bottom w:val="nil"/>
              <w:right w:val="nil"/>
            </w:tcBorders>
            <w:shd w:val="clear" w:color="auto" w:fill="auto"/>
            <w:noWrap/>
          </w:tcPr>
          <w:p w:rsidR="0016632A" w:rsidRPr="00B70376" w:rsidRDefault="0016632A" w:rsidP="00D25386">
            <w:pPr>
              <w:spacing w:after="0" w:line="240" w:lineRule="auto"/>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
                <w:iCs/>
              </w:rPr>
            </w:pPr>
            <w:r w:rsidRPr="00B70376">
              <w:rPr>
                <w:rFonts w:eastAsia="Times New Roman"/>
                <w:i/>
                <w:iCs/>
              </w:rPr>
              <w:t>Rule of Law</w:t>
            </w: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r w:rsidRPr="008B1557">
              <w:t>Perceptions of the extent to which agents have confidence in and abide by the rules of society, and in particular the quality of contract enforcement, property rights, the police, and the courts, as well as the likelihood of crime and violence</w:t>
            </w: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pPr>
            <w:r w:rsidRPr="008B1557">
              <w:t>Worldwide Governance Indicators</w:t>
            </w:r>
          </w:p>
          <w:p w:rsidR="0016632A" w:rsidRPr="00B70376" w:rsidRDefault="0016632A" w:rsidP="00D25386">
            <w:pPr>
              <w:spacing w:after="0" w:line="240" w:lineRule="auto"/>
              <w:rPr>
                <w:rFonts w:eastAsia="Times New Roman"/>
              </w:rPr>
            </w:pPr>
            <w:hyperlink r:id="rId8" w:anchor="reports" w:history="1">
              <w:r w:rsidRPr="00B70376">
                <w:rPr>
                  <w:rStyle w:val="Hyperlink"/>
                  <w:rFonts w:eastAsia="Times New Roman"/>
                </w:rPr>
                <w:t>http://info.worldbank.org/governance/wgi/index.aspx#reports</w:t>
              </w:r>
            </w:hyperlink>
            <w:r w:rsidRPr="00B70376">
              <w:rPr>
                <w:rFonts w:eastAsia="Times New Roman"/>
              </w:rPr>
              <w:t xml:space="preserve"> </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B70376">
              <w:rPr>
                <w:rFonts w:eastAsia="Times New Roman"/>
                <w:i/>
                <w:iCs/>
              </w:rPr>
              <w:t>R</w:t>
            </w:r>
            <w:r w:rsidRPr="008B1557">
              <w:rPr>
                <w:rFonts w:eastAsia="Times New Roman"/>
                <w:i/>
                <w:iCs/>
              </w:rPr>
              <w:t>eligio</w:t>
            </w:r>
            <w:r w:rsidRPr="00B70376">
              <w:rPr>
                <w:rFonts w:eastAsia="Times New Roman"/>
                <w:i/>
                <w:iCs/>
              </w:rPr>
              <w:t>us Diversity</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Religio</w:t>
            </w:r>
            <w:r w:rsidRPr="00B70376">
              <w:rPr>
                <w:rFonts w:eastAsia="Times New Roman"/>
              </w:rPr>
              <w:t>us</w:t>
            </w:r>
            <w:r w:rsidRPr="008B1557">
              <w:rPr>
                <w:rFonts w:eastAsia="Times New Roman"/>
              </w:rPr>
              <w:t xml:space="preserve"> fractionalization</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Alesina et al. (2003)</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B70376">
              <w:rPr>
                <w:rFonts w:eastAsia="Times New Roman"/>
                <w:i/>
                <w:iCs/>
              </w:rPr>
              <w:t>L</w:t>
            </w:r>
            <w:r w:rsidRPr="008B1557">
              <w:rPr>
                <w:rFonts w:eastAsia="Times New Roman"/>
                <w:i/>
                <w:iCs/>
              </w:rPr>
              <w:t xml:space="preserve">egal </w:t>
            </w:r>
            <w:r w:rsidRPr="00B70376">
              <w:rPr>
                <w:rFonts w:eastAsia="Times New Roman"/>
                <w:i/>
                <w:iCs/>
              </w:rPr>
              <w:t>O</w:t>
            </w:r>
            <w:r w:rsidRPr="008B1557">
              <w:rPr>
                <w:rFonts w:eastAsia="Times New Roman"/>
                <w:i/>
                <w:iCs/>
              </w:rPr>
              <w:t>rigin</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Dummy variable for different legal origins</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La Porta et al. (1999)</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i/>
                <w:iCs/>
              </w:rPr>
            </w:pPr>
            <w:r w:rsidRPr="00B70376">
              <w:rPr>
                <w:rFonts w:eastAsia="Times New Roman"/>
                <w:i/>
                <w:iCs/>
              </w:rPr>
              <w:t>Secondary Enrollment</w:t>
            </w:r>
          </w:p>
        </w:tc>
        <w:tc>
          <w:tcPr>
            <w:tcW w:w="130" w:type="pct"/>
            <w:tcBorders>
              <w:top w:val="nil"/>
              <w:left w:val="nil"/>
              <w:bottom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B70376">
              <w:rPr>
                <w:rFonts w:eastAsia="Times New Roman"/>
              </w:rPr>
              <w:t>Gross enrollment ratio, secondary, both sexes (%)</w:t>
            </w:r>
          </w:p>
        </w:tc>
        <w:tc>
          <w:tcPr>
            <w:tcW w:w="1815" w:type="pct"/>
            <w:tcBorders>
              <w:top w:val="nil"/>
              <w:left w:val="nil"/>
              <w:bottom w:val="nil"/>
              <w:right w:val="nil"/>
            </w:tcBorders>
            <w:shd w:val="clear" w:color="auto" w:fill="auto"/>
            <w:noWrap/>
            <w:hideMark/>
          </w:tcPr>
          <w:p w:rsidR="0016632A" w:rsidRPr="008B1557" w:rsidRDefault="0016632A" w:rsidP="00D25386">
            <w:pPr>
              <w:spacing w:after="0" w:line="240" w:lineRule="auto"/>
              <w:rPr>
                <w:rFonts w:eastAsia="Times New Roman"/>
              </w:rPr>
            </w:pPr>
            <w:r w:rsidRPr="00B70376">
              <w:rPr>
                <w:rFonts w:eastAsia="Times New Roman"/>
              </w:rPr>
              <w:t>World Bank Development Indicators</w:t>
            </w: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
                <w:iCs/>
              </w:rPr>
            </w:pP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p>
        </w:tc>
        <w:tc>
          <w:tcPr>
            <w:tcW w:w="1815"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i/>
                <w:iCs/>
              </w:rPr>
            </w:pPr>
            <w:r w:rsidRPr="00B70376">
              <w:rPr>
                <w:rFonts w:eastAsia="Times New Roman"/>
                <w:i/>
                <w:iCs/>
              </w:rPr>
              <w:t>Tertiary Enrollment</w:t>
            </w:r>
          </w:p>
        </w:tc>
        <w:tc>
          <w:tcPr>
            <w:tcW w:w="130" w:type="pct"/>
            <w:tcBorders>
              <w:top w:val="nil"/>
              <w:left w:val="nil"/>
              <w:bottom w:val="nil"/>
              <w:right w:val="nil"/>
            </w:tcBorders>
          </w:tcPr>
          <w:p w:rsidR="0016632A" w:rsidRPr="00B70376" w:rsidRDefault="0016632A" w:rsidP="00D25386">
            <w:pPr>
              <w:spacing w:after="0" w:line="240" w:lineRule="auto"/>
              <w:rPr>
                <w:rFonts w:eastAsia="Times New Roman"/>
              </w:rPr>
            </w:pPr>
          </w:p>
        </w:tc>
        <w:tc>
          <w:tcPr>
            <w:tcW w:w="2311"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r w:rsidRPr="00B70376">
              <w:rPr>
                <w:rFonts w:eastAsia="Times New Roman"/>
              </w:rPr>
              <w:t>Gro</w:t>
            </w:r>
            <w:r>
              <w:rPr>
                <w:rFonts w:eastAsia="Times New Roman"/>
              </w:rPr>
              <w:t>s</w:t>
            </w:r>
            <w:r w:rsidRPr="00B70376">
              <w:rPr>
                <w:rFonts w:eastAsia="Times New Roman"/>
              </w:rPr>
              <w:t>s enrollment ratio, tertiary, both sexes (%)</w:t>
            </w:r>
          </w:p>
        </w:tc>
        <w:tc>
          <w:tcPr>
            <w:tcW w:w="1815" w:type="pct"/>
            <w:tcBorders>
              <w:top w:val="nil"/>
              <w:left w:val="nil"/>
              <w:bottom w:val="nil"/>
              <w:right w:val="nil"/>
            </w:tcBorders>
            <w:shd w:val="clear" w:color="auto" w:fill="auto"/>
            <w:noWrap/>
          </w:tcPr>
          <w:p w:rsidR="0016632A" w:rsidRPr="00B70376" w:rsidRDefault="0016632A" w:rsidP="00D25386">
            <w:pPr>
              <w:spacing w:after="0" w:line="240" w:lineRule="auto"/>
              <w:rPr>
                <w:rFonts w:eastAsia="Times New Roman"/>
              </w:rPr>
            </w:pPr>
            <w:r w:rsidRPr="00B70376">
              <w:rPr>
                <w:rFonts w:eastAsia="Times New Roman"/>
              </w:rPr>
              <w:t>World Bank Development Indicators</w:t>
            </w:r>
          </w:p>
        </w:tc>
      </w:tr>
      <w:tr w:rsidR="0016632A" w:rsidRPr="00B70376" w:rsidTr="00D25386">
        <w:trPr>
          <w:trHeight w:val="261"/>
        </w:trPr>
        <w:tc>
          <w:tcPr>
            <w:tcW w:w="744" w:type="pct"/>
            <w:tcBorders>
              <w:top w:val="nil"/>
              <w:left w:val="nil"/>
              <w:right w:val="nil"/>
            </w:tcBorders>
            <w:shd w:val="clear" w:color="auto" w:fill="auto"/>
            <w:noWrap/>
          </w:tcPr>
          <w:p w:rsidR="0016632A" w:rsidRPr="008B1557" w:rsidRDefault="0016632A" w:rsidP="00D25386">
            <w:pPr>
              <w:spacing w:after="0" w:line="240" w:lineRule="auto"/>
              <w:rPr>
                <w:rFonts w:eastAsia="Times New Roman"/>
                <w:i/>
                <w:iCs/>
              </w:rPr>
            </w:pPr>
          </w:p>
        </w:tc>
        <w:tc>
          <w:tcPr>
            <w:tcW w:w="130" w:type="pct"/>
            <w:tcBorders>
              <w:top w:val="nil"/>
              <w:left w:val="nil"/>
              <w:right w:val="nil"/>
            </w:tcBorders>
          </w:tcPr>
          <w:p w:rsidR="0016632A" w:rsidRPr="008B1557" w:rsidRDefault="0016632A" w:rsidP="00D25386">
            <w:pPr>
              <w:spacing w:after="0" w:line="240" w:lineRule="auto"/>
              <w:rPr>
                <w:rFonts w:eastAsia="Times New Roman"/>
              </w:rPr>
            </w:pPr>
          </w:p>
        </w:tc>
        <w:tc>
          <w:tcPr>
            <w:tcW w:w="2311" w:type="pct"/>
            <w:tcBorders>
              <w:top w:val="nil"/>
              <w:left w:val="nil"/>
              <w:right w:val="nil"/>
            </w:tcBorders>
            <w:shd w:val="clear" w:color="auto" w:fill="auto"/>
            <w:noWrap/>
          </w:tcPr>
          <w:p w:rsidR="0016632A" w:rsidRPr="008B1557" w:rsidRDefault="0016632A" w:rsidP="00D25386">
            <w:pPr>
              <w:spacing w:after="0" w:line="240" w:lineRule="auto"/>
              <w:rPr>
                <w:rFonts w:eastAsia="Times New Roman"/>
              </w:rPr>
            </w:pPr>
          </w:p>
        </w:tc>
        <w:tc>
          <w:tcPr>
            <w:tcW w:w="1815" w:type="pct"/>
            <w:tcBorders>
              <w:top w:val="nil"/>
              <w:left w:val="nil"/>
              <w:right w:val="nil"/>
            </w:tcBorders>
            <w:shd w:val="clear" w:color="auto" w:fill="auto"/>
            <w:noWrap/>
          </w:tcPr>
          <w:p w:rsidR="0016632A" w:rsidRPr="008B1557" w:rsidRDefault="0016632A" w:rsidP="00D25386">
            <w:pPr>
              <w:spacing w:after="0" w:line="240" w:lineRule="auto"/>
              <w:rPr>
                <w:rFonts w:eastAsia="Times New Roman"/>
              </w:rPr>
            </w:pPr>
          </w:p>
        </w:tc>
      </w:tr>
      <w:tr w:rsidR="0016632A" w:rsidRPr="00B70376" w:rsidTr="00D25386">
        <w:trPr>
          <w:trHeight w:val="261"/>
        </w:trPr>
        <w:tc>
          <w:tcPr>
            <w:tcW w:w="744" w:type="pct"/>
            <w:tcBorders>
              <w:top w:val="nil"/>
              <w:left w:val="nil"/>
              <w:bottom w:val="double" w:sz="4" w:space="0" w:color="auto"/>
              <w:right w:val="nil"/>
            </w:tcBorders>
            <w:shd w:val="clear" w:color="auto" w:fill="auto"/>
            <w:noWrap/>
            <w:hideMark/>
          </w:tcPr>
          <w:p w:rsidR="0016632A" w:rsidRPr="008B1557" w:rsidRDefault="0016632A" w:rsidP="00D25386">
            <w:pPr>
              <w:spacing w:after="0" w:line="240" w:lineRule="auto"/>
              <w:rPr>
                <w:rFonts w:eastAsia="Times New Roman"/>
                <w:i/>
                <w:iCs/>
              </w:rPr>
            </w:pPr>
            <w:r w:rsidRPr="00B70376">
              <w:rPr>
                <w:rFonts w:eastAsia="Times New Roman"/>
                <w:i/>
                <w:iCs/>
              </w:rPr>
              <w:t>S</w:t>
            </w:r>
            <w:r w:rsidRPr="008B1557">
              <w:rPr>
                <w:rFonts w:eastAsia="Times New Roman"/>
                <w:i/>
                <w:iCs/>
              </w:rPr>
              <w:t>hadow</w:t>
            </w:r>
          </w:p>
        </w:tc>
        <w:tc>
          <w:tcPr>
            <w:tcW w:w="130" w:type="pct"/>
            <w:tcBorders>
              <w:top w:val="nil"/>
              <w:left w:val="nil"/>
              <w:bottom w:val="double" w:sz="4" w:space="0" w:color="auto"/>
              <w:right w:val="nil"/>
            </w:tcBorders>
          </w:tcPr>
          <w:p w:rsidR="0016632A" w:rsidRPr="008B1557" w:rsidRDefault="0016632A" w:rsidP="00D25386">
            <w:pPr>
              <w:spacing w:after="0" w:line="240" w:lineRule="auto"/>
              <w:rPr>
                <w:rFonts w:eastAsia="Times New Roman"/>
              </w:rPr>
            </w:pPr>
          </w:p>
        </w:tc>
        <w:tc>
          <w:tcPr>
            <w:tcW w:w="2311" w:type="pct"/>
            <w:tcBorders>
              <w:top w:val="nil"/>
              <w:left w:val="nil"/>
              <w:bottom w:val="double" w:sz="4" w:space="0" w:color="auto"/>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Size of the shadow economy</w:t>
            </w:r>
          </w:p>
        </w:tc>
        <w:tc>
          <w:tcPr>
            <w:tcW w:w="1815" w:type="pct"/>
            <w:tcBorders>
              <w:top w:val="nil"/>
              <w:left w:val="nil"/>
              <w:bottom w:val="double" w:sz="4" w:space="0" w:color="auto"/>
              <w:right w:val="nil"/>
            </w:tcBorders>
            <w:shd w:val="clear" w:color="auto" w:fill="auto"/>
            <w:noWrap/>
            <w:hideMark/>
          </w:tcPr>
          <w:p w:rsidR="0016632A" w:rsidRPr="008B1557" w:rsidRDefault="0016632A" w:rsidP="00D25386">
            <w:pPr>
              <w:spacing w:after="0" w:line="240" w:lineRule="auto"/>
              <w:rPr>
                <w:rFonts w:eastAsia="Times New Roman"/>
              </w:rPr>
            </w:pPr>
            <w:r w:rsidRPr="008B1557">
              <w:rPr>
                <w:rFonts w:eastAsia="Times New Roman"/>
              </w:rPr>
              <w:t>Dreher and Schneider (2010)</w:t>
            </w:r>
          </w:p>
        </w:tc>
      </w:tr>
    </w:tbl>
    <w:p w:rsidR="0016632A" w:rsidRPr="00B70376" w:rsidRDefault="0016632A" w:rsidP="0016632A">
      <w:pPr>
        <w:spacing w:line="360" w:lineRule="auto"/>
        <w:jc w:val="both"/>
        <w:rPr>
          <w:rFonts w:eastAsiaTheme="minorEastAsia"/>
        </w:rPr>
      </w:pPr>
    </w:p>
    <w:p w:rsidR="0016632A" w:rsidRPr="00B70376" w:rsidRDefault="0016632A" w:rsidP="0016632A">
      <w:pPr>
        <w:spacing w:line="360" w:lineRule="auto"/>
        <w:jc w:val="both"/>
        <w:rPr>
          <w:rFonts w:eastAsiaTheme="minorEastAsia"/>
        </w:rPr>
      </w:pPr>
      <w:r w:rsidRPr="00B70376">
        <w:rPr>
          <w:rFonts w:eastAsiaTheme="minorEastAsia"/>
        </w:rPr>
        <w:br w:type="page"/>
      </w:r>
    </w:p>
    <w:p w:rsidR="0016632A" w:rsidRPr="00FD0222" w:rsidRDefault="0016632A" w:rsidP="0016632A">
      <w:pPr>
        <w:spacing w:line="360" w:lineRule="auto"/>
        <w:jc w:val="center"/>
        <w:rPr>
          <w:rFonts w:eastAsiaTheme="minorEastAsia"/>
          <w:b/>
          <w:sz w:val="30"/>
          <w:szCs w:val="30"/>
          <w:lang w:val="fr-FR"/>
        </w:rPr>
      </w:pPr>
      <w:r w:rsidRPr="00FD0222">
        <w:rPr>
          <w:rFonts w:eastAsiaTheme="minorEastAsia"/>
          <w:b/>
          <w:sz w:val="30"/>
          <w:szCs w:val="30"/>
          <w:lang w:val="fr-FR"/>
        </w:rPr>
        <w:lastRenderedPageBreak/>
        <w:t>Appendix B: Literature on intelligence (IQ)</w:t>
      </w:r>
    </w:p>
    <w:tbl>
      <w:tblPr>
        <w:tblW w:w="9388" w:type="dxa"/>
        <w:tblInd w:w="93" w:type="dxa"/>
        <w:tblLook w:val="04A0"/>
      </w:tblPr>
      <w:tblGrid>
        <w:gridCol w:w="340"/>
        <w:gridCol w:w="2941"/>
        <w:gridCol w:w="428"/>
        <w:gridCol w:w="883"/>
        <w:gridCol w:w="428"/>
        <w:gridCol w:w="939"/>
        <w:gridCol w:w="428"/>
        <w:gridCol w:w="2573"/>
        <w:gridCol w:w="428"/>
      </w:tblGrid>
      <w:tr w:rsidR="0016632A" w:rsidRPr="00B70376" w:rsidTr="00D25386">
        <w:trPr>
          <w:gridAfter w:val="1"/>
          <w:wAfter w:w="428" w:type="dxa"/>
          <w:trHeight w:val="103"/>
        </w:trPr>
        <w:tc>
          <w:tcPr>
            <w:tcW w:w="8960" w:type="dxa"/>
            <w:gridSpan w:val="8"/>
            <w:tcBorders>
              <w:top w:val="nil"/>
              <w:left w:val="nil"/>
              <w:bottom w:val="nil"/>
              <w:right w:val="nil"/>
            </w:tcBorders>
            <w:shd w:val="clear" w:color="auto" w:fill="auto"/>
            <w:noWrap/>
            <w:vAlign w:val="bottom"/>
            <w:hideMark/>
          </w:tcPr>
          <w:p w:rsidR="0016632A" w:rsidRPr="008B1557" w:rsidRDefault="0016632A" w:rsidP="00D25386">
            <w:pPr>
              <w:spacing w:line="360" w:lineRule="auto"/>
              <w:jc w:val="both"/>
              <w:rPr>
                <w:rFonts w:eastAsiaTheme="minorEastAsia"/>
                <w:b/>
              </w:rPr>
            </w:pPr>
            <w:r w:rsidRPr="00B70376">
              <w:rPr>
                <w:rFonts w:eastAsiaTheme="minorEastAsia"/>
                <w:b/>
              </w:rPr>
              <w:t xml:space="preserve">Table B1. </w:t>
            </w:r>
            <w:r w:rsidRPr="008B1557">
              <w:rPr>
                <w:rFonts w:eastAsiaTheme="minorEastAsia"/>
                <w:b/>
              </w:rPr>
              <w:t>Correlations between national IQ and various economic variables</w:t>
            </w: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Variable</w:t>
            </w:r>
          </w:p>
        </w:tc>
        <w:tc>
          <w:tcPr>
            <w:tcW w:w="1311" w:type="dxa"/>
            <w:gridSpan w:val="2"/>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 countries</w:t>
            </w:r>
          </w:p>
        </w:tc>
        <w:tc>
          <w:tcPr>
            <w:tcW w:w="1367" w:type="dxa"/>
            <w:gridSpan w:val="2"/>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Correlation</w:t>
            </w:r>
          </w:p>
        </w:tc>
        <w:tc>
          <w:tcPr>
            <w:tcW w:w="3001" w:type="dxa"/>
            <w:gridSpan w:val="2"/>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Reference</w:t>
            </w: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 </w:t>
            </w:r>
          </w:p>
        </w:tc>
        <w:tc>
          <w:tcPr>
            <w:tcW w:w="1311" w:type="dxa"/>
            <w:gridSpan w:val="2"/>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 </w:t>
            </w:r>
          </w:p>
        </w:tc>
        <w:tc>
          <w:tcPr>
            <w:tcW w:w="1367" w:type="dxa"/>
            <w:gridSpan w:val="2"/>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 </w:t>
            </w:r>
          </w:p>
        </w:tc>
        <w:tc>
          <w:tcPr>
            <w:tcW w:w="3001" w:type="dxa"/>
            <w:gridSpan w:val="2"/>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b/>
                <w:bCs/>
                <w:color w:val="000000"/>
              </w:rPr>
            </w:pPr>
            <w:r w:rsidRPr="008B1557">
              <w:rPr>
                <w:rFonts w:eastAsia="Times New Roman"/>
                <w:b/>
                <w:bCs/>
                <w:color w:val="000000"/>
              </w:rPr>
              <w:t> </w:t>
            </w:r>
          </w:p>
        </w:tc>
      </w:tr>
      <w:tr w:rsidR="0016632A" w:rsidRPr="00B70376" w:rsidTr="00D25386">
        <w:trPr>
          <w:gridAfter w:val="1"/>
          <w:wAfter w:w="428" w:type="dxa"/>
          <w:trHeight w:val="103"/>
        </w:trPr>
        <w:tc>
          <w:tcPr>
            <w:tcW w:w="328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A. Education</w:t>
            </w:r>
          </w:p>
        </w:tc>
        <w:tc>
          <w:tcPr>
            <w:tcW w:w="131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1367"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300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TIMSS 1999</w:t>
            </w:r>
          </w:p>
        </w:tc>
        <w:tc>
          <w:tcPr>
            <w:tcW w:w="131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38</w:t>
            </w:r>
          </w:p>
        </w:tc>
        <w:tc>
          <w:tcPr>
            <w:tcW w:w="1367"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0.88</w:t>
            </w:r>
          </w:p>
        </w:tc>
        <w:tc>
          <w:tcPr>
            <w:tcW w:w="300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Science: TIMSS 1999</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Math/science: 1964/86</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age 10, 1994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27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Science: age 10, 1994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age 14, 1994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Science: age 14, 1994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PISA, 2000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Science: PISA, 2000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PISA, 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39</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Reading: age 10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Barber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age 10, 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Mikk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Science: age 10, 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Mikk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age 14, 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0.92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Mikk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Science: age 14, 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0.91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Mikk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science</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63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(2007)</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science, literarcy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Mikk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science</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73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(2009)</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science, literarcy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108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0.91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Meisenberg (2010)</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Math, science, literarcy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0.92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and Lynn (2011)</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years, literacy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78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(2004)</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Literacy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Barber (2005)</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 secondary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Barber (2005)</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Tertiary percent</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192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Adult literacy, 2002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192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Youth literacy: percent</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49</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et al. (2007)</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public expenditure</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0.25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et al. (2007)</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 secondary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98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Ram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adults</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school quantity/quality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158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Adult literacy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years</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years</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Education: years</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28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B. Income per capita</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GNP per capita, 1998</w:t>
            </w:r>
          </w:p>
        </w:tc>
        <w:tc>
          <w:tcPr>
            <w:tcW w:w="131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0.66</w:t>
            </w:r>
          </w:p>
        </w:tc>
        <w:tc>
          <w:tcPr>
            <w:tcW w:w="300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1996</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Real GDP per capita, 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GNP–PPP per capita, 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65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GNP per capita, 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Real GDP per capita, 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1996</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GNP–PPP per capita, 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141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GNI–PPP per capita, 2002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113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GNI–PPP per capita, 2002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192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 1975–2003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(2004)</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GNP per capita, 1976: linear</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Barber (2005)</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linear</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Dickerson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linear</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Dickerson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quadratic</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Dickerson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quadratic</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Dickerson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exponential</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Dickerson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exponential</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Dickerson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PPP, 1992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70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Jones and Schneider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2002: quadratic</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Whetzel and McDaniel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98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Ram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et al.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 per capita</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(2008b)</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2004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152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Morse (2008)</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2003–5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112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Gelade (2008)</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 per capita, 2003–5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112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Gelade (2008)</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129</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Templer (2008)</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77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Hunt and Wittmann (2008)</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 per capita, 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77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Hunt and Wittmann (2008)</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 per capita, 2005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35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Saadat (2008)</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GNI–PPP per capita, 2002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113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Rushton and Templer (2009)</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GDP–PPP, 1990–2005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84</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et al. (2009)</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GDP–PPP, 1975–2005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Log GDP, 1995–2005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28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 Economic Growth</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205"/>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1820–1900</w:t>
            </w:r>
          </w:p>
        </w:tc>
        <w:tc>
          <w:tcPr>
            <w:tcW w:w="131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26</w:t>
            </w:r>
          </w:p>
        </w:tc>
        <w:tc>
          <w:tcPr>
            <w:tcW w:w="1367"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0.57</w:t>
            </w:r>
          </w:p>
        </w:tc>
        <w:tc>
          <w:tcPr>
            <w:tcW w:w="300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1820–1992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1890–1910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28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0.21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1910–1992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47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1950–1990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166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0.45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GNP per capita, 1976–1998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148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0.45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1983–1996</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0.28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1987–1998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-0.01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GNP per capita, PPP, 1995–1998</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-0.01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1500–2000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109</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 1950–2001</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132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0.39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 1950–2001</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132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GDP per capita, 1990-2002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145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-0.06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growth, 1950-1990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0.44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 b)</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growth, 1975-2005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0.37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growth, 1975-2006</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71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0.47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28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 Economic 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tcPr>
          <w:p w:rsidR="0016632A" w:rsidRPr="008B1557" w:rsidRDefault="0016632A" w:rsidP="00D25386">
            <w:pPr>
              <w:spacing w:after="0" w:line="240" w:lineRule="auto"/>
              <w:jc w:val="right"/>
              <w:rPr>
                <w:rFonts w:eastAsia="Times New Roman"/>
                <w:color w:val="000000"/>
              </w:rPr>
            </w:pPr>
          </w:p>
        </w:tc>
        <w:tc>
          <w:tcPr>
            <w:tcW w:w="2941" w:type="dxa"/>
            <w:tcBorders>
              <w:top w:val="single" w:sz="4" w:space="0" w:color="auto"/>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freedom</w:t>
            </w:r>
          </w:p>
        </w:tc>
        <w:tc>
          <w:tcPr>
            <w:tcW w:w="131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59</w:t>
            </w:r>
          </w:p>
        </w:tc>
        <w:tc>
          <w:tcPr>
            <w:tcW w:w="1367"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0.76</w:t>
            </w:r>
          </w:p>
        </w:tc>
        <w:tc>
          <w:tcPr>
            <w:tcW w:w="300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(2004)</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tcPr>
          <w:p w:rsidR="0016632A" w:rsidRPr="008B1557" w:rsidRDefault="0016632A" w:rsidP="00D25386">
            <w:pPr>
              <w:spacing w:after="0" w:line="240" w:lineRule="auto"/>
              <w:jc w:val="right"/>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tcPr>
          <w:p w:rsidR="0016632A" w:rsidRPr="008B1557" w:rsidRDefault="0016632A" w:rsidP="00D25386">
            <w:pPr>
              <w:spacing w:after="0" w:line="240" w:lineRule="auto"/>
              <w:jc w:val="right"/>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freedom 1960-2000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165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tcPr>
          <w:p w:rsidR="0016632A" w:rsidRPr="008B1557" w:rsidRDefault="0016632A" w:rsidP="00D25386">
            <w:pPr>
              <w:spacing w:after="0" w:line="240" w:lineRule="auto"/>
              <w:jc w:val="right"/>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tcPr>
          <w:p w:rsidR="0016632A" w:rsidRPr="008B1557" w:rsidRDefault="0016632A" w:rsidP="00D25386">
            <w:pPr>
              <w:spacing w:after="0" w:line="240" w:lineRule="auto"/>
              <w:jc w:val="right"/>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Economic 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28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E. Income inequality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Income inequality</w:t>
            </w:r>
          </w:p>
        </w:tc>
        <w:tc>
          <w:tcPr>
            <w:tcW w:w="131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51</w:t>
            </w:r>
          </w:p>
        </w:tc>
        <w:tc>
          <w:tcPr>
            <w:tcW w:w="1367"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w:t>
            </w:r>
          </w:p>
        </w:tc>
        <w:tc>
          <w:tcPr>
            <w:tcW w:w="300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(2004)</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Income inequality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146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Income inequality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et al.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Income inequality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148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Income inequality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Kanazawa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Income inequality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28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F. Corruption</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1999-2003</w:t>
            </w:r>
          </w:p>
        </w:tc>
        <w:tc>
          <w:tcPr>
            <w:tcW w:w="131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-0.68</w:t>
            </w:r>
          </w:p>
        </w:tc>
        <w:tc>
          <w:tcPr>
            <w:tcW w:w="300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(2004)</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1999-2004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(2004)</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132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1999-2005</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et al.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1980-2003</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132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2006</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Potrafke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1996</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-0.27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Corruption, 1990-2000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and Lynn (2011)</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281" w:type="dxa"/>
            <w:gridSpan w:val="2"/>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G. Democracy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p>
        </w:tc>
      </w:tr>
      <w:tr w:rsidR="0016632A" w:rsidRPr="00B70376" w:rsidTr="00D25386">
        <w:trPr>
          <w:gridAfter w:val="1"/>
          <w:wAfter w:w="428" w:type="dxa"/>
          <w:trHeight w:val="103"/>
        </w:trPr>
        <w:tc>
          <w:tcPr>
            <w:tcW w:w="340" w:type="dxa"/>
            <w:tcBorders>
              <w:top w:val="single" w:sz="4" w:space="0" w:color="auto"/>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 </w:t>
            </w:r>
          </w:p>
        </w:tc>
        <w:tc>
          <w:tcPr>
            <w:tcW w:w="2941" w:type="dxa"/>
            <w:tcBorders>
              <w:top w:val="single" w:sz="4" w:space="0" w:color="auto"/>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Big government</w:t>
            </w:r>
          </w:p>
        </w:tc>
        <w:tc>
          <w:tcPr>
            <w:tcW w:w="131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138</w:t>
            </w:r>
          </w:p>
        </w:tc>
        <w:tc>
          <w:tcPr>
            <w:tcW w:w="1367"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-0.47</w:t>
            </w:r>
          </w:p>
        </w:tc>
        <w:tc>
          <w:tcPr>
            <w:tcW w:w="3001" w:type="dxa"/>
            <w:gridSpan w:val="2"/>
            <w:tcBorders>
              <w:top w:val="single" w:sz="4" w:space="0" w:color="auto"/>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(2008b)</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Bureaucracy: 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140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(2008b)</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 2002</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192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0.53</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and Vanhanen (2006)</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 1950–2004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183</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 1996–2000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(2008b)</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Vanhanen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 1950–2004</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84</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et al.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126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Democracy/freedom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(2012)</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Failed state index</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117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-0.58</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Voracek (2011)</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Institutional quality</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21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Jones (2011)</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Political 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(2004)</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Political 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55</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0.61</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Lynn et al. (2007)</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Political freedom/rights</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(2008b)</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Political freedom</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170</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0.49</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Meisenberg (2009)</w:t>
            </w:r>
          </w:p>
        </w:tc>
      </w:tr>
      <w:tr w:rsidR="0016632A" w:rsidRPr="00B70376" w:rsidTr="00D25386">
        <w:trPr>
          <w:gridAfter w:val="1"/>
          <w:wAfter w:w="428" w:type="dxa"/>
          <w:trHeight w:val="205"/>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Political freedom, 1997</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86</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0.62</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et al.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Power resources</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172</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0.75</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Vanhanen (2009)</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Property rights</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98</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0.17</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Ram (2007)</w:t>
            </w:r>
          </w:p>
        </w:tc>
      </w:tr>
      <w:tr w:rsidR="0016632A" w:rsidRPr="00B70376" w:rsidTr="00D25386">
        <w:trPr>
          <w:gridAfter w:val="1"/>
          <w:wAfter w:w="428" w:type="dxa"/>
          <w:trHeight w:val="103"/>
        </w:trPr>
        <w:tc>
          <w:tcPr>
            <w:tcW w:w="340" w:type="dxa"/>
            <w:tcBorders>
              <w:top w:val="nil"/>
              <w:left w:val="nil"/>
              <w:bottom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Rule of law, 1970–2000</w:t>
            </w:r>
          </w:p>
        </w:tc>
        <w:tc>
          <w:tcPr>
            <w:tcW w:w="131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131</w:t>
            </w:r>
          </w:p>
        </w:tc>
        <w:tc>
          <w:tcPr>
            <w:tcW w:w="1367"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0.64</w:t>
            </w:r>
          </w:p>
        </w:tc>
        <w:tc>
          <w:tcPr>
            <w:tcW w:w="3001" w:type="dxa"/>
            <w:gridSpan w:val="2"/>
            <w:tcBorders>
              <w:top w:val="nil"/>
              <w:left w:val="nil"/>
              <w:bottom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(2008a)</w:t>
            </w:r>
          </w:p>
        </w:tc>
      </w:tr>
      <w:tr w:rsidR="0016632A" w:rsidRPr="00B70376" w:rsidTr="00D25386">
        <w:trPr>
          <w:gridAfter w:val="1"/>
          <w:wAfter w:w="428" w:type="dxa"/>
          <w:trHeight w:val="103"/>
        </w:trPr>
        <w:tc>
          <w:tcPr>
            <w:tcW w:w="340" w:type="dxa"/>
            <w:tcBorders>
              <w:top w:val="nil"/>
              <w:left w:val="nil"/>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Rule of law, 2000</w:t>
            </w:r>
          </w:p>
        </w:tc>
        <w:tc>
          <w:tcPr>
            <w:tcW w:w="1311" w:type="dxa"/>
            <w:gridSpan w:val="2"/>
            <w:tcBorders>
              <w:top w:val="nil"/>
              <w:left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17</w:t>
            </w:r>
          </w:p>
        </w:tc>
        <w:tc>
          <w:tcPr>
            <w:tcW w:w="1367" w:type="dxa"/>
            <w:gridSpan w:val="2"/>
            <w:tcBorders>
              <w:top w:val="nil"/>
              <w:left w:val="nil"/>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0.82</w:t>
            </w:r>
          </w:p>
        </w:tc>
        <w:tc>
          <w:tcPr>
            <w:tcW w:w="3001" w:type="dxa"/>
            <w:gridSpan w:val="2"/>
            <w:tcBorders>
              <w:top w:val="nil"/>
              <w:left w:val="nil"/>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(2008b)</w:t>
            </w:r>
          </w:p>
        </w:tc>
      </w:tr>
      <w:tr w:rsidR="0016632A" w:rsidRPr="00B70376" w:rsidTr="00D25386">
        <w:trPr>
          <w:gridAfter w:val="1"/>
          <w:wAfter w:w="428" w:type="dxa"/>
          <w:trHeight w:val="103"/>
        </w:trPr>
        <w:tc>
          <w:tcPr>
            <w:tcW w:w="340" w:type="dxa"/>
            <w:tcBorders>
              <w:top w:val="nil"/>
              <w:left w:val="nil"/>
              <w:bottom w:val="double" w:sz="4" w:space="0" w:color="auto"/>
              <w:right w:val="nil"/>
            </w:tcBorders>
            <w:shd w:val="clear" w:color="auto" w:fill="auto"/>
            <w:noWrap/>
            <w:vAlign w:val="bottom"/>
            <w:hideMark/>
          </w:tcPr>
          <w:p w:rsidR="0016632A" w:rsidRPr="008B1557" w:rsidRDefault="0016632A" w:rsidP="00D25386">
            <w:pPr>
              <w:spacing w:after="0" w:line="240" w:lineRule="auto"/>
              <w:rPr>
                <w:rFonts w:eastAsia="Times New Roman"/>
                <w:color w:val="000000"/>
              </w:rPr>
            </w:pPr>
          </w:p>
        </w:tc>
        <w:tc>
          <w:tcPr>
            <w:tcW w:w="2941" w:type="dxa"/>
            <w:tcBorders>
              <w:top w:val="nil"/>
              <w:left w:val="nil"/>
              <w:bottom w:val="double" w:sz="4" w:space="0" w:color="auto"/>
              <w:right w:val="nil"/>
            </w:tcBorders>
            <w:shd w:val="clear" w:color="auto" w:fill="auto"/>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Rule of law, 1970–2000</w:t>
            </w:r>
          </w:p>
        </w:tc>
        <w:tc>
          <w:tcPr>
            <w:tcW w:w="1311" w:type="dxa"/>
            <w:gridSpan w:val="2"/>
            <w:tcBorders>
              <w:top w:val="nil"/>
              <w:left w:val="nil"/>
              <w:bottom w:val="double" w:sz="4" w:space="0" w:color="auto"/>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84</w:t>
            </w:r>
          </w:p>
        </w:tc>
        <w:tc>
          <w:tcPr>
            <w:tcW w:w="1367" w:type="dxa"/>
            <w:gridSpan w:val="2"/>
            <w:tcBorders>
              <w:top w:val="nil"/>
              <w:left w:val="nil"/>
              <w:bottom w:val="double" w:sz="4" w:space="0" w:color="auto"/>
              <w:right w:val="nil"/>
            </w:tcBorders>
            <w:shd w:val="clear" w:color="auto" w:fill="auto"/>
            <w:noWrap/>
            <w:vAlign w:val="center"/>
            <w:hideMark/>
          </w:tcPr>
          <w:p w:rsidR="0016632A" w:rsidRPr="008B1557" w:rsidRDefault="0016632A" w:rsidP="00D25386">
            <w:pPr>
              <w:spacing w:after="0" w:line="240" w:lineRule="auto"/>
              <w:jc w:val="center"/>
              <w:rPr>
                <w:rFonts w:eastAsia="Times New Roman"/>
                <w:color w:val="000000"/>
              </w:rPr>
            </w:pPr>
            <w:r w:rsidRPr="008B1557">
              <w:rPr>
                <w:rFonts w:eastAsia="Times New Roman"/>
                <w:color w:val="000000"/>
              </w:rPr>
              <w:t>0.62</w:t>
            </w:r>
          </w:p>
        </w:tc>
        <w:tc>
          <w:tcPr>
            <w:tcW w:w="3001" w:type="dxa"/>
            <w:gridSpan w:val="2"/>
            <w:tcBorders>
              <w:top w:val="nil"/>
              <w:left w:val="nil"/>
              <w:bottom w:val="double" w:sz="4" w:space="0" w:color="auto"/>
              <w:right w:val="nil"/>
            </w:tcBorders>
            <w:shd w:val="clear" w:color="auto" w:fill="auto"/>
            <w:noWrap/>
            <w:vAlign w:val="center"/>
            <w:hideMark/>
          </w:tcPr>
          <w:p w:rsidR="0016632A" w:rsidRPr="008B1557" w:rsidRDefault="0016632A" w:rsidP="00D25386">
            <w:pPr>
              <w:spacing w:after="0" w:line="240" w:lineRule="auto"/>
              <w:rPr>
                <w:rFonts w:eastAsia="Times New Roman"/>
                <w:color w:val="000000"/>
              </w:rPr>
            </w:pPr>
            <w:r w:rsidRPr="008B1557">
              <w:rPr>
                <w:rFonts w:eastAsia="Times New Roman"/>
                <w:color w:val="000000"/>
              </w:rPr>
              <w:t>Rindermann et al. (2009)</w:t>
            </w:r>
          </w:p>
        </w:tc>
      </w:tr>
      <w:tr w:rsidR="0016632A" w:rsidRPr="00625371" w:rsidTr="00D25386">
        <w:trPr>
          <w:trHeight w:val="107"/>
        </w:trPr>
        <w:tc>
          <w:tcPr>
            <w:tcW w:w="3709" w:type="dxa"/>
            <w:gridSpan w:val="3"/>
            <w:tcBorders>
              <w:top w:val="nil"/>
              <w:left w:val="nil"/>
              <w:bottom w:val="nil"/>
              <w:right w:val="nil"/>
            </w:tcBorders>
            <w:shd w:val="clear" w:color="auto" w:fill="auto"/>
            <w:noWrap/>
            <w:vAlign w:val="bottom"/>
            <w:hideMark/>
          </w:tcPr>
          <w:p w:rsidR="0016632A" w:rsidRPr="00625371" w:rsidRDefault="0016632A" w:rsidP="00D25386">
            <w:pPr>
              <w:spacing w:after="0" w:line="240" w:lineRule="auto"/>
              <w:rPr>
                <w:rFonts w:eastAsia="Times New Roman"/>
                <w:color w:val="000000"/>
                <w:sz w:val="20"/>
                <w:szCs w:val="20"/>
              </w:rPr>
            </w:pPr>
            <w:r w:rsidRPr="00625371">
              <w:rPr>
                <w:rFonts w:eastAsia="Times New Roman"/>
                <w:color w:val="000000"/>
                <w:sz w:val="20"/>
                <w:szCs w:val="20"/>
              </w:rPr>
              <w:t>Source: Lynn and Vanhanen (2012)</w:t>
            </w:r>
          </w:p>
        </w:tc>
        <w:tc>
          <w:tcPr>
            <w:tcW w:w="1311" w:type="dxa"/>
            <w:gridSpan w:val="2"/>
            <w:tcBorders>
              <w:top w:val="nil"/>
              <w:left w:val="nil"/>
              <w:bottom w:val="nil"/>
              <w:right w:val="nil"/>
            </w:tcBorders>
            <w:shd w:val="clear" w:color="auto" w:fill="auto"/>
            <w:noWrap/>
            <w:vAlign w:val="bottom"/>
            <w:hideMark/>
          </w:tcPr>
          <w:p w:rsidR="0016632A" w:rsidRPr="00625371" w:rsidRDefault="0016632A" w:rsidP="00D25386">
            <w:pPr>
              <w:spacing w:after="0" w:line="240" w:lineRule="auto"/>
              <w:rPr>
                <w:rFonts w:eastAsia="Times New Roman"/>
                <w:color w:val="000000"/>
              </w:rPr>
            </w:pPr>
          </w:p>
        </w:tc>
        <w:tc>
          <w:tcPr>
            <w:tcW w:w="1367" w:type="dxa"/>
            <w:gridSpan w:val="2"/>
            <w:tcBorders>
              <w:top w:val="nil"/>
              <w:left w:val="nil"/>
              <w:bottom w:val="nil"/>
              <w:right w:val="nil"/>
            </w:tcBorders>
            <w:shd w:val="clear" w:color="auto" w:fill="auto"/>
            <w:noWrap/>
            <w:vAlign w:val="bottom"/>
            <w:hideMark/>
          </w:tcPr>
          <w:p w:rsidR="0016632A" w:rsidRPr="00625371" w:rsidRDefault="0016632A" w:rsidP="00D25386">
            <w:pPr>
              <w:spacing w:after="0" w:line="240" w:lineRule="auto"/>
              <w:rPr>
                <w:rFonts w:eastAsia="Times New Roman"/>
                <w:color w:val="000000"/>
              </w:rPr>
            </w:pPr>
          </w:p>
        </w:tc>
        <w:tc>
          <w:tcPr>
            <w:tcW w:w="3001" w:type="dxa"/>
            <w:gridSpan w:val="2"/>
            <w:tcBorders>
              <w:top w:val="nil"/>
              <w:left w:val="nil"/>
              <w:bottom w:val="nil"/>
              <w:right w:val="nil"/>
            </w:tcBorders>
            <w:shd w:val="clear" w:color="auto" w:fill="auto"/>
            <w:noWrap/>
            <w:vAlign w:val="bottom"/>
            <w:hideMark/>
          </w:tcPr>
          <w:p w:rsidR="0016632A" w:rsidRPr="00625371" w:rsidRDefault="0016632A" w:rsidP="00D25386">
            <w:pPr>
              <w:spacing w:after="0" w:line="240" w:lineRule="auto"/>
              <w:rPr>
                <w:rFonts w:eastAsia="Times New Roman"/>
                <w:color w:val="000000"/>
              </w:rPr>
            </w:pPr>
          </w:p>
        </w:tc>
      </w:tr>
    </w:tbl>
    <w:p w:rsidR="0016632A" w:rsidRDefault="0016632A" w:rsidP="0016632A">
      <w:pPr>
        <w:spacing w:line="360" w:lineRule="auto"/>
        <w:jc w:val="both"/>
        <w:rPr>
          <w:rFonts w:eastAsiaTheme="minorEastAsia"/>
        </w:rPr>
      </w:pPr>
    </w:p>
    <w:p w:rsidR="0016632A" w:rsidRPr="00B70376" w:rsidRDefault="0016632A" w:rsidP="0016632A">
      <w:pPr>
        <w:spacing w:line="360" w:lineRule="auto"/>
        <w:jc w:val="both"/>
        <w:rPr>
          <w:rFonts w:eastAsiaTheme="minorEastAsia"/>
        </w:rPr>
      </w:pPr>
    </w:p>
    <w:p w:rsidR="0016632A" w:rsidRPr="00B70376" w:rsidRDefault="0016632A" w:rsidP="0016632A">
      <w:pPr>
        <w:rPr>
          <w:rFonts w:eastAsiaTheme="minorEastAsia"/>
          <w:b/>
        </w:rPr>
      </w:pPr>
      <w:r w:rsidRPr="00B70376">
        <w:rPr>
          <w:rFonts w:eastAsiaTheme="minorEastAsia"/>
          <w:b/>
        </w:rPr>
        <w:t>Additional References (mentioned in Table B1)</w:t>
      </w:r>
    </w:p>
    <w:p w:rsidR="0016632A" w:rsidRPr="00B70376" w:rsidRDefault="0016632A" w:rsidP="0016632A">
      <w:pPr>
        <w:spacing w:after="0" w:line="240" w:lineRule="auto"/>
        <w:ind w:left="720" w:hanging="720"/>
        <w:jc w:val="both"/>
        <w:rPr>
          <w:noProof/>
        </w:rPr>
      </w:pPr>
      <w:r w:rsidRPr="00B70376">
        <w:rPr>
          <w:noProof/>
        </w:rPr>
        <w:t xml:space="preserve">Barber N </w:t>
      </w:r>
      <w:r>
        <w:rPr>
          <w:noProof/>
        </w:rPr>
        <w:t>(</w:t>
      </w:r>
      <w:r w:rsidRPr="00B70376">
        <w:rPr>
          <w:noProof/>
        </w:rPr>
        <w:t>2005</w:t>
      </w:r>
      <w:r>
        <w:rPr>
          <w:noProof/>
        </w:rPr>
        <w:t>)</w:t>
      </w:r>
      <w:r w:rsidRPr="00B70376">
        <w:rPr>
          <w:noProof/>
        </w:rPr>
        <w:t xml:space="preserve"> Educational and ecological correlates of IQ: A cross-national investigation. Intelligence 33</w:t>
      </w:r>
      <w:r>
        <w:rPr>
          <w:noProof/>
        </w:rPr>
        <w:t>:</w:t>
      </w:r>
      <w:r w:rsidRPr="00B70376">
        <w:rPr>
          <w:noProof/>
        </w:rPr>
        <w:t>273-284</w:t>
      </w:r>
    </w:p>
    <w:p w:rsidR="0016632A" w:rsidRPr="00B70376" w:rsidRDefault="0016632A" w:rsidP="0016632A">
      <w:pPr>
        <w:spacing w:after="0" w:line="240" w:lineRule="auto"/>
        <w:ind w:left="720" w:hanging="720"/>
        <w:jc w:val="both"/>
        <w:rPr>
          <w:noProof/>
        </w:rPr>
      </w:pPr>
      <w:r w:rsidRPr="00B70376">
        <w:rPr>
          <w:noProof/>
        </w:rPr>
        <w:t xml:space="preserve">Barber N </w:t>
      </w:r>
      <w:r>
        <w:rPr>
          <w:noProof/>
        </w:rPr>
        <w:t>(</w:t>
      </w:r>
      <w:r w:rsidRPr="00B70376">
        <w:rPr>
          <w:noProof/>
        </w:rPr>
        <w:t>2006</w:t>
      </w:r>
      <w:r>
        <w:rPr>
          <w:noProof/>
        </w:rPr>
        <w:t>)</w:t>
      </w:r>
      <w:r w:rsidRPr="00B70376">
        <w:rPr>
          <w:noProof/>
        </w:rPr>
        <w:t xml:space="preserve"> Is the effect of national wealth on academic achievement mediated by mass media and computers?. Cross-Cult Res 40</w:t>
      </w:r>
      <w:r>
        <w:rPr>
          <w:noProof/>
        </w:rPr>
        <w:t>:</w:t>
      </w:r>
      <w:r w:rsidRPr="00B70376">
        <w:rPr>
          <w:noProof/>
        </w:rPr>
        <w:t>130-151</w:t>
      </w:r>
    </w:p>
    <w:p w:rsidR="0016632A" w:rsidRPr="00B70376" w:rsidRDefault="0016632A" w:rsidP="0016632A">
      <w:pPr>
        <w:spacing w:after="0" w:line="240" w:lineRule="auto"/>
        <w:ind w:left="720" w:hanging="720"/>
        <w:jc w:val="both"/>
        <w:rPr>
          <w:noProof/>
        </w:rPr>
      </w:pPr>
      <w:r w:rsidRPr="00B70376">
        <w:rPr>
          <w:noProof/>
        </w:rPr>
        <w:t xml:space="preserve">Dickerson RE </w:t>
      </w:r>
      <w:r>
        <w:rPr>
          <w:noProof/>
        </w:rPr>
        <w:t>(</w:t>
      </w:r>
      <w:r w:rsidRPr="00B70376">
        <w:rPr>
          <w:noProof/>
        </w:rPr>
        <w:t>2006</w:t>
      </w:r>
      <w:r>
        <w:rPr>
          <w:noProof/>
        </w:rPr>
        <w:t>)</w:t>
      </w:r>
      <w:r w:rsidRPr="00B70376">
        <w:rPr>
          <w:noProof/>
        </w:rPr>
        <w:t xml:space="preserve"> Exponential correlation of IQ and the wealth of nations. Intelligence 34</w:t>
      </w:r>
      <w:r>
        <w:rPr>
          <w:noProof/>
        </w:rPr>
        <w:t>:</w:t>
      </w:r>
      <w:r w:rsidRPr="00B70376">
        <w:rPr>
          <w:noProof/>
        </w:rPr>
        <w:t>291-295</w:t>
      </w:r>
    </w:p>
    <w:p w:rsidR="0016632A" w:rsidRPr="00B70376" w:rsidRDefault="0016632A" w:rsidP="0016632A">
      <w:pPr>
        <w:spacing w:after="0" w:line="240" w:lineRule="auto"/>
        <w:ind w:left="720" w:hanging="720"/>
        <w:jc w:val="both"/>
        <w:rPr>
          <w:noProof/>
        </w:rPr>
      </w:pPr>
      <w:bookmarkStart w:id="0" w:name="_ENREF_15"/>
      <w:r w:rsidRPr="00B70376">
        <w:rPr>
          <w:noProof/>
        </w:rPr>
        <w:t xml:space="preserve">Gelade GA </w:t>
      </w:r>
      <w:r>
        <w:rPr>
          <w:noProof/>
        </w:rPr>
        <w:t>(</w:t>
      </w:r>
      <w:r w:rsidRPr="00B70376">
        <w:rPr>
          <w:noProof/>
        </w:rPr>
        <w:t>2008</w:t>
      </w:r>
      <w:r>
        <w:rPr>
          <w:noProof/>
        </w:rPr>
        <w:t>)</w:t>
      </w:r>
      <w:r w:rsidRPr="00B70376">
        <w:rPr>
          <w:noProof/>
        </w:rPr>
        <w:t xml:space="preserve"> IQ, cultural values, and the technological achieveme</w:t>
      </w:r>
      <w:r>
        <w:rPr>
          <w:noProof/>
        </w:rPr>
        <w:t>nt of nations. Intelligence 36:</w:t>
      </w:r>
      <w:r w:rsidRPr="00B70376">
        <w:rPr>
          <w:noProof/>
        </w:rPr>
        <w:t>711-718</w:t>
      </w:r>
      <w:bookmarkEnd w:id="0"/>
    </w:p>
    <w:p w:rsidR="0016632A" w:rsidRPr="00B70376" w:rsidRDefault="0016632A" w:rsidP="0016632A">
      <w:pPr>
        <w:spacing w:after="0" w:line="240" w:lineRule="auto"/>
        <w:ind w:left="720" w:hanging="720"/>
        <w:jc w:val="both"/>
        <w:rPr>
          <w:noProof/>
        </w:rPr>
      </w:pPr>
      <w:bookmarkStart w:id="1" w:name="_ENREF_22"/>
      <w:r w:rsidRPr="00B70376">
        <w:rPr>
          <w:noProof/>
        </w:rPr>
        <w:t xml:space="preserve">Hunt E, Wittmann W </w:t>
      </w:r>
      <w:r>
        <w:rPr>
          <w:noProof/>
        </w:rPr>
        <w:t>(</w:t>
      </w:r>
      <w:r w:rsidRPr="00B70376">
        <w:rPr>
          <w:noProof/>
        </w:rPr>
        <w:t>2008</w:t>
      </w:r>
      <w:r>
        <w:rPr>
          <w:noProof/>
        </w:rPr>
        <w:t>)</w:t>
      </w:r>
      <w:r w:rsidRPr="00B70376">
        <w:rPr>
          <w:noProof/>
        </w:rPr>
        <w:t xml:space="preserve"> National intelligence and national prosperity. Intelligence 36</w:t>
      </w:r>
      <w:r>
        <w:rPr>
          <w:noProof/>
        </w:rPr>
        <w:t>:</w:t>
      </w:r>
      <w:r w:rsidRPr="00B70376">
        <w:rPr>
          <w:noProof/>
        </w:rPr>
        <w:t>1-9</w:t>
      </w:r>
      <w:bookmarkEnd w:id="1"/>
    </w:p>
    <w:p w:rsidR="0016632A" w:rsidRPr="00B70376" w:rsidRDefault="0016632A" w:rsidP="0016632A">
      <w:pPr>
        <w:spacing w:after="0" w:line="240" w:lineRule="auto"/>
        <w:ind w:left="720" w:hanging="720"/>
        <w:jc w:val="both"/>
        <w:rPr>
          <w:noProof/>
        </w:rPr>
      </w:pPr>
      <w:r w:rsidRPr="00B70376">
        <w:rPr>
          <w:noProof/>
        </w:rPr>
        <w:t xml:space="preserve">Jones G </w:t>
      </w:r>
      <w:r>
        <w:rPr>
          <w:noProof/>
        </w:rPr>
        <w:t>(</w:t>
      </w:r>
      <w:r w:rsidRPr="00B70376">
        <w:rPr>
          <w:noProof/>
        </w:rPr>
        <w:t>2011</w:t>
      </w:r>
      <w:r>
        <w:rPr>
          <w:noProof/>
        </w:rPr>
        <w:t>)</w:t>
      </w:r>
      <w:r w:rsidRPr="00B70376">
        <w:rPr>
          <w:noProof/>
        </w:rPr>
        <w:t xml:space="preserve"> National IQ and national productivity: The hive mind across Asi</w:t>
      </w:r>
      <w:r>
        <w:rPr>
          <w:noProof/>
        </w:rPr>
        <w:t>a. Asian Development Review 28:</w:t>
      </w:r>
      <w:r w:rsidRPr="00B70376">
        <w:rPr>
          <w:noProof/>
        </w:rPr>
        <w:t>51-71</w:t>
      </w:r>
    </w:p>
    <w:p w:rsidR="0016632A" w:rsidRPr="00B70376" w:rsidRDefault="0016632A" w:rsidP="0016632A">
      <w:pPr>
        <w:spacing w:after="0" w:line="240" w:lineRule="auto"/>
        <w:ind w:left="720" w:hanging="720"/>
        <w:jc w:val="both"/>
        <w:rPr>
          <w:noProof/>
        </w:rPr>
      </w:pPr>
      <w:r w:rsidRPr="00B70376">
        <w:rPr>
          <w:noProof/>
        </w:rPr>
        <w:t xml:space="preserve">Jones G, Schneider WJ </w:t>
      </w:r>
      <w:r>
        <w:rPr>
          <w:noProof/>
        </w:rPr>
        <w:t>(</w:t>
      </w:r>
      <w:r w:rsidRPr="00B70376">
        <w:rPr>
          <w:noProof/>
        </w:rPr>
        <w:t>2006</w:t>
      </w:r>
      <w:r>
        <w:rPr>
          <w:noProof/>
        </w:rPr>
        <w:t>)</w:t>
      </w:r>
      <w:r w:rsidRPr="00B70376">
        <w:rPr>
          <w:noProof/>
        </w:rPr>
        <w:t xml:space="preserve"> Intelligence, human capital, and economic growth: A Bayesian averaging of classical estimates (BACE) approach. J</w:t>
      </w:r>
      <w:r>
        <w:rPr>
          <w:noProof/>
        </w:rPr>
        <w:t xml:space="preserve"> </w:t>
      </w:r>
      <w:r w:rsidRPr="00B70376">
        <w:rPr>
          <w:noProof/>
        </w:rPr>
        <w:t>Econ Growth 11</w:t>
      </w:r>
      <w:r>
        <w:rPr>
          <w:noProof/>
        </w:rPr>
        <w:t>:</w:t>
      </w:r>
      <w:r w:rsidRPr="00B70376">
        <w:rPr>
          <w:noProof/>
        </w:rPr>
        <w:t>71-93</w:t>
      </w:r>
    </w:p>
    <w:p w:rsidR="0016632A" w:rsidRPr="00656080" w:rsidRDefault="0016632A" w:rsidP="0016632A">
      <w:pPr>
        <w:spacing w:after="0" w:line="240" w:lineRule="auto"/>
        <w:ind w:left="720" w:hanging="720"/>
        <w:jc w:val="both"/>
        <w:rPr>
          <w:noProof/>
        </w:rPr>
      </w:pPr>
      <w:r w:rsidRPr="00B70376">
        <w:rPr>
          <w:noProof/>
        </w:rPr>
        <w:t xml:space="preserve">Kanazawa S </w:t>
      </w:r>
      <w:r>
        <w:rPr>
          <w:noProof/>
        </w:rPr>
        <w:t>(</w:t>
      </w:r>
      <w:r w:rsidRPr="00B70376">
        <w:rPr>
          <w:noProof/>
        </w:rPr>
        <w:t>2009</w:t>
      </w:r>
      <w:r>
        <w:rPr>
          <w:noProof/>
        </w:rPr>
        <w:t>)</w:t>
      </w:r>
      <w:r w:rsidRPr="00B70376">
        <w:rPr>
          <w:noProof/>
        </w:rPr>
        <w:t xml:space="preserve"> IQ and the values of nations. </w:t>
      </w:r>
      <w:r w:rsidRPr="00656080">
        <w:rPr>
          <w:noProof/>
        </w:rPr>
        <w:t>J Biosoc Sci 41:537-556</w:t>
      </w:r>
    </w:p>
    <w:p w:rsidR="0016632A" w:rsidRPr="00B70376" w:rsidRDefault="0016632A" w:rsidP="0016632A">
      <w:pPr>
        <w:spacing w:after="0" w:line="240" w:lineRule="auto"/>
        <w:ind w:left="720" w:hanging="720"/>
        <w:jc w:val="both"/>
        <w:rPr>
          <w:noProof/>
        </w:rPr>
      </w:pPr>
      <w:r w:rsidRPr="00605FE1">
        <w:rPr>
          <w:noProof/>
        </w:rPr>
        <w:t xml:space="preserve">Lynn R, Meisenberg G (2010) </w:t>
      </w:r>
      <w:r w:rsidRPr="00B70376">
        <w:rPr>
          <w:noProof/>
        </w:rPr>
        <w:t>National IQs calculated and validated fo</w:t>
      </w:r>
      <w:r>
        <w:rPr>
          <w:noProof/>
        </w:rPr>
        <w:t>r 108 nations. Intelligence 38:</w:t>
      </w:r>
      <w:r w:rsidRPr="00B70376">
        <w:rPr>
          <w:noProof/>
        </w:rPr>
        <w:t>353-360</w:t>
      </w:r>
    </w:p>
    <w:p w:rsidR="0016632A" w:rsidRPr="00B70376" w:rsidRDefault="0016632A" w:rsidP="0016632A">
      <w:pPr>
        <w:spacing w:after="0" w:line="240" w:lineRule="auto"/>
        <w:ind w:left="720" w:hanging="720"/>
        <w:jc w:val="both"/>
        <w:rPr>
          <w:noProof/>
        </w:rPr>
      </w:pPr>
      <w:r w:rsidRPr="00B70376">
        <w:rPr>
          <w:noProof/>
        </w:rPr>
        <w:t xml:space="preserve">Lynn R, Meisenberg G, Mikk J, Williams A </w:t>
      </w:r>
      <w:r>
        <w:rPr>
          <w:noProof/>
        </w:rPr>
        <w:t>(</w:t>
      </w:r>
      <w:r w:rsidRPr="00B70376">
        <w:rPr>
          <w:noProof/>
        </w:rPr>
        <w:t>2007</w:t>
      </w:r>
      <w:r>
        <w:rPr>
          <w:noProof/>
        </w:rPr>
        <w:t>)</w:t>
      </w:r>
      <w:r w:rsidRPr="00B70376">
        <w:rPr>
          <w:noProof/>
        </w:rPr>
        <w:t xml:space="preserve"> National differences in intelligenc</w:t>
      </w:r>
      <w:r>
        <w:rPr>
          <w:noProof/>
        </w:rPr>
        <w:t>e and educational attainment. J</w:t>
      </w:r>
      <w:r w:rsidRPr="00B70376">
        <w:rPr>
          <w:noProof/>
        </w:rPr>
        <w:t xml:space="preserve"> </w:t>
      </w:r>
      <w:r>
        <w:rPr>
          <w:noProof/>
        </w:rPr>
        <w:t>B</w:t>
      </w:r>
      <w:r w:rsidRPr="00B70376">
        <w:rPr>
          <w:noProof/>
        </w:rPr>
        <w:t xml:space="preserve">iosoc </w:t>
      </w:r>
      <w:r>
        <w:rPr>
          <w:noProof/>
        </w:rPr>
        <w:t>S</w:t>
      </w:r>
      <w:r w:rsidRPr="00B70376">
        <w:rPr>
          <w:noProof/>
        </w:rPr>
        <w:t>ci 39</w:t>
      </w:r>
      <w:r>
        <w:rPr>
          <w:noProof/>
        </w:rPr>
        <w:t>:</w:t>
      </w:r>
      <w:r w:rsidRPr="00B70376">
        <w:rPr>
          <w:noProof/>
        </w:rPr>
        <w:t>861-874</w:t>
      </w:r>
    </w:p>
    <w:p w:rsidR="0016632A" w:rsidRPr="00B70376" w:rsidRDefault="0016632A" w:rsidP="0016632A">
      <w:pPr>
        <w:spacing w:after="0" w:line="240" w:lineRule="auto"/>
        <w:ind w:left="720" w:hanging="720"/>
        <w:jc w:val="both"/>
        <w:rPr>
          <w:noProof/>
        </w:rPr>
      </w:pPr>
      <w:bookmarkStart w:id="2" w:name="_ENREF_33"/>
      <w:r w:rsidRPr="00B70376">
        <w:rPr>
          <w:noProof/>
        </w:rPr>
        <w:t xml:space="preserve">Lynn R, Mikk J </w:t>
      </w:r>
      <w:r>
        <w:rPr>
          <w:noProof/>
        </w:rPr>
        <w:t>(</w:t>
      </w:r>
      <w:r w:rsidRPr="00B70376">
        <w:rPr>
          <w:noProof/>
        </w:rPr>
        <w:t>2007</w:t>
      </w:r>
      <w:r>
        <w:rPr>
          <w:noProof/>
        </w:rPr>
        <w:t>)</w:t>
      </w:r>
      <w:r w:rsidRPr="00B70376">
        <w:rPr>
          <w:noProof/>
        </w:rPr>
        <w:t xml:space="preserve"> National differences in intelligence and education</w:t>
      </w:r>
      <w:r>
        <w:rPr>
          <w:noProof/>
        </w:rPr>
        <w:t>al attainment. Intelligence 35:</w:t>
      </w:r>
      <w:r w:rsidRPr="00B70376">
        <w:rPr>
          <w:noProof/>
        </w:rPr>
        <w:t>115-121</w:t>
      </w:r>
      <w:bookmarkEnd w:id="2"/>
    </w:p>
    <w:p w:rsidR="0016632A" w:rsidRPr="00B70376" w:rsidRDefault="0016632A" w:rsidP="0016632A">
      <w:pPr>
        <w:spacing w:after="0" w:line="240" w:lineRule="auto"/>
        <w:ind w:left="720" w:hanging="720"/>
        <w:jc w:val="both"/>
        <w:rPr>
          <w:noProof/>
        </w:rPr>
      </w:pPr>
      <w:r w:rsidRPr="00B70376">
        <w:rPr>
          <w:noProof/>
        </w:rPr>
        <w:t xml:space="preserve">Lynn R, Mikk J </w:t>
      </w:r>
      <w:r>
        <w:rPr>
          <w:noProof/>
        </w:rPr>
        <w:t>(</w:t>
      </w:r>
      <w:r w:rsidRPr="00B70376">
        <w:rPr>
          <w:noProof/>
        </w:rPr>
        <w:t>2009</w:t>
      </w:r>
      <w:r>
        <w:rPr>
          <w:noProof/>
        </w:rPr>
        <w:t>)</w:t>
      </w:r>
      <w:r w:rsidRPr="00B70376">
        <w:rPr>
          <w:noProof/>
        </w:rPr>
        <w:t xml:space="preserve"> National IQs predict educational attainment in math, reading and science a</w:t>
      </w:r>
      <w:r>
        <w:rPr>
          <w:noProof/>
        </w:rPr>
        <w:t>cross 56 nations. Intelligence</w:t>
      </w:r>
      <w:r w:rsidRPr="00B70376">
        <w:rPr>
          <w:noProof/>
        </w:rPr>
        <w:t xml:space="preserve"> 37</w:t>
      </w:r>
      <w:r>
        <w:rPr>
          <w:noProof/>
        </w:rPr>
        <w:t>:</w:t>
      </w:r>
      <w:r w:rsidRPr="00B70376">
        <w:rPr>
          <w:noProof/>
        </w:rPr>
        <w:t>305-310.</w:t>
      </w:r>
    </w:p>
    <w:p w:rsidR="0016632A" w:rsidRPr="00B70376" w:rsidRDefault="0016632A" w:rsidP="0016632A">
      <w:pPr>
        <w:spacing w:after="0" w:line="240" w:lineRule="auto"/>
        <w:ind w:left="720" w:hanging="720"/>
        <w:jc w:val="both"/>
        <w:rPr>
          <w:noProof/>
        </w:rPr>
      </w:pPr>
      <w:r w:rsidRPr="00B70376">
        <w:rPr>
          <w:noProof/>
        </w:rPr>
        <w:t xml:space="preserve">Lynn R, Vanhanen T </w:t>
      </w:r>
      <w:r>
        <w:rPr>
          <w:noProof/>
        </w:rPr>
        <w:t>(</w:t>
      </w:r>
      <w:r w:rsidRPr="00B70376">
        <w:rPr>
          <w:noProof/>
        </w:rPr>
        <w:t>2002</w:t>
      </w:r>
      <w:r>
        <w:rPr>
          <w:noProof/>
        </w:rPr>
        <w:t>)</w:t>
      </w:r>
      <w:r w:rsidRPr="00B70376">
        <w:rPr>
          <w:noProof/>
        </w:rPr>
        <w:t xml:space="preserve"> IQ and the wealth of nations. Greenwood Publishing Group.</w:t>
      </w:r>
    </w:p>
    <w:p w:rsidR="0016632A" w:rsidRPr="00B70376" w:rsidRDefault="0016632A" w:rsidP="0016632A">
      <w:pPr>
        <w:spacing w:after="0" w:line="240" w:lineRule="auto"/>
        <w:ind w:left="720" w:hanging="720"/>
        <w:jc w:val="both"/>
        <w:rPr>
          <w:noProof/>
        </w:rPr>
      </w:pPr>
      <w:r w:rsidRPr="00B70376">
        <w:rPr>
          <w:noProof/>
        </w:rPr>
        <w:t xml:space="preserve">Lynn R, Vanhanen T </w:t>
      </w:r>
      <w:r>
        <w:rPr>
          <w:noProof/>
        </w:rPr>
        <w:t>(</w:t>
      </w:r>
      <w:r w:rsidRPr="00B70376">
        <w:rPr>
          <w:noProof/>
        </w:rPr>
        <w:t>2006</w:t>
      </w:r>
      <w:r>
        <w:rPr>
          <w:noProof/>
        </w:rPr>
        <w:t>)</w:t>
      </w:r>
      <w:r w:rsidRPr="00B70376">
        <w:rPr>
          <w:noProof/>
        </w:rPr>
        <w:t xml:space="preserve"> IQ and global inequality. Washington Summit Publishers.</w:t>
      </w:r>
    </w:p>
    <w:p w:rsidR="0016632A" w:rsidRPr="00B70376" w:rsidRDefault="0016632A" w:rsidP="0016632A">
      <w:pPr>
        <w:spacing w:after="0" w:line="240" w:lineRule="auto"/>
        <w:ind w:left="720" w:hanging="720"/>
        <w:jc w:val="both"/>
        <w:rPr>
          <w:noProof/>
        </w:rPr>
      </w:pPr>
      <w:r w:rsidRPr="00B70376">
        <w:rPr>
          <w:noProof/>
        </w:rPr>
        <w:t xml:space="preserve">Meisenberg G </w:t>
      </w:r>
      <w:r>
        <w:rPr>
          <w:noProof/>
        </w:rPr>
        <w:t>(</w:t>
      </w:r>
      <w:r w:rsidRPr="00B70376">
        <w:rPr>
          <w:noProof/>
        </w:rPr>
        <w:t>2004</w:t>
      </w:r>
      <w:r>
        <w:rPr>
          <w:noProof/>
        </w:rPr>
        <w:t>)</w:t>
      </w:r>
      <w:r w:rsidRPr="00B70376">
        <w:rPr>
          <w:noProof/>
        </w:rPr>
        <w:t xml:space="preserve"> Talent, character, and the dimensions of nat</w:t>
      </w:r>
      <w:r>
        <w:rPr>
          <w:noProof/>
        </w:rPr>
        <w:t>ional culture. Mankind Quart</w:t>
      </w:r>
      <w:r w:rsidRPr="00B70376">
        <w:rPr>
          <w:noProof/>
        </w:rPr>
        <w:t xml:space="preserve"> 45</w:t>
      </w:r>
      <w:r>
        <w:rPr>
          <w:noProof/>
        </w:rPr>
        <w:t>:</w:t>
      </w:r>
      <w:r w:rsidRPr="00B70376">
        <w:rPr>
          <w:noProof/>
        </w:rPr>
        <w:t>123</w:t>
      </w:r>
    </w:p>
    <w:p w:rsidR="0016632A" w:rsidRPr="00B70376" w:rsidRDefault="0016632A" w:rsidP="0016632A">
      <w:pPr>
        <w:spacing w:after="0" w:line="240" w:lineRule="auto"/>
        <w:ind w:left="720" w:hanging="720"/>
        <w:jc w:val="both"/>
        <w:rPr>
          <w:noProof/>
        </w:rPr>
      </w:pPr>
      <w:r w:rsidRPr="00B70376">
        <w:rPr>
          <w:noProof/>
        </w:rPr>
        <w:t xml:space="preserve">Meisenberg G </w:t>
      </w:r>
      <w:r>
        <w:rPr>
          <w:noProof/>
        </w:rPr>
        <w:t>(</w:t>
      </w:r>
      <w:r w:rsidRPr="00B70376">
        <w:rPr>
          <w:noProof/>
        </w:rPr>
        <w:t>2009</w:t>
      </w:r>
      <w:r>
        <w:rPr>
          <w:noProof/>
        </w:rPr>
        <w:t>)</w:t>
      </w:r>
      <w:r w:rsidRPr="00B70376">
        <w:rPr>
          <w:noProof/>
        </w:rPr>
        <w:t xml:space="preserve"> Wealth, intelligence, politics and global fertility diffe</w:t>
      </w:r>
      <w:r>
        <w:rPr>
          <w:noProof/>
        </w:rPr>
        <w:t>rentials. J Biosoc S</w:t>
      </w:r>
      <w:r w:rsidRPr="00B70376">
        <w:rPr>
          <w:noProof/>
        </w:rPr>
        <w:t>ci</w:t>
      </w:r>
      <w:r>
        <w:rPr>
          <w:noProof/>
        </w:rPr>
        <w:t xml:space="preserve"> 41:</w:t>
      </w:r>
      <w:r w:rsidRPr="00B70376">
        <w:rPr>
          <w:noProof/>
        </w:rPr>
        <w:t>519-535</w:t>
      </w:r>
    </w:p>
    <w:p w:rsidR="0016632A" w:rsidRPr="00B70376" w:rsidRDefault="0016632A" w:rsidP="0016632A">
      <w:pPr>
        <w:spacing w:after="0" w:line="240" w:lineRule="auto"/>
        <w:ind w:left="720" w:hanging="720"/>
        <w:jc w:val="both"/>
        <w:rPr>
          <w:noProof/>
        </w:rPr>
      </w:pPr>
      <w:r w:rsidRPr="00B70376">
        <w:rPr>
          <w:noProof/>
        </w:rPr>
        <w:t xml:space="preserve">Meisenberg G </w:t>
      </w:r>
      <w:r>
        <w:rPr>
          <w:noProof/>
        </w:rPr>
        <w:t>(</w:t>
      </w:r>
      <w:r w:rsidRPr="00B70376">
        <w:rPr>
          <w:noProof/>
        </w:rPr>
        <w:t>2012</w:t>
      </w:r>
      <w:r>
        <w:rPr>
          <w:noProof/>
        </w:rPr>
        <w:t>)</w:t>
      </w:r>
      <w:r w:rsidRPr="00B70376">
        <w:rPr>
          <w:noProof/>
        </w:rPr>
        <w:t xml:space="preserve"> National IQ and economic outcomes. </w:t>
      </w:r>
      <w:r w:rsidRPr="003159FB">
        <w:rPr>
          <w:noProof/>
        </w:rPr>
        <w:t>Pers</w:t>
      </w:r>
      <w:r>
        <w:rPr>
          <w:noProof/>
        </w:rPr>
        <w:t xml:space="preserve"> </w:t>
      </w:r>
      <w:r w:rsidRPr="003159FB">
        <w:rPr>
          <w:noProof/>
        </w:rPr>
        <w:t>Indiv Differ 53</w:t>
      </w:r>
      <w:r>
        <w:rPr>
          <w:noProof/>
        </w:rPr>
        <w:t>:</w:t>
      </w:r>
      <w:r w:rsidRPr="003159FB">
        <w:rPr>
          <w:noProof/>
        </w:rPr>
        <w:t>103-107</w:t>
      </w:r>
    </w:p>
    <w:p w:rsidR="0016632A" w:rsidRPr="00B70376" w:rsidRDefault="0016632A" w:rsidP="0016632A">
      <w:pPr>
        <w:spacing w:after="0" w:line="240" w:lineRule="auto"/>
        <w:ind w:left="720" w:hanging="720"/>
        <w:jc w:val="both"/>
        <w:rPr>
          <w:noProof/>
        </w:rPr>
      </w:pPr>
      <w:bookmarkStart w:id="3" w:name="_ENREF_41"/>
      <w:r w:rsidRPr="00B70376">
        <w:rPr>
          <w:noProof/>
        </w:rPr>
        <w:t xml:space="preserve">Meisenberg G, Lynn R </w:t>
      </w:r>
      <w:r>
        <w:rPr>
          <w:noProof/>
        </w:rPr>
        <w:t>(</w:t>
      </w:r>
      <w:r w:rsidRPr="00B70376">
        <w:rPr>
          <w:noProof/>
        </w:rPr>
        <w:t>2011</w:t>
      </w:r>
      <w:r>
        <w:rPr>
          <w:noProof/>
        </w:rPr>
        <w:t>)</w:t>
      </w:r>
      <w:r w:rsidRPr="00B70376">
        <w:rPr>
          <w:noProof/>
        </w:rPr>
        <w:t xml:space="preserve"> Intelligence: A measure of human capital in nations. J</w:t>
      </w:r>
      <w:r>
        <w:rPr>
          <w:noProof/>
        </w:rPr>
        <w:t xml:space="preserve"> </w:t>
      </w:r>
      <w:r w:rsidRPr="00B70376">
        <w:rPr>
          <w:noProof/>
        </w:rPr>
        <w:t>Soc</w:t>
      </w:r>
      <w:r>
        <w:rPr>
          <w:noProof/>
        </w:rPr>
        <w:t xml:space="preserve"> </w:t>
      </w:r>
      <w:r w:rsidRPr="00B70376">
        <w:rPr>
          <w:noProof/>
        </w:rPr>
        <w:t>Polit</w:t>
      </w:r>
      <w:r>
        <w:rPr>
          <w:noProof/>
        </w:rPr>
        <w:t xml:space="preserve"> </w:t>
      </w:r>
      <w:r w:rsidRPr="00B70376">
        <w:rPr>
          <w:noProof/>
        </w:rPr>
        <w:t>Econ St 36</w:t>
      </w:r>
      <w:r>
        <w:rPr>
          <w:noProof/>
        </w:rPr>
        <w:t>:</w:t>
      </w:r>
      <w:r w:rsidRPr="00B70376">
        <w:rPr>
          <w:noProof/>
        </w:rPr>
        <w:t>421-454</w:t>
      </w:r>
      <w:bookmarkEnd w:id="3"/>
    </w:p>
    <w:p w:rsidR="0016632A" w:rsidRPr="00B70376" w:rsidRDefault="0016632A" w:rsidP="0016632A">
      <w:pPr>
        <w:spacing w:after="0" w:line="240" w:lineRule="auto"/>
        <w:ind w:left="720" w:hanging="720"/>
        <w:jc w:val="both"/>
        <w:rPr>
          <w:noProof/>
        </w:rPr>
      </w:pPr>
      <w:bookmarkStart w:id="4" w:name="_ENREF_42"/>
      <w:r w:rsidRPr="00B70376">
        <w:rPr>
          <w:noProof/>
        </w:rPr>
        <w:t xml:space="preserve">Morse S </w:t>
      </w:r>
      <w:r>
        <w:rPr>
          <w:noProof/>
        </w:rPr>
        <w:t>(</w:t>
      </w:r>
      <w:r w:rsidRPr="00B70376">
        <w:rPr>
          <w:noProof/>
        </w:rPr>
        <w:t>2008</w:t>
      </w:r>
      <w:r>
        <w:rPr>
          <w:noProof/>
        </w:rPr>
        <w:t>)</w:t>
      </w:r>
      <w:r w:rsidRPr="00B70376">
        <w:rPr>
          <w:noProof/>
        </w:rPr>
        <w:t xml:space="preserve"> The geography of tyranny and despair: development indicators and the hypothesis of genetic inevitabil</w:t>
      </w:r>
      <w:r>
        <w:rPr>
          <w:noProof/>
        </w:rPr>
        <w:t xml:space="preserve">ity of national inequality. </w:t>
      </w:r>
      <w:r w:rsidRPr="00B70376">
        <w:rPr>
          <w:noProof/>
        </w:rPr>
        <w:t>Geogr J 174</w:t>
      </w:r>
      <w:r>
        <w:rPr>
          <w:noProof/>
        </w:rPr>
        <w:t>:</w:t>
      </w:r>
      <w:r w:rsidRPr="00B70376">
        <w:rPr>
          <w:noProof/>
        </w:rPr>
        <w:t>195-206</w:t>
      </w:r>
      <w:bookmarkEnd w:id="4"/>
    </w:p>
    <w:p w:rsidR="0016632A" w:rsidRPr="00B70376" w:rsidRDefault="0016632A" w:rsidP="0016632A">
      <w:pPr>
        <w:spacing w:after="0" w:line="240" w:lineRule="auto"/>
        <w:ind w:left="720" w:hanging="720"/>
        <w:jc w:val="both"/>
        <w:rPr>
          <w:noProof/>
        </w:rPr>
      </w:pPr>
      <w:r w:rsidRPr="00B70376">
        <w:rPr>
          <w:noProof/>
        </w:rPr>
        <w:t xml:space="preserve">Potrafke N </w:t>
      </w:r>
      <w:r>
        <w:rPr>
          <w:noProof/>
        </w:rPr>
        <w:t>(</w:t>
      </w:r>
      <w:r w:rsidRPr="00B70376">
        <w:rPr>
          <w:noProof/>
        </w:rPr>
        <w:t>2012</w:t>
      </w:r>
      <w:r>
        <w:rPr>
          <w:noProof/>
        </w:rPr>
        <w:t>)</w:t>
      </w:r>
      <w:r w:rsidRPr="00B70376">
        <w:rPr>
          <w:noProof/>
        </w:rPr>
        <w:t xml:space="preserve"> Intelligence and corruption. Econ Lett 114</w:t>
      </w:r>
      <w:r>
        <w:rPr>
          <w:noProof/>
        </w:rPr>
        <w:t>:</w:t>
      </w:r>
      <w:r w:rsidRPr="00B70376">
        <w:rPr>
          <w:noProof/>
        </w:rPr>
        <w:t>109-112</w:t>
      </w:r>
    </w:p>
    <w:p w:rsidR="0016632A" w:rsidRPr="00B70376" w:rsidRDefault="0016632A" w:rsidP="0016632A">
      <w:pPr>
        <w:spacing w:after="0" w:line="240" w:lineRule="auto"/>
        <w:ind w:left="720" w:hanging="720"/>
        <w:jc w:val="both"/>
        <w:rPr>
          <w:noProof/>
        </w:rPr>
      </w:pPr>
      <w:r w:rsidRPr="00B70376">
        <w:rPr>
          <w:noProof/>
        </w:rPr>
        <w:lastRenderedPageBreak/>
        <w:t xml:space="preserve">Ram R </w:t>
      </w:r>
      <w:r>
        <w:rPr>
          <w:noProof/>
        </w:rPr>
        <w:t>(</w:t>
      </w:r>
      <w:r w:rsidRPr="00B70376">
        <w:rPr>
          <w:noProof/>
        </w:rPr>
        <w:t>2007</w:t>
      </w:r>
      <w:r>
        <w:rPr>
          <w:noProof/>
        </w:rPr>
        <w:t>)</w:t>
      </w:r>
      <w:r w:rsidRPr="00B70376">
        <w:rPr>
          <w:noProof/>
        </w:rPr>
        <w:t xml:space="preserve"> IQ and economic growth: Further augmentation of Ma</w:t>
      </w:r>
      <w:r>
        <w:rPr>
          <w:noProof/>
        </w:rPr>
        <w:t>nkiw–Romer–Weil model. Econ</w:t>
      </w:r>
      <w:r w:rsidRPr="00B70376">
        <w:rPr>
          <w:noProof/>
        </w:rPr>
        <w:t xml:space="preserve"> Lett 94</w:t>
      </w:r>
      <w:r>
        <w:rPr>
          <w:noProof/>
        </w:rPr>
        <w:t>:</w:t>
      </w:r>
      <w:r w:rsidRPr="00B70376">
        <w:rPr>
          <w:noProof/>
        </w:rPr>
        <w:t>7-11</w:t>
      </w:r>
    </w:p>
    <w:p w:rsidR="0016632A" w:rsidRPr="00B70376" w:rsidRDefault="0016632A" w:rsidP="0016632A">
      <w:pPr>
        <w:spacing w:after="0" w:line="240" w:lineRule="auto"/>
        <w:ind w:left="720" w:hanging="720"/>
        <w:jc w:val="both"/>
        <w:rPr>
          <w:noProof/>
        </w:rPr>
      </w:pPr>
      <w:r w:rsidRPr="00B70376">
        <w:rPr>
          <w:noProof/>
        </w:rPr>
        <w:t xml:space="preserve">Rindermann H </w:t>
      </w:r>
      <w:r>
        <w:rPr>
          <w:noProof/>
        </w:rPr>
        <w:t>(</w:t>
      </w:r>
      <w:r w:rsidRPr="00B70376">
        <w:rPr>
          <w:noProof/>
        </w:rPr>
        <w:t>2007</w:t>
      </w:r>
      <w:r>
        <w:rPr>
          <w:noProof/>
        </w:rPr>
        <w:t>)</w:t>
      </w:r>
      <w:r w:rsidRPr="00B70376">
        <w:rPr>
          <w:noProof/>
        </w:rPr>
        <w:t xml:space="preserve"> The g</w:t>
      </w:r>
      <w:r w:rsidRPr="00B70376">
        <w:rPr>
          <w:rFonts w:ascii="Cambria Math" w:hAnsi="Cambria Math" w:cs="Cambria Math"/>
          <w:noProof/>
        </w:rPr>
        <w:t>‐</w:t>
      </w:r>
      <w:r w:rsidRPr="00B70376">
        <w:rPr>
          <w:noProof/>
        </w:rPr>
        <w:t>factor of international cognitive ability comparisons: The homogeneity of results in PISA, TIMSS, PIRLS and IQ</w:t>
      </w:r>
      <w:r w:rsidRPr="00B70376">
        <w:rPr>
          <w:rFonts w:ascii="Cambria Math" w:hAnsi="Cambria Math" w:cs="Cambria Math"/>
          <w:noProof/>
        </w:rPr>
        <w:t>‐</w:t>
      </w:r>
      <w:r w:rsidRPr="00B70376">
        <w:rPr>
          <w:noProof/>
        </w:rPr>
        <w:t>tests across nations. Eur J</w:t>
      </w:r>
      <w:r>
        <w:rPr>
          <w:noProof/>
        </w:rPr>
        <w:t xml:space="preserve"> </w:t>
      </w:r>
      <w:r w:rsidRPr="00B70376">
        <w:rPr>
          <w:noProof/>
        </w:rPr>
        <w:t>Personality 21</w:t>
      </w:r>
      <w:r>
        <w:rPr>
          <w:noProof/>
        </w:rPr>
        <w:t>:</w:t>
      </w:r>
      <w:r w:rsidRPr="00B70376">
        <w:rPr>
          <w:noProof/>
        </w:rPr>
        <w:t>667-706.</w:t>
      </w:r>
    </w:p>
    <w:p w:rsidR="0016632A" w:rsidRPr="00B70376" w:rsidRDefault="0016632A" w:rsidP="0016632A">
      <w:pPr>
        <w:spacing w:after="0" w:line="240" w:lineRule="auto"/>
        <w:ind w:left="720" w:hanging="720"/>
        <w:jc w:val="both"/>
        <w:rPr>
          <w:noProof/>
        </w:rPr>
      </w:pPr>
      <w:r w:rsidRPr="00B70376">
        <w:rPr>
          <w:noProof/>
        </w:rPr>
        <w:t xml:space="preserve">Rindermann H </w:t>
      </w:r>
      <w:r>
        <w:rPr>
          <w:noProof/>
        </w:rPr>
        <w:t>(</w:t>
      </w:r>
      <w:r w:rsidRPr="00B70376">
        <w:rPr>
          <w:noProof/>
        </w:rPr>
        <w:t>2008a</w:t>
      </w:r>
      <w:r>
        <w:rPr>
          <w:noProof/>
        </w:rPr>
        <w:t>)</w:t>
      </w:r>
      <w:r w:rsidRPr="00B70376">
        <w:rPr>
          <w:noProof/>
        </w:rPr>
        <w:t xml:space="preserve"> Relevance of education and intelligence at the national level for the economic welfare of people. Intelligence 36</w:t>
      </w:r>
      <w:r>
        <w:rPr>
          <w:noProof/>
        </w:rPr>
        <w:t>:</w:t>
      </w:r>
      <w:r w:rsidRPr="00B70376">
        <w:rPr>
          <w:noProof/>
        </w:rPr>
        <w:t>127-142</w:t>
      </w:r>
    </w:p>
    <w:p w:rsidR="0016632A" w:rsidRPr="00B70376" w:rsidRDefault="0016632A" w:rsidP="0016632A">
      <w:pPr>
        <w:spacing w:after="0" w:line="240" w:lineRule="auto"/>
        <w:ind w:left="720" w:hanging="720"/>
        <w:jc w:val="both"/>
        <w:rPr>
          <w:noProof/>
        </w:rPr>
      </w:pPr>
      <w:r w:rsidRPr="00B70376">
        <w:rPr>
          <w:noProof/>
        </w:rPr>
        <w:t xml:space="preserve">Rindermann H </w:t>
      </w:r>
      <w:r>
        <w:rPr>
          <w:noProof/>
        </w:rPr>
        <w:t>(</w:t>
      </w:r>
      <w:r w:rsidRPr="00B70376">
        <w:rPr>
          <w:noProof/>
        </w:rPr>
        <w:t>2008b</w:t>
      </w:r>
      <w:r>
        <w:rPr>
          <w:noProof/>
        </w:rPr>
        <w:t>)</w:t>
      </w:r>
      <w:r w:rsidRPr="00B70376">
        <w:rPr>
          <w:noProof/>
        </w:rPr>
        <w:t xml:space="preserve"> Relevance of education and intelligence for the political development of nations: </w:t>
      </w:r>
      <w:r>
        <w:rPr>
          <w:noProof/>
        </w:rPr>
        <w:t>d</w:t>
      </w:r>
      <w:r w:rsidRPr="00B70376">
        <w:rPr>
          <w:noProof/>
        </w:rPr>
        <w:t>emocracy, rule of law and political liberty. Intelligence 36</w:t>
      </w:r>
      <w:r>
        <w:rPr>
          <w:noProof/>
        </w:rPr>
        <w:t>:</w:t>
      </w:r>
      <w:r w:rsidRPr="00B70376">
        <w:rPr>
          <w:noProof/>
        </w:rPr>
        <w:t>306-322</w:t>
      </w:r>
    </w:p>
    <w:p w:rsidR="0016632A" w:rsidRPr="00B70376" w:rsidRDefault="0016632A" w:rsidP="0016632A">
      <w:pPr>
        <w:spacing w:after="0" w:line="240" w:lineRule="auto"/>
        <w:ind w:left="720" w:hanging="720"/>
        <w:jc w:val="both"/>
        <w:rPr>
          <w:noProof/>
        </w:rPr>
      </w:pPr>
      <w:bookmarkStart w:id="5" w:name="_ENREF_48"/>
      <w:r w:rsidRPr="00B70376">
        <w:rPr>
          <w:noProof/>
        </w:rPr>
        <w:t xml:space="preserve">Rindermann H, Sailer M, Thompson J </w:t>
      </w:r>
      <w:r>
        <w:rPr>
          <w:noProof/>
        </w:rPr>
        <w:t>(</w:t>
      </w:r>
      <w:r w:rsidRPr="00B70376">
        <w:rPr>
          <w:noProof/>
        </w:rPr>
        <w:t>2009</w:t>
      </w:r>
      <w:r>
        <w:rPr>
          <w:noProof/>
        </w:rPr>
        <w:t>)</w:t>
      </w:r>
      <w:r w:rsidRPr="00B70376">
        <w:rPr>
          <w:noProof/>
        </w:rPr>
        <w:t xml:space="preserve"> The impact of smart fractions, cognitive ability of politicians and average competence of peoples on social development. Talent Development </w:t>
      </w:r>
      <w:r>
        <w:rPr>
          <w:noProof/>
        </w:rPr>
        <w:t>and Excellence 1:</w:t>
      </w:r>
      <w:r w:rsidRPr="00B70376">
        <w:rPr>
          <w:noProof/>
        </w:rPr>
        <w:t>3-25</w:t>
      </w:r>
      <w:bookmarkEnd w:id="5"/>
    </w:p>
    <w:p w:rsidR="0016632A" w:rsidRPr="00B70376" w:rsidRDefault="0016632A" w:rsidP="0016632A">
      <w:pPr>
        <w:spacing w:after="0" w:line="240" w:lineRule="auto"/>
        <w:ind w:left="720" w:hanging="720"/>
        <w:jc w:val="both"/>
        <w:rPr>
          <w:noProof/>
        </w:rPr>
      </w:pPr>
      <w:bookmarkStart w:id="6" w:name="_ENREF_54"/>
      <w:r w:rsidRPr="00B70376">
        <w:rPr>
          <w:noProof/>
        </w:rPr>
        <w:t xml:space="preserve">Rushton JP, Templer DI </w:t>
      </w:r>
      <w:r>
        <w:rPr>
          <w:noProof/>
        </w:rPr>
        <w:t>(</w:t>
      </w:r>
      <w:r w:rsidRPr="00B70376">
        <w:rPr>
          <w:noProof/>
        </w:rPr>
        <w:t>2009</w:t>
      </w:r>
      <w:r>
        <w:rPr>
          <w:noProof/>
        </w:rPr>
        <w:t>)</w:t>
      </w:r>
      <w:r w:rsidRPr="00B70376">
        <w:rPr>
          <w:noProof/>
        </w:rPr>
        <w:t xml:space="preserve"> National differences in intelligence, crime, income, and skin color. Intelligence 37</w:t>
      </w:r>
      <w:r>
        <w:rPr>
          <w:noProof/>
        </w:rPr>
        <w:t>:</w:t>
      </w:r>
      <w:r w:rsidRPr="00B70376">
        <w:rPr>
          <w:noProof/>
        </w:rPr>
        <w:t>341-346</w:t>
      </w:r>
      <w:bookmarkEnd w:id="6"/>
    </w:p>
    <w:p w:rsidR="0016632A" w:rsidRPr="00656080" w:rsidRDefault="0016632A" w:rsidP="0016632A">
      <w:pPr>
        <w:spacing w:after="0" w:line="240" w:lineRule="auto"/>
        <w:ind w:left="720" w:hanging="720"/>
        <w:jc w:val="both"/>
        <w:rPr>
          <w:noProof/>
        </w:rPr>
      </w:pPr>
      <w:bookmarkStart w:id="7" w:name="_ENREF_55"/>
      <w:r w:rsidRPr="00B70376">
        <w:rPr>
          <w:noProof/>
        </w:rPr>
        <w:t xml:space="preserve">Saadat M </w:t>
      </w:r>
      <w:r>
        <w:rPr>
          <w:noProof/>
        </w:rPr>
        <w:t>(</w:t>
      </w:r>
      <w:r w:rsidRPr="00B70376">
        <w:rPr>
          <w:noProof/>
        </w:rPr>
        <w:t>2008</w:t>
      </w:r>
      <w:r>
        <w:rPr>
          <w:noProof/>
        </w:rPr>
        <w:t>)</w:t>
      </w:r>
      <w:r w:rsidRPr="00B70376">
        <w:rPr>
          <w:noProof/>
        </w:rPr>
        <w:t xml:space="preserve"> Consanguinity and national IQ scores. </w:t>
      </w:r>
      <w:r w:rsidRPr="00656080">
        <w:rPr>
          <w:noProof/>
        </w:rPr>
        <w:t>J Epidemiol Commun H 62:566-567</w:t>
      </w:r>
      <w:bookmarkEnd w:id="7"/>
    </w:p>
    <w:p w:rsidR="0016632A" w:rsidRPr="00B70376" w:rsidRDefault="0016632A" w:rsidP="0016632A">
      <w:pPr>
        <w:spacing w:after="0" w:line="240" w:lineRule="auto"/>
        <w:ind w:left="720" w:hanging="720"/>
        <w:jc w:val="both"/>
        <w:rPr>
          <w:noProof/>
        </w:rPr>
      </w:pPr>
      <w:r w:rsidRPr="00ED5F88">
        <w:rPr>
          <w:noProof/>
        </w:rPr>
        <w:t xml:space="preserve">Templer DI (2008) </w:t>
      </w:r>
      <w:r w:rsidRPr="00B70376">
        <w:rPr>
          <w:noProof/>
        </w:rPr>
        <w:t>Correlational and factor analytic support for Rushton’s differential K life history theory. Pers</w:t>
      </w:r>
      <w:r>
        <w:rPr>
          <w:noProof/>
        </w:rPr>
        <w:t xml:space="preserve"> </w:t>
      </w:r>
      <w:r w:rsidRPr="00B70376">
        <w:rPr>
          <w:noProof/>
        </w:rPr>
        <w:t>Indiv</w:t>
      </w:r>
      <w:r>
        <w:rPr>
          <w:noProof/>
        </w:rPr>
        <w:t xml:space="preserve"> </w:t>
      </w:r>
      <w:r w:rsidRPr="00B70376">
        <w:rPr>
          <w:noProof/>
        </w:rPr>
        <w:t>Differ 45</w:t>
      </w:r>
      <w:r>
        <w:rPr>
          <w:noProof/>
        </w:rPr>
        <w:t>:</w:t>
      </w:r>
      <w:r w:rsidRPr="00B70376">
        <w:rPr>
          <w:noProof/>
        </w:rPr>
        <w:t>440-444</w:t>
      </w:r>
    </w:p>
    <w:p w:rsidR="0016632A" w:rsidRPr="00B70376" w:rsidRDefault="0016632A" w:rsidP="0016632A">
      <w:pPr>
        <w:spacing w:after="0" w:line="240" w:lineRule="auto"/>
        <w:ind w:left="720" w:hanging="720"/>
        <w:jc w:val="both"/>
        <w:rPr>
          <w:noProof/>
        </w:rPr>
      </w:pPr>
      <w:bookmarkStart w:id="8" w:name="_ENREF_59"/>
      <w:r w:rsidRPr="00B70376">
        <w:rPr>
          <w:noProof/>
        </w:rPr>
        <w:t>Vanhanen</w:t>
      </w:r>
      <w:r>
        <w:rPr>
          <w:noProof/>
        </w:rPr>
        <w:t xml:space="preserve"> T</w:t>
      </w:r>
      <w:r w:rsidRPr="00B70376">
        <w:rPr>
          <w:noProof/>
        </w:rPr>
        <w:t xml:space="preserve"> </w:t>
      </w:r>
      <w:r>
        <w:rPr>
          <w:noProof/>
        </w:rPr>
        <w:t>(</w:t>
      </w:r>
      <w:r w:rsidRPr="00B70376">
        <w:rPr>
          <w:noProof/>
        </w:rPr>
        <w:t>2009</w:t>
      </w:r>
      <w:r>
        <w:rPr>
          <w:noProof/>
        </w:rPr>
        <w:t>)</w:t>
      </w:r>
      <w:r w:rsidRPr="00B70376">
        <w:rPr>
          <w:noProof/>
        </w:rPr>
        <w:t xml:space="preserve"> The limits of democratization: Climate, intelligence, and resource distribution. Washington Summit Publishers.</w:t>
      </w:r>
      <w:bookmarkEnd w:id="8"/>
    </w:p>
    <w:p w:rsidR="0016632A" w:rsidRPr="00B70376" w:rsidRDefault="0016632A" w:rsidP="0016632A">
      <w:pPr>
        <w:spacing w:after="0" w:line="240" w:lineRule="auto"/>
        <w:ind w:left="720" w:hanging="720"/>
        <w:jc w:val="both"/>
        <w:rPr>
          <w:noProof/>
        </w:rPr>
      </w:pPr>
      <w:bookmarkStart w:id="9" w:name="_ENREF_61"/>
      <w:r w:rsidRPr="00B70376">
        <w:rPr>
          <w:noProof/>
        </w:rPr>
        <w:t xml:space="preserve">Voracek M </w:t>
      </w:r>
      <w:r>
        <w:rPr>
          <w:noProof/>
        </w:rPr>
        <w:t>(</w:t>
      </w:r>
      <w:r w:rsidRPr="00B70376">
        <w:rPr>
          <w:noProof/>
        </w:rPr>
        <w:t>2009</w:t>
      </w:r>
      <w:r>
        <w:rPr>
          <w:noProof/>
        </w:rPr>
        <w:t>)</w:t>
      </w:r>
      <w:r w:rsidRPr="00B70376">
        <w:rPr>
          <w:noProof/>
        </w:rPr>
        <w:t xml:space="preserve"> National intelligence, suicide rate, and subjective well-being</w:t>
      </w:r>
      <w:r>
        <w:rPr>
          <w:noProof/>
        </w:rPr>
        <w:t>.</w:t>
      </w:r>
      <w:r w:rsidRPr="00B70376">
        <w:rPr>
          <w:noProof/>
        </w:rPr>
        <w:t xml:space="preserve"> Percept</w:t>
      </w:r>
      <w:r>
        <w:rPr>
          <w:noProof/>
        </w:rPr>
        <w:t xml:space="preserve"> M</w:t>
      </w:r>
      <w:r w:rsidRPr="00B70376">
        <w:rPr>
          <w:noProof/>
        </w:rPr>
        <w:t xml:space="preserve">otor </w:t>
      </w:r>
      <w:r>
        <w:rPr>
          <w:noProof/>
        </w:rPr>
        <w:t>S</w:t>
      </w:r>
      <w:r w:rsidRPr="00B70376">
        <w:rPr>
          <w:noProof/>
        </w:rPr>
        <w:t>kill 109</w:t>
      </w:r>
      <w:r>
        <w:rPr>
          <w:noProof/>
        </w:rPr>
        <w:t>:</w:t>
      </w:r>
      <w:r w:rsidRPr="00B70376">
        <w:rPr>
          <w:noProof/>
        </w:rPr>
        <w:t>718-720</w:t>
      </w:r>
      <w:bookmarkEnd w:id="9"/>
    </w:p>
    <w:p w:rsidR="0016632A" w:rsidRPr="00850FD2" w:rsidRDefault="0016632A" w:rsidP="0016632A">
      <w:pPr>
        <w:jc w:val="both"/>
      </w:pPr>
      <w:bookmarkStart w:id="10" w:name="_ENREF_63"/>
      <w:r w:rsidRPr="00B70376">
        <w:rPr>
          <w:noProof/>
        </w:rPr>
        <w:t xml:space="preserve">Whetzel DL, McDaniel MA </w:t>
      </w:r>
      <w:r>
        <w:rPr>
          <w:noProof/>
        </w:rPr>
        <w:t>(</w:t>
      </w:r>
      <w:r w:rsidRPr="00B70376">
        <w:rPr>
          <w:noProof/>
        </w:rPr>
        <w:t>2006</w:t>
      </w:r>
      <w:r>
        <w:rPr>
          <w:noProof/>
        </w:rPr>
        <w:t>)</w:t>
      </w:r>
      <w:r w:rsidRPr="00B70376">
        <w:rPr>
          <w:noProof/>
        </w:rPr>
        <w:t xml:space="preserve"> Prediction of national wealth. Intelligence 34</w:t>
      </w:r>
      <w:r>
        <w:rPr>
          <w:noProof/>
        </w:rPr>
        <w:t>:</w:t>
      </w:r>
      <w:r w:rsidRPr="00B70376">
        <w:rPr>
          <w:noProof/>
        </w:rPr>
        <w:t>449-458</w:t>
      </w:r>
      <w:bookmarkEnd w:id="10"/>
    </w:p>
    <w:p w:rsidR="003A0831" w:rsidRDefault="003A0831"/>
    <w:sectPr w:rsidR="003A0831" w:rsidSect="00FA1FF2">
      <w:footerReference w:type="default" r:id="rId9"/>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688240"/>
      <w:docPartObj>
        <w:docPartGallery w:val="Page Numbers (Bottom of Page)"/>
        <w:docPartUnique/>
      </w:docPartObj>
    </w:sdtPr>
    <w:sdtEndPr>
      <w:rPr>
        <w:noProof/>
      </w:rPr>
    </w:sdtEndPr>
    <w:sdtContent>
      <w:p w:rsidR="00605FE1" w:rsidRDefault="0016632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605FE1" w:rsidRDefault="0016632A">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D413B"/>
    <w:multiLevelType w:val="hybridMultilevel"/>
    <w:tmpl w:val="9BA0BE24"/>
    <w:lvl w:ilvl="0" w:tplc="258CB01C">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compat/>
  <w:rsids>
    <w:rsidRoot w:val="0016632A"/>
    <w:rsid w:val="0016632A"/>
    <w:rsid w:val="002E3B7A"/>
    <w:rsid w:val="003A0831"/>
    <w:rsid w:val="00D24DA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8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32A"/>
    <w:pPr>
      <w:tabs>
        <w:tab w:val="center" w:pos="4680"/>
        <w:tab w:val="right" w:pos="9360"/>
      </w:tabs>
      <w:spacing w:after="0" w:line="240" w:lineRule="auto"/>
    </w:pPr>
    <w:rPr>
      <w:rFonts w:ascii="Times New Roman" w:hAnsi="Times New Roman" w:cs="Times New Roman"/>
      <w:sz w:val="24"/>
      <w:szCs w:val="24"/>
      <w:lang w:val="en-US"/>
    </w:rPr>
  </w:style>
  <w:style w:type="character" w:customStyle="1" w:styleId="HeaderChar">
    <w:name w:val="Header Char"/>
    <w:basedOn w:val="DefaultParagraphFont"/>
    <w:link w:val="Header"/>
    <w:uiPriority w:val="99"/>
    <w:rsid w:val="0016632A"/>
    <w:rPr>
      <w:rFonts w:ascii="Times New Roman" w:hAnsi="Times New Roman" w:cs="Times New Roman"/>
      <w:sz w:val="24"/>
      <w:szCs w:val="24"/>
      <w:lang w:val="en-US"/>
    </w:rPr>
  </w:style>
  <w:style w:type="paragraph" w:styleId="Footer">
    <w:name w:val="footer"/>
    <w:basedOn w:val="Normal"/>
    <w:link w:val="FooterChar"/>
    <w:uiPriority w:val="99"/>
    <w:unhideWhenUsed/>
    <w:rsid w:val="0016632A"/>
    <w:pPr>
      <w:tabs>
        <w:tab w:val="center" w:pos="4680"/>
        <w:tab w:val="right" w:pos="9360"/>
      </w:tabs>
      <w:spacing w:after="0" w:line="240" w:lineRule="auto"/>
    </w:pPr>
    <w:rPr>
      <w:rFonts w:ascii="Times New Roman" w:hAnsi="Times New Roman" w:cs="Times New Roman"/>
      <w:sz w:val="24"/>
      <w:szCs w:val="24"/>
      <w:lang w:val="en-US"/>
    </w:rPr>
  </w:style>
  <w:style w:type="character" w:customStyle="1" w:styleId="FooterChar">
    <w:name w:val="Footer Char"/>
    <w:basedOn w:val="DefaultParagraphFont"/>
    <w:link w:val="Footer"/>
    <w:uiPriority w:val="99"/>
    <w:rsid w:val="0016632A"/>
    <w:rPr>
      <w:rFonts w:ascii="Times New Roman" w:hAnsi="Times New Roman" w:cs="Times New Roman"/>
      <w:sz w:val="24"/>
      <w:szCs w:val="24"/>
      <w:lang w:val="en-US"/>
    </w:rPr>
  </w:style>
  <w:style w:type="paragraph" w:customStyle="1" w:styleId="NormalPaper">
    <w:name w:val="Normal Paper"/>
    <w:basedOn w:val="Normal"/>
    <w:link w:val="NormalPaperChar"/>
    <w:rsid w:val="0016632A"/>
    <w:pPr>
      <w:spacing w:after="0" w:line="360" w:lineRule="auto"/>
      <w:ind w:firstLine="397"/>
      <w:jc w:val="both"/>
    </w:pPr>
    <w:rPr>
      <w:rFonts w:ascii="Times New Roman" w:eastAsia="Times New Roman" w:hAnsi="Times New Roman" w:cs="Times New Roman"/>
      <w:sz w:val="24"/>
      <w:szCs w:val="24"/>
      <w:lang w:val="en-US" w:eastAsia="el-GR"/>
    </w:rPr>
  </w:style>
  <w:style w:type="character" w:customStyle="1" w:styleId="NormalPaperChar">
    <w:name w:val="Normal Paper Char"/>
    <w:basedOn w:val="DefaultParagraphFont"/>
    <w:link w:val="NormalPaper"/>
    <w:rsid w:val="0016632A"/>
    <w:rPr>
      <w:rFonts w:ascii="Times New Roman" w:eastAsia="Times New Roman" w:hAnsi="Times New Roman" w:cs="Times New Roman"/>
      <w:sz w:val="24"/>
      <w:szCs w:val="24"/>
      <w:lang w:val="en-US" w:eastAsia="el-GR"/>
    </w:rPr>
  </w:style>
  <w:style w:type="paragraph" w:styleId="BalloonText">
    <w:name w:val="Balloon Text"/>
    <w:basedOn w:val="Normal"/>
    <w:link w:val="BalloonTextChar"/>
    <w:uiPriority w:val="99"/>
    <w:semiHidden/>
    <w:unhideWhenUsed/>
    <w:rsid w:val="0016632A"/>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16632A"/>
    <w:rPr>
      <w:rFonts w:ascii="Segoe UI" w:hAnsi="Segoe UI" w:cs="Segoe UI"/>
      <w:sz w:val="18"/>
      <w:szCs w:val="18"/>
      <w:lang w:val="en-US"/>
    </w:rPr>
  </w:style>
  <w:style w:type="character" w:styleId="Hyperlink">
    <w:name w:val="Hyperlink"/>
    <w:basedOn w:val="DefaultParagraphFont"/>
    <w:uiPriority w:val="99"/>
    <w:unhideWhenUsed/>
    <w:rsid w:val="0016632A"/>
    <w:rPr>
      <w:color w:val="0000FF" w:themeColor="hyperlink"/>
      <w:u w:val="single"/>
    </w:rPr>
  </w:style>
  <w:style w:type="paragraph" w:styleId="FootnoteText">
    <w:name w:val="footnote text"/>
    <w:basedOn w:val="Normal"/>
    <w:link w:val="FootnoteTextChar"/>
    <w:uiPriority w:val="99"/>
    <w:semiHidden/>
    <w:unhideWhenUsed/>
    <w:rsid w:val="0016632A"/>
    <w:pPr>
      <w:spacing w:after="0" w:line="240" w:lineRule="auto"/>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6632A"/>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16632A"/>
    <w:rPr>
      <w:vertAlign w:val="superscript"/>
    </w:rPr>
  </w:style>
  <w:style w:type="table" w:styleId="TableGrid">
    <w:name w:val="Table Grid"/>
    <w:basedOn w:val="TableNormal"/>
    <w:uiPriority w:val="39"/>
    <w:rsid w:val="0016632A"/>
    <w:pPr>
      <w:spacing w:after="0" w:line="240" w:lineRule="auto"/>
    </w:pPr>
    <w:rPr>
      <w:rFonts w:ascii="Times New Roman" w:hAnsi="Times New Roman"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fo.worldbank.org/governance/wgi/index.aspx" TargetMode="External"/><Relationship Id="rId3" Type="http://schemas.openxmlformats.org/officeDocument/2006/relationships/settings" Target="settings.xml"/><Relationship Id="rId7" Type="http://schemas.openxmlformats.org/officeDocument/2006/relationships/hyperlink" Target="http://atlas.media.mit.edu/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tlas.media.mit.edu/en/" TargetMode="External"/><Relationship Id="rId11" Type="http://schemas.openxmlformats.org/officeDocument/2006/relationships/theme" Target="theme/theme1.xml"/><Relationship Id="rId5" Type="http://schemas.openxmlformats.org/officeDocument/2006/relationships/hyperlink" Target="http://atlas.media.mit.edu/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2040</Words>
  <Characters>11631</Characters>
  <Application>Microsoft Office Word</Application>
  <DocSecurity>0</DocSecurity>
  <Lines>96</Lines>
  <Paragraphs>27</Paragraphs>
  <ScaleCrop>false</ScaleCrop>
  <Company>Microsoft</Company>
  <LinksUpToDate>false</LinksUpToDate>
  <CharactersWithSpaces>13644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0013328</dc:creator>
  <cp:lastModifiedBy>0013328</cp:lastModifiedBy>
  <cp:revision>1</cp:revision>
  <cp:lastPrinted>2018-06-19T10:12:00Z</cp:lastPrinted>
  <dcterms:created xsi:type="dcterms:W3CDTF">2018-06-19T10:12:00Z</dcterms:created>
  <dcterms:modified xsi:type="dcterms:W3CDTF">2018-06-19T10:12:00Z</dcterms:modified>
</cp:coreProperties>
</file>