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91C" w:rsidRPr="00B0693D" w:rsidRDefault="00B0693D" w:rsidP="00B0693D">
      <w:pPr>
        <w:spacing w:after="0" w:line="360" w:lineRule="auto"/>
        <w:jc w:val="center"/>
        <w:rPr>
          <w:rFonts w:asciiTheme="majorBidi" w:hAnsiTheme="majorBidi" w:cstheme="majorBidi"/>
          <w:b/>
          <w:bCs/>
        </w:rPr>
      </w:pPr>
      <w:bookmarkStart w:id="0" w:name="_GoBack"/>
      <w:bookmarkEnd w:id="0"/>
      <w:r w:rsidRPr="00B0693D">
        <w:rPr>
          <w:rFonts w:asciiTheme="majorBidi" w:hAnsiTheme="majorBidi" w:cstheme="majorBidi"/>
          <w:b/>
          <w:bCs/>
        </w:rPr>
        <w:t>Online Appendix</w:t>
      </w:r>
    </w:p>
    <w:p w:rsidR="00B0693D" w:rsidRPr="00B0693D" w:rsidRDefault="00B0693D" w:rsidP="00B0693D">
      <w:pPr>
        <w:autoSpaceDE w:val="0"/>
        <w:autoSpaceDN w:val="0"/>
        <w:adjustRightInd w:val="0"/>
        <w:spacing w:after="0" w:line="360" w:lineRule="auto"/>
        <w:jc w:val="center"/>
        <w:rPr>
          <w:rFonts w:asciiTheme="majorBidi" w:hAnsiTheme="majorBidi" w:cstheme="majorBidi"/>
          <w:b/>
          <w:bCs/>
          <w:sz w:val="24"/>
          <w:szCs w:val="24"/>
        </w:rPr>
      </w:pPr>
    </w:p>
    <w:p w:rsidR="00B0693D" w:rsidRPr="00B0693D" w:rsidRDefault="00B0693D" w:rsidP="00B0693D">
      <w:pPr>
        <w:autoSpaceDE w:val="0"/>
        <w:autoSpaceDN w:val="0"/>
        <w:adjustRightInd w:val="0"/>
        <w:spacing w:after="0" w:line="360" w:lineRule="auto"/>
        <w:jc w:val="center"/>
        <w:rPr>
          <w:rFonts w:asciiTheme="majorBidi" w:hAnsiTheme="majorBidi" w:cstheme="majorBidi"/>
          <w:b/>
          <w:bCs/>
          <w:sz w:val="24"/>
          <w:szCs w:val="24"/>
        </w:rPr>
      </w:pPr>
      <w:r w:rsidRPr="00B0693D">
        <w:rPr>
          <w:rFonts w:asciiTheme="majorBidi" w:hAnsiTheme="majorBidi" w:cstheme="majorBidi"/>
          <w:b/>
          <w:bCs/>
          <w:sz w:val="24"/>
          <w:szCs w:val="24"/>
        </w:rPr>
        <w:t>The Effect of Islamic Revolution and War on Income Inequality in Iran</w:t>
      </w:r>
    </w:p>
    <w:p w:rsidR="00B0693D" w:rsidRPr="00B0693D" w:rsidRDefault="00B0693D" w:rsidP="00B0693D">
      <w:pPr>
        <w:autoSpaceDE w:val="0"/>
        <w:autoSpaceDN w:val="0"/>
        <w:adjustRightInd w:val="0"/>
        <w:spacing w:after="0" w:line="360" w:lineRule="auto"/>
        <w:jc w:val="center"/>
        <w:rPr>
          <w:rFonts w:asciiTheme="majorBidi" w:hAnsiTheme="majorBidi" w:cstheme="majorBidi"/>
          <w:vertAlign w:val="superscript"/>
        </w:rPr>
      </w:pPr>
      <w:r w:rsidRPr="00B0693D">
        <w:rPr>
          <w:rFonts w:asciiTheme="majorBidi" w:hAnsiTheme="majorBidi" w:cstheme="majorBidi"/>
        </w:rPr>
        <w:t>Mohammad Reza FARZANEGAN</w:t>
      </w:r>
      <w:r w:rsidRPr="00B0693D">
        <w:rPr>
          <w:rFonts w:asciiTheme="majorBidi" w:hAnsiTheme="majorBidi" w:cstheme="majorBidi"/>
          <w:vertAlign w:val="superscript"/>
        </w:rPr>
        <w:t>a</w:t>
      </w:r>
      <w:r w:rsidRPr="00B0693D">
        <w:rPr>
          <w:rFonts w:asciiTheme="majorBidi" w:hAnsiTheme="majorBidi" w:cstheme="majorBidi"/>
        </w:rPr>
        <w:t xml:space="preserve"> and Mohammad Ali KADIVAR</w:t>
      </w:r>
      <w:r w:rsidRPr="00B0693D">
        <w:rPr>
          <w:rFonts w:asciiTheme="majorBidi" w:hAnsiTheme="majorBidi" w:cstheme="majorBidi"/>
          <w:vertAlign w:val="superscript"/>
        </w:rPr>
        <w:t>b</w:t>
      </w:r>
    </w:p>
    <w:p w:rsidR="00B0693D" w:rsidRPr="00B0693D" w:rsidRDefault="00B0693D" w:rsidP="00B0693D">
      <w:pPr>
        <w:autoSpaceDE w:val="0"/>
        <w:autoSpaceDN w:val="0"/>
        <w:adjustRightInd w:val="0"/>
        <w:spacing w:after="0" w:line="360" w:lineRule="auto"/>
        <w:jc w:val="center"/>
        <w:rPr>
          <w:rFonts w:asciiTheme="majorBidi" w:hAnsiTheme="majorBidi" w:cstheme="majorBidi"/>
          <w:sz w:val="20"/>
          <w:szCs w:val="20"/>
          <w:vertAlign w:val="superscript"/>
        </w:rPr>
      </w:pPr>
    </w:p>
    <w:p w:rsidR="00B0693D" w:rsidRPr="00B0693D" w:rsidRDefault="00B0693D" w:rsidP="00B0693D">
      <w:pPr>
        <w:autoSpaceDE w:val="0"/>
        <w:autoSpaceDN w:val="0"/>
        <w:adjustRightInd w:val="0"/>
        <w:spacing w:after="0" w:line="360" w:lineRule="auto"/>
        <w:jc w:val="center"/>
        <w:rPr>
          <w:rFonts w:asciiTheme="majorBidi" w:hAnsiTheme="majorBidi" w:cstheme="majorBidi"/>
          <w:sz w:val="20"/>
          <w:szCs w:val="20"/>
        </w:rPr>
      </w:pPr>
      <w:r w:rsidRPr="00B0693D">
        <w:rPr>
          <w:rFonts w:asciiTheme="majorBidi" w:hAnsiTheme="majorBidi" w:cstheme="majorBidi"/>
          <w:sz w:val="20"/>
          <w:szCs w:val="20"/>
          <w:vertAlign w:val="superscript"/>
        </w:rPr>
        <w:t>a</w:t>
      </w:r>
      <w:r w:rsidRPr="00B0693D">
        <w:rPr>
          <w:rFonts w:asciiTheme="majorBidi" w:hAnsiTheme="majorBidi" w:cstheme="majorBidi"/>
          <w:sz w:val="20"/>
          <w:szCs w:val="20"/>
        </w:rPr>
        <w:t xml:space="preserve">Philipps-Universität Marburg, Center for Near and Middle Eastern Studies (CNMS), School of Business &amp; Economics, Deutschhausstr. 12, 35032 Marburg, Germany &amp; CESifo (Munich), ERF (Cairo). </w:t>
      </w:r>
      <w:hyperlink r:id="rId6" w:history="1">
        <w:r w:rsidRPr="00B0693D">
          <w:rPr>
            <w:rStyle w:val="Hyperlink"/>
            <w:rFonts w:asciiTheme="majorBidi" w:hAnsiTheme="majorBidi" w:cstheme="majorBidi"/>
            <w:sz w:val="20"/>
            <w:szCs w:val="20"/>
          </w:rPr>
          <w:t>farzanegan@uni-marburg.de</w:t>
        </w:r>
      </w:hyperlink>
    </w:p>
    <w:p w:rsidR="00B0693D" w:rsidRPr="00B0693D" w:rsidRDefault="00B0693D" w:rsidP="00B0693D">
      <w:pPr>
        <w:autoSpaceDE w:val="0"/>
        <w:autoSpaceDN w:val="0"/>
        <w:adjustRightInd w:val="0"/>
        <w:spacing w:after="0" w:line="360" w:lineRule="auto"/>
        <w:jc w:val="center"/>
        <w:rPr>
          <w:rFonts w:asciiTheme="majorBidi" w:hAnsiTheme="majorBidi" w:cstheme="majorBidi"/>
          <w:sz w:val="20"/>
          <w:szCs w:val="20"/>
        </w:rPr>
      </w:pPr>
      <w:r w:rsidRPr="00B0693D">
        <w:rPr>
          <w:rFonts w:asciiTheme="majorBidi" w:hAnsiTheme="majorBidi" w:cstheme="majorBidi"/>
          <w:sz w:val="20"/>
          <w:szCs w:val="20"/>
          <w:vertAlign w:val="superscript"/>
        </w:rPr>
        <w:t>b</w:t>
      </w:r>
      <w:r w:rsidRPr="00B0693D">
        <w:rPr>
          <w:rFonts w:asciiTheme="majorBidi" w:hAnsiTheme="majorBidi" w:cstheme="majorBidi"/>
          <w:sz w:val="20"/>
          <w:szCs w:val="20"/>
        </w:rPr>
        <w:t xml:space="preserve"> Boston College, Department of Sociology, </w:t>
      </w:r>
      <w:hyperlink r:id="rId7" w:history="1">
        <w:r w:rsidRPr="00B0693D">
          <w:rPr>
            <w:rStyle w:val="Hyperlink"/>
            <w:rFonts w:asciiTheme="majorBidi" w:hAnsiTheme="majorBidi" w:cstheme="majorBidi"/>
            <w:sz w:val="20"/>
            <w:szCs w:val="20"/>
          </w:rPr>
          <w:t>kadivarm@bc.edu</w:t>
        </w:r>
      </w:hyperlink>
    </w:p>
    <w:p w:rsidR="00B0693D" w:rsidRPr="00B0693D" w:rsidRDefault="00B0693D" w:rsidP="00B0693D">
      <w:pPr>
        <w:spacing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r w:rsidRPr="00B0693D">
        <w:rPr>
          <w:rFonts w:asciiTheme="majorBidi" w:hAnsiTheme="majorBidi" w:cstheme="majorBidi"/>
          <w:b/>
          <w:bCs/>
        </w:rPr>
        <w:t>A. Inference Procedures and Sensitivity Analysis (with reference to Estimated Household Income Inequality (EHII) analysis)</w:t>
      </w:r>
    </w:p>
    <w:p w:rsidR="002D591C" w:rsidRPr="00B0693D" w:rsidRDefault="002D591C" w:rsidP="00B0693D">
      <w:pPr>
        <w:spacing w:before="120" w:after="0" w:line="360" w:lineRule="auto"/>
        <w:jc w:val="both"/>
        <w:rPr>
          <w:rFonts w:asciiTheme="majorBidi" w:hAnsiTheme="majorBidi" w:cstheme="majorBidi"/>
          <w:b/>
          <w:bCs/>
          <w:i/>
          <w:iCs/>
        </w:rPr>
      </w:pPr>
      <w:r w:rsidRPr="00B0693D">
        <w:rPr>
          <w:rFonts w:asciiTheme="majorBidi" w:hAnsiTheme="majorBidi" w:cstheme="majorBidi"/>
          <w:b/>
          <w:bCs/>
          <w:i/>
          <w:iCs/>
        </w:rPr>
        <w:t>A1. In-Space Placebo Test</w:t>
      </w:r>
      <w:r w:rsidRPr="00B0693D" w:rsidDel="0022264C">
        <w:rPr>
          <w:rFonts w:asciiTheme="majorBidi" w:hAnsiTheme="majorBidi" w:cstheme="majorBidi"/>
          <w:b/>
          <w:bCs/>
          <w:i/>
          <w:iCs/>
        </w:rPr>
        <w:t xml:space="preserve"> </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 xml:space="preserve">To investigate the reliability of the results, we implement placebo studies and reassign the treatment in the data to a comparable unit (Abadie et al., 2010, 2015). We conduct the synthetic control analysis for countries in the donor pool which did not experience the same treatment as Iran. This strategy helps us to compare the estimated effects of the revolution and war on Iran’ Gini index to the distribution of placebo effects on other countries. If the estimated effect for Iran is unusually high relative to the distribution of placebo effects, then we conclude that the joint effect of the Islamic revolution and war was significant. </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 xml:space="preserve">A measure which can help provide an objective comparison is root mean square prediction errors (RMSPE). RMSPE measures the magnitude of the estimated gap in the income inequality between each country and its counterfactual. A large post-intervention RMSPE is not necessarily an indicator of a significant effect. We need to normalize the post-intervention RMSPE by the pre-treatment of this measure. In other words, we need to consider pre-intervention fit as well. Therefore, to have a reliable indicator, we divide the post-1978 RMSPE by pre-1978 RMSPE. </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 xml:space="preserve">Figure A1 presents this ratio for Iran and other countries in the donor pool. It is clear that Iran is the country with the highest value for this ratio. For Iran, the post-1978 income inequality gap is approximately 14 times larger than the pre-1978 revolution gap. If one were to randomly select a country from the sample, the likelihood of observing a ratio as high as Iran would be 1/19 (≈ 0.05), meaning that there is no other placebo which outperforms or equals the effect estimate for Iran when pre-intervention fit (RMSPE) is accounted for. In other words, it is unlikely that one would gain a comparable effect as in Iran by randomly assigning the treatment to a non-treated country from the donor pool. </w:t>
      </w:r>
    </w:p>
    <w:p w:rsidR="002D591C" w:rsidRPr="00B0693D" w:rsidRDefault="002D591C" w:rsidP="00B0693D">
      <w:pPr>
        <w:spacing w:after="120" w:line="240" w:lineRule="auto"/>
        <w:rPr>
          <w:rFonts w:asciiTheme="majorBidi" w:hAnsiTheme="majorBidi" w:cstheme="majorBidi"/>
          <w:b/>
          <w:bCs/>
        </w:rPr>
      </w:pPr>
      <w:r w:rsidRPr="00B0693D">
        <w:rPr>
          <w:rFonts w:asciiTheme="majorBidi" w:hAnsiTheme="majorBidi" w:cstheme="majorBidi"/>
          <w:b/>
          <w:bCs/>
        </w:rPr>
        <w:br w:type="page"/>
      </w:r>
    </w:p>
    <w:p w:rsidR="002D591C" w:rsidRPr="00B0693D" w:rsidRDefault="002D591C" w:rsidP="00B0693D">
      <w:pPr>
        <w:autoSpaceDE w:val="0"/>
        <w:autoSpaceDN w:val="0"/>
        <w:adjustRightInd w:val="0"/>
        <w:spacing w:before="120" w:after="120" w:line="360" w:lineRule="auto"/>
        <w:jc w:val="both"/>
        <w:rPr>
          <w:rFonts w:asciiTheme="majorBidi" w:hAnsiTheme="majorBidi" w:cstheme="majorBidi"/>
        </w:rPr>
      </w:pPr>
      <w:r w:rsidRPr="00B0693D">
        <w:rPr>
          <w:rFonts w:asciiTheme="majorBidi" w:hAnsiTheme="majorBidi" w:cstheme="majorBidi"/>
          <w:b/>
          <w:bCs/>
        </w:rPr>
        <w:lastRenderedPageBreak/>
        <w:t>Figure A1.</w:t>
      </w:r>
      <w:r w:rsidRPr="00B0693D">
        <w:rPr>
          <w:rFonts w:asciiTheme="majorBidi" w:hAnsiTheme="majorBidi" w:cstheme="majorBidi"/>
        </w:rPr>
        <w:t xml:space="preserve"> Ratio of post-1978 revolution RMSPE to pre-1978 RMSPE: Iran and control countries</w:t>
      </w:r>
    </w:p>
    <w:p w:rsidR="002D591C" w:rsidRPr="00B0693D" w:rsidRDefault="002D591C" w:rsidP="00B0693D">
      <w:pPr>
        <w:autoSpaceDE w:val="0"/>
        <w:autoSpaceDN w:val="0"/>
        <w:adjustRightInd w:val="0"/>
        <w:spacing w:after="0" w:line="480" w:lineRule="auto"/>
        <w:jc w:val="both"/>
        <w:rPr>
          <w:rFonts w:asciiTheme="majorBidi" w:hAnsiTheme="majorBidi" w:cstheme="majorBidi"/>
          <w:sz w:val="24"/>
          <w:szCs w:val="24"/>
        </w:rPr>
      </w:pPr>
      <w:r w:rsidRPr="00B0693D">
        <w:rPr>
          <w:rFonts w:asciiTheme="majorBidi" w:hAnsiTheme="majorBidi" w:cstheme="majorBidi"/>
          <w:noProof/>
          <w:lang w:val="de-DE" w:eastAsia="de-DE"/>
        </w:rPr>
        <w:drawing>
          <wp:inline distT="0" distB="0" distL="0" distR="0" wp14:anchorId="5C912E72" wp14:editId="48AFB9A2">
            <wp:extent cx="5760720" cy="3939540"/>
            <wp:effectExtent l="0" t="0" r="11430" b="3810"/>
            <wp:docPr id="9"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b/>
          <w:bCs/>
          <w:i/>
          <w:iCs/>
        </w:rPr>
      </w:pPr>
      <w:r w:rsidRPr="00B0693D">
        <w:rPr>
          <w:rFonts w:asciiTheme="majorBidi" w:hAnsiTheme="majorBidi" w:cstheme="majorBidi"/>
          <w:b/>
          <w:bCs/>
          <w:i/>
          <w:iCs/>
        </w:rPr>
        <w:t>A2. Change in Time Dimension (In-time Placebo)</w:t>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t>If the underlying social transformations (e.g. urbanization, economic growth, demographic changes, etc.) in Iran could also cause the Islamic Revolution (as discussed in the introduction) and thus could be behind development of inequality (not necessarily regime change), then the treated unit (Iran) receives a treatment that can be decomposed in three parts: underlying transformations, revolution and war.</w:t>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t>If the countries in the donor pool were not facing similar social transformations, then the synthetic control method is capturing the effect of the three parts of the analyzed treatment and the estimated effect does not answer the study's question: "What is the independent effect of revolutions on changes in the level of income inequality?". One indirect way to address this question is to conduct an in-time placebo exercise as proposed by Abadie, Diamond and Hainmueller (2015). In this test, we re-estimate the synthetic control model for a random year earlier than 1978 in which Iran did not actually experience any substantial political change. Do we observe a significant decline in the actual Iranian income inequality compared to its counterfactual after this fictitious treatment? In the case of positive answer, this shows that our initial estimated results may have been driven by factors other than the Islamic revolution itself. In the case of negative answer, we may have a stronger confidence that the Islamic revolution and political regime change followed by war period caused the observed decline in income inequality during the period 1979-1988.</w:t>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lastRenderedPageBreak/>
        <w:t>Instead of the year of revolution and following Farzanegan (2022), we select 1975 as an alternative treatment year. In 1975, the Shah Mohammad Reza Pahlavi announced a one-party state, inviting all Iranians to join the Party of Resurrection of the Iranian Nation (</w:t>
      </w:r>
      <w:r w:rsidRPr="00B0693D">
        <w:rPr>
          <w:rFonts w:asciiTheme="majorBidi" w:hAnsiTheme="majorBidi" w:cstheme="majorBidi"/>
          <w:i/>
          <w:iCs/>
        </w:rPr>
        <w:t>Rastakhiz</w:t>
      </w:r>
      <w:r w:rsidRPr="00B0693D">
        <w:rPr>
          <w:rFonts w:asciiTheme="majorBidi" w:hAnsiTheme="majorBidi" w:cstheme="majorBidi"/>
        </w:rPr>
        <w:t xml:space="preserve"> Party). He also announced a large privatization program of all state‐owned factories, with the exception of key industries such as oil, steel mills, copper and transport</w:t>
      </w:r>
      <w:r w:rsidRPr="00B0693D">
        <w:rPr>
          <w:rStyle w:val="Funotenzeichen"/>
          <w:rFonts w:asciiTheme="majorBidi" w:hAnsiTheme="majorBidi" w:cstheme="majorBidi"/>
        </w:rPr>
        <w:footnoteReference w:id="1"/>
      </w:r>
      <w:r w:rsidRPr="00B0693D">
        <w:rPr>
          <w:rFonts w:asciiTheme="majorBidi" w:hAnsiTheme="majorBidi" w:cstheme="majorBidi"/>
        </w:rPr>
        <w:t xml:space="preserve">. There was no sign of revolution or main protest in this year. We re-estimate the synthetic control model using the new treatment year instead of revolution year.  Figure A2 shows that while the SCM shows a close association between income inequality of Iran and its counterfactual during 1970-1974 but there is no divergence between 1975 and year of revolution. Indeed, this exercise shows that the divergence between income inequality in Iran and its counterfactual starts significantly by the Islamic revolution and regime change, re-assuring the argument which were discussed in the introduction. </w:t>
      </w:r>
    </w:p>
    <w:p w:rsidR="002D591C" w:rsidRPr="00B0693D" w:rsidRDefault="002D591C" w:rsidP="00B0693D">
      <w:pPr>
        <w:autoSpaceDE w:val="0"/>
        <w:autoSpaceDN w:val="0"/>
        <w:adjustRightInd w:val="0"/>
        <w:spacing w:before="120" w:after="0" w:line="360" w:lineRule="auto"/>
        <w:rPr>
          <w:rFonts w:asciiTheme="majorBidi" w:hAnsiTheme="majorBidi" w:cstheme="majorBidi"/>
        </w:rPr>
      </w:pPr>
      <w:r w:rsidRPr="00B0693D">
        <w:rPr>
          <w:rFonts w:asciiTheme="majorBidi" w:hAnsiTheme="majorBidi" w:cstheme="majorBidi"/>
          <w:b/>
          <w:bCs/>
        </w:rPr>
        <w:t>Figure A2.</w:t>
      </w:r>
      <w:r w:rsidRPr="00B0693D">
        <w:rPr>
          <w:rFonts w:asciiTheme="majorBidi" w:hAnsiTheme="majorBidi" w:cstheme="majorBidi"/>
        </w:rPr>
        <w:t xml:space="preserve"> ’In-time placebo effect of 1975’ EHII Gini Iran vs. synthetic Iran</w:t>
      </w:r>
    </w:p>
    <w:p w:rsidR="002D591C" w:rsidRPr="00B0693D" w:rsidRDefault="002D591C" w:rsidP="00B0693D">
      <w:pPr>
        <w:autoSpaceDE w:val="0"/>
        <w:autoSpaceDN w:val="0"/>
        <w:adjustRightInd w:val="0"/>
        <w:spacing w:before="120" w:after="0" w:line="360" w:lineRule="auto"/>
        <w:rPr>
          <w:rFonts w:asciiTheme="majorBidi" w:hAnsiTheme="majorBidi" w:cstheme="majorBidi"/>
        </w:rPr>
      </w:pPr>
      <w:r w:rsidRPr="00B0693D">
        <w:rPr>
          <w:rFonts w:asciiTheme="majorBidi" w:hAnsiTheme="majorBidi" w:cstheme="majorBidi"/>
          <w:noProof/>
          <w:lang w:val="de-DE" w:eastAsia="de-DE"/>
        </w:rPr>
        <w:drawing>
          <wp:inline distT="0" distB="0" distL="0" distR="0" wp14:anchorId="18715D1C" wp14:editId="500DCC2B">
            <wp:extent cx="5026025" cy="36576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t xml:space="preserve">We also re-examined the results by selecting the 1980 which was the start of war with Iraq as treatment year instead of revolution year. The results are shown in Figure A3, indicating that divergence between Iran and its counterfactual income inequality already started by the revolution. War period amplified the gap.  </w:t>
      </w:r>
    </w:p>
    <w:p w:rsidR="002D591C" w:rsidRPr="00B0693D" w:rsidRDefault="002D591C" w:rsidP="00B0693D">
      <w:pPr>
        <w:spacing w:after="120" w:line="240" w:lineRule="auto"/>
        <w:rPr>
          <w:rFonts w:asciiTheme="majorBidi" w:hAnsiTheme="majorBidi" w:cstheme="majorBidi"/>
          <w:b/>
          <w:bCs/>
        </w:rPr>
      </w:pPr>
      <w:r w:rsidRPr="00B0693D">
        <w:rPr>
          <w:rFonts w:asciiTheme="majorBidi" w:hAnsiTheme="majorBidi" w:cstheme="majorBidi"/>
          <w:b/>
          <w:bCs/>
        </w:rPr>
        <w:br w:type="page"/>
      </w:r>
    </w:p>
    <w:p w:rsidR="002D591C" w:rsidRPr="00B0693D" w:rsidRDefault="002D591C" w:rsidP="00B0693D">
      <w:pPr>
        <w:autoSpaceDE w:val="0"/>
        <w:autoSpaceDN w:val="0"/>
        <w:adjustRightInd w:val="0"/>
        <w:spacing w:before="120" w:after="0" w:line="360" w:lineRule="auto"/>
        <w:rPr>
          <w:rFonts w:asciiTheme="majorBidi" w:hAnsiTheme="majorBidi" w:cstheme="majorBidi"/>
        </w:rPr>
      </w:pPr>
      <w:r w:rsidRPr="00B0693D">
        <w:rPr>
          <w:rFonts w:asciiTheme="majorBidi" w:hAnsiTheme="majorBidi" w:cstheme="majorBidi"/>
          <w:b/>
          <w:bCs/>
        </w:rPr>
        <w:lastRenderedPageBreak/>
        <w:t>Figure A3.</w:t>
      </w:r>
      <w:r w:rsidRPr="00B0693D">
        <w:rPr>
          <w:rFonts w:asciiTheme="majorBidi" w:hAnsiTheme="majorBidi" w:cstheme="majorBidi"/>
        </w:rPr>
        <w:t xml:space="preserve"> ’In-time placebo effect of 1980’ EHII Gini Iran vs. synthetic Iran</w:t>
      </w:r>
    </w:p>
    <w:p w:rsidR="002D591C" w:rsidRPr="00B0693D" w:rsidRDefault="002D591C" w:rsidP="00B0693D">
      <w:pPr>
        <w:autoSpaceDE w:val="0"/>
        <w:autoSpaceDN w:val="0"/>
        <w:adjustRightInd w:val="0"/>
        <w:spacing w:before="120" w:after="0" w:line="360" w:lineRule="auto"/>
        <w:rPr>
          <w:rFonts w:asciiTheme="majorBidi" w:hAnsiTheme="majorBidi" w:cstheme="majorBidi"/>
        </w:rPr>
      </w:pPr>
      <w:r w:rsidRPr="00B0693D">
        <w:rPr>
          <w:rFonts w:asciiTheme="majorBidi" w:hAnsiTheme="majorBidi" w:cstheme="majorBidi"/>
          <w:noProof/>
          <w:lang w:val="de-DE" w:eastAsia="de-DE"/>
        </w:rPr>
        <w:drawing>
          <wp:inline distT="0" distB="0" distL="0" distR="0" wp14:anchorId="3C5E7506" wp14:editId="0EBC3422">
            <wp:extent cx="5026025" cy="3657600"/>
            <wp:effectExtent l="0" t="0" r="317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b/>
          <w:bCs/>
          <w:i/>
          <w:iCs/>
        </w:rPr>
      </w:pPr>
      <w:r w:rsidRPr="00B0693D">
        <w:rPr>
          <w:rFonts w:asciiTheme="majorBidi" w:hAnsiTheme="majorBidi" w:cstheme="majorBidi"/>
          <w:b/>
          <w:bCs/>
          <w:i/>
          <w:iCs/>
        </w:rPr>
        <w:t>A3. Robustness check: leave-one-out</w:t>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t xml:space="preserve">Is our main finding in Figure 3 sensitive to the inclusion of specific countries from the list of donor countries? To examine the robustness of our results and to ensure that the obtained results are not attributed to a single country in the synthetic control unit, we implement a </w:t>
      </w:r>
      <w:r w:rsidRPr="00B0693D">
        <w:rPr>
          <w:rFonts w:asciiTheme="majorBidi" w:hAnsiTheme="majorBidi" w:cstheme="majorBidi"/>
          <w:i/>
        </w:rPr>
        <w:t>leave-one-out</w:t>
      </w:r>
      <w:r w:rsidRPr="00B0693D">
        <w:rPr>
          <w:rFonts w:asciiTheme="majorBidi" w:hAnsiTheme="majorBidi" w:cstheme="majorBidi"/>
        </w:rPr>
        <w:t xml:space="preserve"> analysis. In this robustness test, the most influential countries are respectively excluded from the donor pool. The main countries which contributed in building the synthetic Iran in our main analysis are Kenya (64 %), Chile (16.8 %), Singapore (11 %), and Turkey (8.2 %). </w:t>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t xml:space="preserve">The </w:t>
      </w:r>
      <w:r w:rsidRPr="00B0693D">
        <w:rPr>
          <w:rFonts w:asciiTheme="majorBidi" w:hAnsiTheme="majorBidi" w:cstheme="majorBidi"/>
          <w:i/>
        </w:rPr>
        <w:t>leave-one-out</w:t>
      </w:r>
      <w:r w:rsidRPr="00B0693D">
        <w:rPr>
          <w:rFonts w:asciiTheme="majorBidi" w:hAnsiTheme="majorBidi" w:cstheme="majorBidi"/>
        </w:rPr>
        <w:t xml:space="preserve"> analysis generates four other synthetic versions of Iran, in addition to the main synthetic version. These counterfactual versions of Iran are estimated after excluding Kenya, Chile, Singapore, and Turkey, respectively. Figure A4 illustrates that the income inequality of the additional counterfactual versions have considerable gaps compared with the factual Iran. </w:t>
      </w:r>
    </w:p>
    <w:p w:rsidR="002D591C" w:rsidRPr="00B0693D" w:rsidRDefault="002D591C" w:rsidP="00B0693D">
      <w:pPr>
        <w:autoSpaceDE w:val="0"/>
        <w:autoSpaceDN w:val="0"/>
        <w:adjustRightInd w:val="0"/>
        <w:spacing w:before="120" w:after="0" w:line="240" w:lineRule="auto"/>
        <w:jc w:val="both"/>
        <w:rPr>
          <w:rFonts w:asciiTheme="majorBidi" w:hAnsiTheme="majorBidi" w:cstheme="majorBidi"/>
          <w:b/>
          <w:bCs/>
        </w:rPr>
      </w:pPr>
    </w:p>
    <w:p w:rsidR="002D591C" w:rsidRPr="00B0693D" w:rsidRDefault="002D591C" w:rsidP="00B0693D">
      <w:pPr>
        <w:spacing w:after="120" w:line="240" w:lineRule="auto"/>
        <w:rPr>
          <w:rFonts w:asciiTheme="majorBidi" w:hAnsiTheme="majorBidi" w:cstheme="majorBidi"/>
          <w:b/>
          <w:bCs/>
        </w:rPr>
      </w:pPr>
      <w:r w:rsidRPr="00B0693D">
        <w:rPr>
          <w:rFonts w:asciiTheme="majorBidi" w:hAnsiTheme="majorBidi" w:cstheme="majorBidi"/>
          <w:b/>
          <w:bCs/>
        </w:rPr>
        <w:br w:type="page"/>
      </w:r>
    </w:p>
    <w:p w:rsidR="002D591C" w:rsidRPr="00B0693D" w:rsidRDefault="002D591C" w:rsidP="00B0693D">
      <w:pPr>
        <w:autoSpaceDE w:val="0"/>
        <w:autoSpaceDN w:val="0"/>
        <w:adjustRightInd w:val="0"/>
        <w:spacing w:before="120" w:after="0" w:line="240" w:lineRule="auto"/>
        <w:jc w:val="both"/>
        <w:rPr>
          <w:rFonts w:asciiTheme="majorBidi" w:hAnsiTheme="majorBidi" w:cstheme="majorBidi"/>
        </w:rPr>
      </w:pPr>
      <w:r w:rsidRPr="00B0693D">
        <w:rPr>
          <w:rFonts w:asciiTheme="majorBidi" w:hAnsiTheme="majorBidi" w:cstheme="majorBidi"/>
          <w:b/>
          <w:bCs/>
        </w:rPr>
        <w:lastRenderedPageBreak/>
        <w:t>Figure A4.</w:t>
      </w:r>
      <w:r w:rsidRPr="00B0693D">
        <w:rPr>
          <w:rFonts w:asciiTheme="majorBidi" w:hAnsiTheme="majorBidi" w:cstheme="majorBidi"/>
          <w:sz w:val="20"/>
          <w:szCs w:val="20"/>
        </w:rPr>
        <w:t xml:space="preserve"> </w:t>
      </w:r>
      <w:r w:rsidRPr="00B0693D">
        <w:rPr>
          <w:rFonts w:asciiTheme="majorBidi" w:hAnsiTheme="majorBidi" w:cstheme="majorBidi"/>
        </w:rPr>
        <w:t>Leave-one-out distribution of the synthetic control for Iran</w:t>
      </w:r>
    </w:p>
    <w:p w:rsidR="002D591C" w:rsidRPr="00B0693D" w:rsidRDefault="002D591C" w:rsidP="00B0693D">
      <w:pPr>
        <w:autoSpaceDE w:val="0"/>
        <w:autoSpaceDN w:val="0"/>
        <w:adjustRightInd w:val="0"/>
        <w:spacing w:before="120" w:after="0" w:line="480" w:lineRule="auto"/>
        <w:jc w:val="both"/>
        <w:rPr>
          <w:rFonts w:asciiTheme="majorBidi" w:hAnsiTheme="majorBidi" w:cstheme="majorBidi"/>
          <w:sz w:val="24"/>
          <w:szCs w:val="24"/>
        </w:rPr>
      </w:pPr>
      <w:r w:rsidRPr="00B0693D">
        <w:rPr>
          <w:rFonts w:asciiTheme="majorBidi" w:hAnsiTheme="majorBidi" w:cstheme="majorBidi"/>
          <w:noProof/>
          <w:sz w:val="24"/>
          <w:szCs w:val="24"/>
          <w:lang w:val="de-DE" w:eastAsia="de-DE"/>
        </w:rPr>
        <w:drawing>
          <wp:inline distT="0" distB="0" distL="0" distR="0" wp14:anchorId="6528C4BB" wp14:editId="6810259A">
            <wp:extent cx="5029200" cy="36576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rPr>
      </w:pPr>
      <w:r w:rsidRPr="00B0693D">
        <w:rPr>
          <w:rFonts w:asciiTheme="majorBidi" w:hAnsiTheme="majorBidi" w:cstheme="majorBidi"/>
        </w:rPr>
        <w:t>Compared with its main synthetic version, this average annual gap is -9 units. The gaps in the average annual EHII Gini index after excluding Kenya, Chile, Singapore, and Turkey are -7.3, -7.4, -9.05, and -8.83, respectively (see Table A1). Thus, we can conclude that the main finding is not sensitive to the exclusion of any particular country from the sample of the donor pool. In all cases, the calculated gap in the income inequality of the factual Iran and its counterfactual in the post-1978 period is significant.</w:t>
      </w:r>
    </w:p>
    <w:p w:rsidR="002D591C" w:rsidRPr="00B0693D" w:rsidRDefault="002D591C" w:rsidP="00B0693D">
      <w:pPr>
        <w:spacing w:after="120" w:line="240" w:lineRule="auto"/>
        <w:jc w:val="both"/>
        <w:rPr>
          <w:rFonts w:asciiTheme="majorBidi" w:hAnsiTheme="majorBidi" w:cstheme="majorBidi"/>
        </w:rPr>
      </w:pPr>
      <w:r w:rsidRPr="00B0693D">
        <w:rPr>
          <w:rFonts w:asciiTheme="majorBidi" w:hAnsiTheme="majorBidi" w:cstheme="majorBidi"/>
        </w:rPr>
        <w:br w:type="page"/>
      </w:r>
    </w:p>
    <w:p w:rsidR="002D591C" w:rsidRPr="00B0693D" w:rsidRDefault="002D591C" w:rsidP="00B0693D">
      <w:pPr>
        <w:spacing w:after="0" w:line="360" w:lineRule="auto"/>
        <w:jc w:val="both"/>
        <w:rPr>
          <w:rFonts w:asciiTheme="majorBidi" w:hAnsiTheme="majorBidi" w:cstheme="majorBidi"/>
          <w:b/>
          <w:bCs/>
        </w:rPr>
      </w:pPr>
      <w:r w:rsidRPr="00B0693D">
        <w:rPr>
          <w:rFonts w:asciiTheme="majorBidi" w:hAnsiTheme="majorBidi" w:cstheme="majorBidi"/>
          <w:b/>
          <w:bCs/>
        </w:rPr>
        <w:lastRenderedPageBreak/>
        <w:t xml:space="preserve">Table A1. </w:t>
      </w:r>
      <w:r w:rsidRPr="00B0693D">
        <w:rPr>
          <w:rFonts w:asciiTheme="majorBidi" w:hAnsiTheme="majorBidi" w:cstheme="majorBidi"/>
        </w:rPr>
        <w:t>Gap between EHII-Gini index of factual Iran and its different synthetic versions in leave-one-out analysis</w:t>
      </w:r>
    </w:p>
    <w:tbl>
      <w:tblPr>
        <w:tblStyle w:val="Tabellenraster"/>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061"/>
        <w:gridCol w:w="1508"/>
        <w:gridCol w:w="1675"/>
        <w:gridCol w:w="1623"/>
        <w:gridCol w:w="1862"/>
      </w:tblGrid>
      <w:tr w:rsidR="00E24528" w:rsidRPr="00B0693D" w:rsidTr="001305BE">
        <w:trPr>
          <w:trHeight w:val="290"/>
        </w:trPr>
        <w:tc>
          <w:tcPr>
            <w:tcW w:w="2380" w:type="dxa"/>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lang w:val="de-DE"/>
              </w:rPr>
            </w:pPr>
            <w:r w:rsidRPr="00B0693D">
              <w:rPr>
                <w:rFonts w:asciiTheme="majorBidi" w:hAnsiTheme="majorBidi" w:cstheme="majorBidi"/>
              </w:rPr>
              <w:t>Year</w:t>
            </w:r>
          </w:p>
        </w:tc>
        <w:tc>
          <w:tcPr>
            <w:tcW w:w="1840" w:type="dxa"/>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main model</w:t>
            </w:r>
          </w:p>
        </w:tc>
        <w:tc>
          <w:tcPr>
            <w:tcW w:w="2700" w:type="dxa"/>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Kenya</w:t>
            </w:r>
          </w:p>
        </w:tc>
        <w:tc>
          <w:tcPr>
            <w:tcW w:w="3020" w:type="dxa"/>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Chile</w:t>
            </w:r>
          </w:p>
        </w:tc>
        <w:tc>
          <w:tcPr>
            <w:tcW w:w="2920" w:type="dxa"/>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Singapore</w:t>
            </w:r>
          </w:p>
        </w:tc>
        <w:tc>
          <w:tcPr>
            <w:tcW w:w="3380" w:type="dxa"/>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Turkey</w:t>
            </w:r>
          </w:p>
        </w:tc>
      </w:tr>
      <w:tr w:rsidR="00E24528" w:rsidRPr="00B0693D" w:rsidTr="001305BE">
        <w:trPr>
          <w:trHeight w:val="290"/>
        </w:trPr>
        <w:tc>
          <w:tcPr>
            <w:tcW w:w="2380" w:type="dxa"/>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1970</w:t>
            </w:r>
          </w:p>
        </w:tc>
        <w:tc>
          <w:tcPr>
            <w:tcW w:w="1840" w:type="dxa"/>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0.38</w:t>
            </w:r>
          </w:p>
        </w:tc>
        <w:tc>
          <w:tcPr>
            <w:tcW w:w="2700" w:type="dxa"/>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1.94</w:t>
            </w:r>
          </w:p>
        </w:tc>
        <w:tc>
          <w:tcPr>
            <w:tcW w:w="3020" w:type="dxa"/>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0.56</w:t>
            </w:r>
          </w:p>
        </w:tc>
        <w:tc>
          <w:tcPr>
            <w:tcW w:w="2920" w:type="dxa"/>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0.75</w:t>
            </w:r>
          </w:p>
        </w:tc>
        <w:tc>
          <w:tcPr>
            <w:tcW w:w="3380" w:type="dxa"/>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0.20</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1971</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-0.25</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0.98</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-0.22</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0.00</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-0.30</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1972</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0.36</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0.53</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0.01</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0.47</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0.48</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1973</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-0.72</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-0.77</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-1.05</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-0.60</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-0.68</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1974</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0.08</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0.00</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0.00</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0.10</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0.08</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1975</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0.48</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0.46</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0.47</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0.48</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0.55</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1976</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-0.42</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-0.70</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-0.17</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-0.38</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-0.48</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1977</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0.22</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-0.19</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0.47</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0.28</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0.22</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1978</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0.45</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0.50</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1.12</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0.64</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0.59</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1979</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-1.79</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-0.39</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-0.35</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-1.43</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-1.37</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1980</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-5.31</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-5.15</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-4.06</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-5.36</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-5.01</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1981</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-8.47</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-8.12</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-7.17</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-8.66</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-8.24</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1982</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-9.35</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-8.30</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-7.91</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-9.54</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-9.18</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1983</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-9.64</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-8.10</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-8.08</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-10.00</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-9.55</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1984</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-11.01</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-8.20</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-9.06</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-11.19</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-10.88</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1985</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-12.07</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-9.19</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-10.28</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-12.12</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-12.01</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1986</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-11.84</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-9.48</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-10.14</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-11.77</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-11.84</w:t>
            </w:r>
          </w:p>
        </w:tc>
      </w:tr>
      <w:tr w:rsidR="00E24528" w:rsidRPr="00B0693D" w:rsidTr="001305BE">
        <w:trPr>
          <w:trHeight w:val="290"/>
        </w:trPr>
        <w:tc>
          <w:tcPr>
            <w:tcW w:w="2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1987</w:t>
            </w:r>
          </w:p>
        </w:tc>
        <w:tc>
          <w:tcPr>
            <w:tcW w:w="184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-9.97</w:t>
            </w:r>
          </w:p>
        </w:tc>
        <w:tc>
          <w:tcPr>
            <w:tcW w:w="270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-7.93</w:t>
            </w:r>
          </w:p>
        </w:tc>
        <w:tc>
          <w:tcPr>
            <w:tcW w:w="30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-8.34</w:t>
            </w:r>
          </w:p>
        </w:tc>
        <w:tc>
          <w:tcPr>
            <w:tcW w:w="292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-9.82</w:t>
            </w:r>
          </w:p>
        </w:tc>
        <w:tc>
          <w:tcPr>
            <w:tcW w:w="3380" w:type="dxa"/>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-9.86</w:t>
            </w:r>
          </w:p>
        </w:tc>
      </w:tr>
      <w:tr w:rsidR="00E24528" w:rsidRPr="00B0693D" w:rsidTr="001305BE">
        <w:trPr>
          <w:trHeight w:val="290"/>
        </w:trPr>
        <w:tc>
          <w:tcPr>
            <w:tcW w:w="2380" w:type="dxa"/>
            <w:tcBorders>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1988</w:t>
            </w:r>
          </w:p>
        </w:tc>
        <w:tc>
          <w:tcPr>
            <w:tcW w:w="1840" w:type="dxa"/>
            <w:tcBorders>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-10.60</w:t>
            </w:r>
          </w:p>
        </w:tc>
        <w:tc>
          <w:tcPr>
            <w:tcW w:w="2700" w:type="dxa"/>
            <w:tcBorders>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-8.57</w:t>
            </w:r>
          </w:p>
        </w:tc>
        <w:tc>
          <w:tcPr>
            <w:tcW w:w="3020" w:type="dxa"/>
            <w:tcBorders>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-8.88</w:t>
            </w:r>
          </w:p>
        </w:tc>
        <w:tc>
          <w:tcPr>
            <w:tcW w:w="2920" w:type="dxa"/>
            <w:tcBorders>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-10.62</w:t>
            </w:r>
          </w:p>
        </w:tc>
        <w:tc>
          <w:tcPr>
            <w:tcW w:w="3380" w:type="dxa"/>
            <w:tcBorders>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-10.38</w:t>
            </w:r>
          </w:p>
        </w:tc>
      </w:tr>
      <w:tr w:rsidR="00E24528" w:rsidRPr="00B0693D" w:rsidTr="001305BE">
        <w:trPr>
          <w:trHeight w:val="290"/>
        </w:trPr>
        <w:tc>
          <w:tcPr>
            <w:tcW w:w="2380" w:type="dxa"/>
            <w:tcBorders>
              <w:top w:val="single" w:sz="8" w:space="0" w:color="auto"/>
              <w:bottom w:val="single" w:sz="8"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Average gap (1979-1988)</w:t>
            </w:r>
          </w:p>
        </w:tc>
        <w:tc>
          <w:tcPr>
            <w:tcW w:w="1840" w:type="dxa"/>
            <w:tcBorders>
              <w:top w:val="single" w:sz="8" w:space="0" w:color="auto"/>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-9.00</w:t>
            </w:r>
          </w:p>
        </w:tc>
        <w:tc>
          <w:tcPr>
            <w:tcW w:w="2700" w:type="dxa"/>
            <w:tcBorders>
              <w:top w:val="single" w:sz="8" w:space="0" w:color="auto"/>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-7.34</w:t>
            </w:r>
          </w:p>
        </w:tc>
        <w:tc>
          <w:tcPr>
            <w:tcW w:w="3020" w:type="dxa"/>
            <w:tcBorders>
              <w:top w:val="single" w:sz="8" w:space="0" w:color="auto"/>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-7.43</w:t>
            </w:r>
          </w:p>
        </w:tc>
        <w:tc>
          <w:tcPr>
            <w:tcW w:w="2920" w:type="dxa"/>
            <w:tcBorders>
              <w:top w:val="single" w:sz="8" w:space="0" w:color="auto"/>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-9.05</w:t>
            </w:r>
          </w:p>
        </w:tc>
        <w:tc>
          <w:tcPr>
            <w:tcW w:w="3380" w:type="dxa"/>
            <w:tcBorders>
              <w:top w:val="single" w:sz="8" w:space="0" w:color="auto"/>
              <w:bottom w:val="single" w:sz="8"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-8.83</w:t>
            </w:r>
          </w:p>
        </w:tc>
      </w:tr>
    </w:tbl>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spacing w:after="120" w:line="240" w:lineRule="auto"/>
        <w:rPr>
          <w:rFonts w:asciiTheme="majorBidi" w:hAnsiTheme="majorBidi" w:cstheme="majorBidi"/>
          <w:b/>
          <w:bCs/>
          <w:i/>
          <w:iCs/>
          <w:sz w:val="24"/>
          <w:szCs w:val="24"/>
        </w:rPr>
      </w:pPr>
      <w:r w:rsidRPr="00B0693D">
        <w:rPr>
          <w:rFonts w:asciiTheme="majorBidi" w:hAnsiTheme="majorBidi" w:cstheme="majorBidi"/>
          <w:b/>
          <w:bCs/>
          <w:i/>
          <w:iCs/>
          <w:sz w:val="24"/>
          <w:szCs w:val="24"/>
        </w:rPr>
        <w:br w:type="page"/>
      </w:r>
    </w:p>
    <w:p w:rsidR="002D591C" w:rsidRPr="00B0693D" w:rsidRDefault="002D591C" w:rsidP="00B0693D">
      <w:pPr>
        <w:spacing w:after="120" w:line="240" w:lineRule="auto"/>
        <w:rPr>
          <w:rFonts w:asciiTheme="majorBidi" w:hAnsiTheme="majorBidi" w:cstheme="majorBidi"/>
          <w:b/>
          <w:bCs/>
          <w:i/>
          <w:iCs/>
          <w:sz w:val="24"/>
          <w:szCs w:val="24"/>
        </w:rPr>
      </w:pPr>
      <w:r w:rsidRPr="00B0693D">
        <w:rPr>
          <w:rFonts w:asciiTheme="majorBidi" w:hAnsiTheme="majorBidi" w:cstheme="majorBidi"/>
          <w:b/>
          <w:bCs/>
          <w:i/>
          <w:iCs/>
          <w:sz w:val="24"/>
          <w:szCs w:val="24"/>
        </w:rPr>
        <w:lastRenderedPageBreak/>
        <w:t>A4. Penalized Synthetic Control</w:t>
      </w:r>
    </w:p>
    <w:p w:rsidR="002D591C" w:rsidRPr="00B0693D" w:rsidRDefault="002D591C" w:rsidP="00B0693D">
      <w:pPr>
        <w:spacing w:after="120" w:line="360" w:lineRule="auto"/>
        <w:jc w:val="both"/>
        <w:rPr>
          <w:rFonts w:asciiTheme="majorBidi" w:hAnsiTheme="majorBidi" w:cstheme="majorBidi"/>
          <w:sz w:val="24"/>
          <w:szCs w:val="24"/>
        </w:rPr>
      </w:pPr>
      <w:r w:rsidRPr="00B0693D">
        <w:rPr>
          <w:rFonts w:asciiTheme="majorBidi" w:hAnsiTheme="majorBidi" w:cstheme="majorBidi"/>
          <w:sz w:val="24"/>
          <w:szCs w:val="24"/>
        </w:rPr>
        <w:t>Classic synthetic control estimators could potentially be affected by interpolation biases. This may happen if the “donor pool” of untreated countries that are allowed to contribute to a synthetic control includes countries that are far from the treated country in the space of the predictors of the outcome variable. Moreover, this bias can arise if donor countries are selected with outcomes (i.e., the Gini index) far from the treated country (Iran). Abadie and L'Hour (2021) introduce a synthetic control estimator which penalizes the pairwise differences between the characteristics of the treated unit and the units which are contributing to the generation of synthetic unit. They propose a bias-correction technique similar to that in Ben-Michael, Feller, and Rothstein (2021).</w:t>
      </w:r>
      <w:r w:rsidRPr="00B0693D">
        <w:rPr>
          <w:rFonts w:asciiTheme="majorBidi" w:hAnsiTheme="majorBidi" w:cstheme="majorBidi"/>
        </w:rPr>
        <w:t xml:space="preserve"> </w:t>
      </w:r>
      <w:r w:rsidRPr="00B0693D">
        <w:rPr>
          <w:rFonts w:asciiTheme="majorBidi" w:hAnsiTheme="majorBidi" w:cstheme="majorBidi"/>
          <w:sz w:val="24"/>
          <w:szCs w:val="24"/>
        </w:rPr>
        <w:t>The modification of the SCM suggested by Abadie and L’Hour (2021) helps to reduce this bias (McClelland and Mucciolo, 2022).</w:t>
      </w:r>
    </w:p>
    <w:p w:rsidR="002D591C" w:rsidRPr="00B0693D" w:rsidRDefault="002D591C" w:rsidP="00B0693D">
      <w:pPr>
        <w:spacing w:after="120" w:line="360" w:lineRule="auto"/>
        <w:jc w:val="both"/>
        <w:rPr>
          <w:rFonts w:asciiTheme="majorBidi" w:hAnsiTheme="majorBidi" w:cstheme="majorBidi"/>
          <w:sz w:val="24"/>
          <w:szCs w:val="24"/>
        </w:rPr>
      </w:pPr>
      <w:r w:rsidRPr="00B0693D">
        <w:rPr>
          <w:rFonts w:asciiTheme="majorBidi" w:hAnsiTheme="majorBidi" w:cstheme="majorBidi"/>
          <w:sz w:val="24"/>
          <w:szCs w:val="24"/>
        </w:rPr>
        <w:t xml:space="preserve">We showed in Table 2 that there are some discrepancies between some of predictors between Iran and its counterfactual. We reexamine our main results, using the penalized synthetic control approach which delivers bias-correction for inexact matching (Wiltshire, 2021). Figure A5 shows the Gini gap between Iran and its counterfactual as a result of joint effect of revolution and war based on classic and bias- corrected synthetic control. The bias-corrected gap shows that the fall in income inequality in Iran compared to its synthetic one is even stronger for the initial years after revolution (1979-1982). For the period of 1982-1988, both calculated gaps are almost identical. </w:t>
      </w:r>
    </w:p>
    <w:p w:rsidR="002D591C" w:rsidRPr="00B0693D" w:rsidRDefault="002D591C" w:rsidP="00B0693D">
      <w:pPr>
        <w:spacing w:after="120" w:line="360" w:lineRule="auto"/>
        <w:jc w:val="both"/>
        <w:rPr>
          <w:rFonts w:asciiTheme="majorBidi" w:hAnsiTheme="majorBidi" w:cstheme="majorBidi"/>
          <w:sz w:val="24"/>
          <w:szCs w:val="24"/>
        </w:rPr>
      </w:pPr>
      <w:r w:rsidRPr="00B0693D">
        <w:rPr>
          <w:rFonts w:asciiTheme="majorBidi" w:hAnsiTheme="majorBidi" w:cstheme="majorBidi"/>
          <w:sz w:val="24"/>
          <w:szCs w:val="24"/>
        </w:rPr>
        <w:t xml:space="preserve">By default, bias-corrected synthetic control uses OLS regression with the entire donor pool to estimate the bias associated with inexact matching on predictor variables. Other available methods for correction of bias are </w:t>
      </w:r>
      <w:r w:rsidRPr="00B0693D">
        <w:rPr>
          <w:rFonts w:asciiTheme="majorBidi" w:hAnsiTheme="majorBidi" w:cstheme="majorBidi"/>
          <w:i/>
          <w:iCs/>
          <w:sz w:val="24"/>
          <w:szCs w:val="24"/>
        </w:rPr>
        <w:t>posonly</w:t>
      </w:r>
      <w:r w:rsidRPr="00B0693D">
        <w:rPr>
          <w:rFonts w:asciiTheme="majorBidi" w:hAnsiTheme="majorBidi" w:cstheme="majorBidi"/>
          <w:sz w:val="24"/>
          <w:szCs w:val="24"/>
        </w:rPr>
        <w:t xml:space="preserve"> which will estimate the bias using OLS regression with only the positively-weighted donor pool units; </w:t>
      </w:r>
      <w:r w:rsidRPr="00B0693D">
        <w:rPr>
          <w:rFonts w:asciiTheme="majorBidi" w:hAnsiTheme="majorBidi" w:cstheme="majorBidi"/>
          <w:i/>
          <w:iCs/>
          <w:sz w:val="24"/>
          <w:szCs w:val="24"/>
        </w:rPr>
        <w:t>ridge</w:t>
      </w:r>
      <w:r w:rsidRPr="00B0693D">
        <w:rPr>
          <w:rFonts w:asciiTheme="majorBidi" w:hAnsiTheme="majorBidi" w:cstheme="majorBidi"/>
          <w:sz w:val="24"/>
          <w:szCs w:val="24"/>
        </w:rPr>
        <w:t xml:space="preserve"> which will estimate the bias using ridge regression with the entire donor pool; </w:t>
      </w:r>
      <w:r w:rsidRPr="00B0693D">
        <w:rPr>
          <w:rFonts w:asciiTheme="majorBidi" w:hAnsiTheme="majorBidi" w:cstheme="majorBidi"/>
          <w:i/>
          <w:iCs/>
          <w:sz w:val="24"/>
          <w:szCs w:val="24"/>
        </w:rPr>
        <w:t>lasso</w:t>
      </w:r>
      <w:r w:rsidRPr="00B0693D">
        <w:rPr>
          <w:rFonts w:asciiTheme="majorBidi" w:hAnsiTheme="majorBidi" w:cstheme="majorBidi"/>
          <w:sz w:val="24"/>
          <w:szCs w:val="24"/>
        </w:rPr>
        <w:t xml:space="preserve"> which will estimate the bias using lasso regression with the entire donor pool; and </w:t>
      </w:r>
      <w:r w:rsidRPr="00B0693D">
        <w:rPr>
          <w:rFonts w:asciiTheme="majorBidi" w:hAnsiTheme="majorBidi" w:cstheme="majorBidi"/>
          <w:i/>
          <w:iCs/>
          <w:sz w:val="24"/>
          <w:szCs w:val="24"/>
        </w:rPr>
        <w:t>elastic</w:t>
      </w:r>
      <w:r w:rsidRPr="00B0693D">
        <w:rPr>
          <w:rFonts w:asciiTheme="majorBidi" w:hAnsiTheme="majorBidi" w:cstheme="majorBidi"/>
          <w:sz w:val="24"/>
          <w:szCs w:val="24"/>
        </w:rPr>
        <w:t xml:space="preserve"> which will estimate the bias using an elastic net regression (Wiltshire, 2021). </w:t>
      </w:r>
    </w:p>
    <w:p w:rsidR="002D591C" w:rsidRPr="00B0693D" w:rsidRDefault="002D591C" w:rsidP="00B0693D">
      <w:pPr>
        <w:spacing w:after="120" w:line="360" w:lineRule="auto"/>
        <w:jc w:val="both"/>
        <w:rPr>
          <w:rFonts w:asciiTheme="majorBidi" w:hAnsiTheme="majorBidi" w:cstheme="majorBidi"/>
          <w:sz w:val="24"/>
          <w:szCs w:val="24"/>
        </w:rPr>
      </w:pPr>
      <w:r w:rsidRPr="00B0693D">
        <w:rPr>
          <w:rFonts w:asciiTheme="majorBidi" w:hAnsiTheme="majorBidi" w:cstheme="majorBidi"/>
          <w:sz w:val="24"/>
          <w:szCs w:val="24"/>
        </w:rPr>
        <w:t xml:space="preserve">The results show that the calculated bias-corrected Gini gap between Iran and its synthetic is almost identical with classic gap when we use ridge, lasso or elastic net regression with the entire donor pool. Estimating the bias using OLS regression with only the positively-weighted donor pool units produces a similar figure as in the default OLS method. </w:t>
      </w:r>
    </w:p>
    <w:p w:rsidR="002D591C" w:rsidRPr="00B0693D" w:rsidRDefault="002D591C" w:rsidP="00B0693D">
      <w:pPr>
        <w:spacing w:after="120" w:line="240" w:lineRule="auto"/>
        <w:rPr>
          <w:rFonts w:asciiTheme="majorBidi" w:hAnsiTheme="majorBidi" w:cstheme="majorBidi"/>
          <w:b/>
          <w:bCs/>
          <w:sz w:val="24"/>
          <w:szCs w:val="24"/>
        </w:rPr>
      </w:pPr>
      <w:r w:rsidRPr="00B0693D">
        <w:rPr>
          <w:rFonts w:asciiTheme="majorBidi" w:hAnsiTheme="majorBidi" w:cstheme="majorBidi"/>
          <w:b/>
          <w:bCs/>
          <w:sz w:val="24"/>
          <w:szCs w:val="24"/>
        </w:rPr>
        <w:br w:type="page"/>
      </w:r>
    </w:p>
    <w:p w:rsidR="002D591C" w:rsidRPr="00B0693D" w:rsidRDefault="002D591C" w:rsidP="00B0693D">
      <w:pPr>
        <w:spacing w:after="120" w:line="240" w:lineRule="auto"/>
        <w:rPr>
          <w:rFonts w:asciiTheme="majorBidi" w:hAnsiTheme="majorBidi" w:cstheme="majorBidi"/>
          <w:sz w:val="24"/>
          <w:szCs w:val="24"/>
        </w:rPr>
      </w:pPr>
      <w:r w:rsidRPr="00B0693D">
        <w:rPr>
          <w:rFonts w:asciiTheme="majorBidi" w:hAnsiTheme="majorBidi" w:cstheme="majorBidi"/>
          <w:b/>
          <w:bCs/>
          <w:sz w:val="24"/>
          <w:szCs w:val="24"/>
        </w:rPr>
        <w:lastRenderedPageBreak/>
        <w:t>Figure A5.</w:t>
      </w:r>
      <w:r w:rsidRPr="00B0693D">
        <w:rPr>
          <w:rFonts w:asciiTheme="majorBidi" w:hAnsiTheme="majorBidi" w:cstheme="majorBidi"/>
          <w:sz w:val="24"/>
          <w:szCs w:val="24"/>
        </w:rPr>
        <w:t xml:space="preserve"> EHII Gini gap in classic and bias-corrected synthetic control</w:t>
      </w:r>
    </w:p>
    <w:p w:rsidR="002D591C" w:rsidRPr="00B0693D" w:rsidRDefault="002D591C" w:rsidP="00B0693D">
      <w:pPr>
        <w:spacing w:after="120" w:line="240" w:lineRule="auto"/>
        <w:rPr>
          <w:rFonts w:asciiTheme="majorBidi" w:hAnsiTheme="majorBidi" w:cstheme="majorBidi"/>
          <w:sz w:val="24"/>
          <w:szCs w:val="24"/>
        </w:rPr>
      </w:pPr>
      <w:r w:rsidRPr="00B0693D">
        <w:rPr>
          <w:rFonts w:asciiTheme="majorBidi" w:hAnsiTheme="majorBidi" w:cstheme="majorBidi"/>
          <w:noProof/>
          <w:sz w:val="24"/>
          <w:szCs w:val="24"/>
          <w:lang w:val="de-DE" w:eastAsia="de-DE"/>
        </w:rPr>
        <w:drawing>
          <wp:inline distT="0" distB="0" distL="0" distR="0" wp14:anchorId="4E7F85D2" wp14:editId="0D3DB351">
            <wp:extent cx="5026025" cy="3657600"/>
            <wp:effectExtent l="0" t="0" r="317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rsidR="002D591C" w:rsidRPr="00B0693D" w:rsidRDefault="002D591C" w:rsidP="00B0693D">
      <w:pPr>
        <w:spacing w:after="120" w:line="240" w:lineRule="auto"/>
        <w:rPr>
          <w:rFonts w:asciiTheme="majorBidi" w:hAnsiTheme="majorBidi" w:cstheme="majorBidi"/>
          <w:b/>
          <w:bCs/>
          <w:i/>
          <w:iCs/>
          <w:sz w:val="24"/>
          <w:szCs w:val="24"/>
        </w:rPr>
      </w:pPr>
    </w:p>
    <w:p w:rsidR="002D591C" w:rsidRPr="00B0693D" w:rsidRDefault="002D591C" w:rsidP="00B0693D">
      <w:pPr>
        <w:spacing w:after="120" w:line="240" w:lineRule="auto"/>
        <w:rPr>
          <w:rFonts w:asciiTheme="majorBidi" w:hAnsiTheme="majorBidi" w:cstheme="majorBidi"/>
          <w:b/>
          <w:bCs/>
          <w:i/>
          <w:iCs/>
          <w:sz w:val="24"/>
          <w:szCs w:val="24"/>
        </w:rPr>
      </w:pPr>
      <w:r w:rsidRPr="00B0693D">
        <w:rPr>
          <w:rFonts w:asciiTheme="majorBidi" w:hAnsiTheme="majorBidi" w:cstheme="majorBidi"/>
          <w:b/>
          <w:bCs/>
          <w:i/>
          <w:iCs/>
          <w:sz w:val="24"/>
          <w:szCs w:val="24"/>
        </w:rPr>
        <w:t xml:space="preserve">A5. A more restrictive donor pool </w:t>
      </w:r>
    </w:p>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 xml:space="preserve">We also use a more restrictive donor sample. Originally, we examined a sample of 18 countries (see Table 1) where some countries are assigned non-zero weights through the SCM optimization process. We exclude several more countries (in addition to those which were excluded due to their experience of revolution or war). In this exercise, the excluded countries are Chile, Denmark, Kenya, Malta, the Netherlands, Norway, Korea and Singapore. This reduces our donor sample to 10 countries. Re-estimating the SCM for the case of Iran after these additional exclusions resulted in a similar path of development of the Gini index in post-revolution Iran and its counterfactual (see Figure A6). In this new SCM analysis, the counterfactual Iran is based on Ecuador (40.7%) and India (59.3%). </w:t>
      </w:r>
    </w:p>
    <w:p w:rsidR="002D591C" w:rsidRPr="00B0693D" w:rsidRDefault="002D591C" w:rsidP="00B0693D">
      <w:pPr>
        <w:spacing w:line="360" w:lineRule="auto"/>
        <w:jc w:val="both"/>
        <w:rPr>
          <w:rFonts w:asciiTheme="majorBidi" w:hAnsiTheme="majorBidi" w:cstheme="majorBidi"/>
        </w:rPr>
      </w:pPr>
      <w:r w:rsidRPr="00B0693D">
        <w:rPr>
          <w:rFonts w:asciiTheme="majorBidi" w:hAnsiTheme="majorBidi" w:cstheme="majorBidi"/>
        </w:rPr>
        <w:t xml:space="preserve">Alternatively, we exclude countries such as Denmark, the Netherlands, Norway, Malta, South Korea and Singapore. This exclusion results in a donor sample size of 12 countries. In this case, we also obtain a similar SCM result as in the original result (see Figure A7). The synthetic Iran is now generated as the combination of Chile (20%), Kenya (59%) and Malaysia (21%). The Root Mean Squared Prediction Error in this latter case is smaller than the former adjustment (0.43 vs 0.93). </w:t>
      </w:r>
    </w:p>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spacing w:after="120" w:line="240" w:lineRule="auto"/>
        <w:rPr>
          <w:rFonts w:asciiTheme="majorBidi" w:hAnsiTheme="majorBidi" w:cstheme="majorBidi"/>
          <w:b/>
          <w:bCs/>
          <w:sz w:val="24"/>
          <w:szCs w:val="24"/>
        </w:rPr>
      </w:pPr>
      <w:r w:rsidRPr="00B0693D">
        <w:rPr>
          <w:rFonts w:asciiTheme="majorBidi" w:hAnsiTheme="majorBidi" w:cstheme="majorBidi"/>
          <w:b/>
          <w:bCs/>
          <w:sz w:val="24"/>
          <w:szCs w:val="24"/>
        </w:rPr>
        <w:br w:type="page"/>
      </w:r>
    </w:p>
    <w:p w:rsidR="002D591C" w:rsidRPr="00B0693D" w:rsidRDefault="002D591C" w:rsidP="00B0693D">
      <w:pPr>
        <w:spacing w:after="120" w:line="240" w:lineRule="auto"/>
        <w:rPr>
          <w:rFonts w:asciiTheme="majorBidi" w:hAnsiTheme="majorBidi" w:cstheme="majorBidi"/>
          <w:sz w:val="24"/>
          <w:szCs w:val="24"/>
        </w:rPr>
      </w:pPr>
      <w:r w:rsidRPr="00B0693D">
        <w:rPr>
          <w:rFonts w:asciiTheme="majorBidi" w:hAnsiTheme="majorBidi" w:cstheme="majorBidi"/>
          <w:b/>
          <w:bCs/>
          <w:sz w:val="24"/>
          <w:szCs w:val="24"/>
        </w:rPr>
        <w:lastRenderedPageBreak/>
        <w:t>Figure A6.</w:t>
      </w:r>
      <w:r w:rsidRPr="00B0693D">
        <w:rPr>
          <w:rFonts w:asciiTheme="majorBidi" w:hAnsiTheme="majorBidi" w:cstheme="majorBidi"/>
          <w:sz w:val="24"/>
          <w:szCs w:val="24"/>
        </w:rPr>
        <w:t xml:space="preserve"> Income inequality (EHII-Gini): Iran versus Synthetic Iran (restricted donor pool with 10 countries)</w:t>
      </w:r>
    </w:p>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noProof/>
          <w:lang w:val="de-DE" w:eastAsia="de-DE"/>
        </w:rPr>
        <w:drawing>
          <wp:inline distT="0" distB="0" distL="0" distR="0" wp14:anchorId="1314DEBB" wp14:editId="22B1572B">
            <wp:extent cx="5027295" cy="3657600"/>
            <wp:effectExtent l="0" t="0" r="190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spacing w:after="120" w:line="240" w:lineRule="auto"/>
        <w:rPr>
          <w:rFonts w:asciiTheme="majorBidi" w:hAnsiTheme="majorBidi" w:cstheme="majorBidi"/>
          <w:sz w:val="24"/>
          <w:szCs w:val="24"/>
        </w:rPr>
      </w:pPr>
      <w:r w:rsidRPr="00B0693D">
        <w:rPr>
          <w:rFonts w:asciiTheme="majorBidi" w:hAnsiTheme="majorBidi" w:cstheme="majorBidi"/>
          <w:b/>
          <w:bCs/>
          <w:sz w:val="24"/>
          <w:szCs w:val="24"/>
        </w:rPr>
        <w:t>Figure A7.</w:t>
      </w:r>
      <w:r w:rsidRPr="00B0693D">
        <w:rPr>
          <w:rFonts w:asciiTheme="majorBidi" w:hAnsiTheme="majorBidi" w:cstheme="majorBidi"/>
          <w:sz w:val="24"/>
          <w:szCs w:val="24"/>
        </w:rPr>
        <w:t xml:space="preserve"> Income inequality (EHII-Gini): Iran versus Synthetic Iran (restricted donor pool with 12 countries)</w:t>
      </w:r>
    </w:p>
    <w:p w:rsidR="002D591C" w:rsidRPr="00B0693D" w:rsidRDefault="002D591C" w:rsidP="00B0693D">
      <w:pPr>
        <w:rPr>
          <w:rFonts w:asciiTheme="majorBidi" w:hAnsiTheme="majorBidi" w:cstheme="majorBidi"/>
        </w:rPr>
      </w:pPr>
      <w:r w:rsidRPr="00B0693D">
        <w:rPr>
          <w:rFonts w:asciiTheme="majorBidi" w:hAnsiTheme="majorBidi" w:cstheme="majorBidi"/>
          <w:noProof/>
          <w:lang w:val="de-DE" w:eastAsia="de-DE"/>
        </w:rPr>
        <w:drawing>
          <wp:inline distT="0" distB="0" distL="0" distR="0" wp14:anchorId="0869DF0C" wp14:editId="609E7B57">
            <wp:extent cx="5027295" cy="3657600"/>
            <wp:effectExtent l="0" t="0" r="190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rsidR="002D591C" w:rsidRPr="00B0693D" w:rsidRDefault="002D591C" w:rsidP="00B0693D">
      <w:pPr>
        <w:spacing w:after="120" w:line="240" w:lineRule="auto"/>
        <w:rPr>
          <w:rFonts w:asciiTheme="majorBidi" w:hAnsiTheme="majorBidi" w:cstheme="majorBidi"/>
          <w:b/>
          <w:bCs/>
          <w:i/>
          <w:iCs/>
          <w:sz w:val="24"/>
          <w:szCs w:val="24"/>
        </w:rPr>
      </w:pPr>
      <w:r w:rsidRPr="00B0693D">
        <w:rPr>
          <w:rFonts w:asciiTheme="majorBidi" w:hAnsiTheme="majorBidi" w:cstheme="majorBidi"/>
          <w:b/>
          <w:bCs/>
          <w:i/>
          <w:iCs/>
          <w:sz w:val="24"/>
          <w:szCs w:val="24"/>
        </w:rPr>
        <w:lastRenderedPageBreak/>
        <w:t xml:space="preserve">A6. Gini index (based on EHII) for Iran and all other included countries in donor sample  </w:t>
      </w:r>
    </w:p>
    <w:p w:rsidR="002D591C" w:rsidRPr="00B0693D" w:rsidRDefault="002D591C" w:rsidP="00B0693D">
      <w:pPr>
        <w:rPr>
          <w:rFonts w:asciiTheme="majorBidi" w:hAnsiTheme="majorBidi" w:cstheme="majorBidi"/>
        </w:rPr>
      </w:pPr>
      <w:r w:rsidRPr="00B0693D">
        <w:rPr>
          <w:rFonts w:asciiTheme="majorBidi" w:hAnsiTheme="majorBidi" w:cstheme="majorBidi"/>
        </w:rPr>
        <w:t xml:space="preserve">Figures A8 and A9 show development of income inequality in Iran and all countries in the donor sample, in addition to only the contributing countries in the original analysis based on the Estimated Household Income Inequality Data Set (EHII) Gini index. </w:t>
      </w:r>
    </w:p>
    <w:p w:rsidR="002D591C" w:rsidRPr="00B0693D" w:rsidRDefault="002D591C" w:rsidP="00B0693D">
      <w:pPr>
        <w:spacing w:after="120" w:line="240" w:lineRule="auto"/>
        <w:rPr>
          <w:rFonts w:asciiTheme="majorBidi" w:hAnsiTheme="majorBidi" w:cstheme="majorBidi"/>
        </w:rPr>
      </w:pPr>
      <w:r w:rsidRPr="00B0693D">
        <w:rPr>
          <w:rFonts w:asciiTheme="majorBidi" w:hAnsiTheme="majorBidi" w:cstheme="majorBidi"/>
          <w:b/>
          <w:bCs/>
          <w:sz w:val="24"/>
          <w:szCs w:val="24"/>
        </w:rPr>
        <w:t>Figure A8.</w:t>
      </w:r>
      <w:r w:rsidRPr="00B0693D">
        <w:rPr>
          <w:rFonts w:asciiTheme="majorBidi" w:hAnsiTheme="majorBidi" w:cstheme="majorBidi"/>
          <w:sz w:val="24"/>
          <w:szCs w:val="24"/>
        </w:rPr>
        <w:t xml:space="preserve"> Income inequality (EHII-Gini): Iran versus other included countries in the donor sample</w:t>
      </w:r>
    </w:p>
    <w:p w:rsidR="002D591C" w:rsidRPr="00B0693D" w:rsidRDefault="002D591C" w:rsidP="00B0693D">
      <w:pPr>
        <w:rPr>
          <w:rFonts w:asciiTheme="majorBidi" w:hAnsiTheme="majorBidi" w:cstheme="majorBidi"/>
        </w:rPr>
      </w:pPr>
      <w:r w:rsidRPr="00B0693D">
        <w:rPr>
          <w:rFonts w:asciiTheme="majorBidi" w:hAnsiTheme="majorBidi" w:cstheme="majorBidi"/>
          <w:noProof/>
          <w:lang w:val="de-DE" w:eastAsia="de-DE"/>
        </w:rPr>
        <w:drawing>
          <wp:inline distT="0" distB="0" distL="0" distR="0" wp14:anchorId="3AEEAA59" wp14:editId="7109E7D4">
            <wp:extent cx="5759450" cy="3600000"/>
            <wp:effectExtent l="0" t="0" r="12700" b="635"/>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591C" w:rsidRPr="00B0693D" w:rsidRDefault="002D591C" w:rsidP="00B0693D">
      <w:pPr>
        <w:spacing w:after="120" w:line="240" w:lineRule="auto"/>
        <w:rPr>
          <w:rFonts w:asciiTheme="majorBidi" w:hAnsiTheme="majorBidi" w:cstheme="majorBidi"/>
          <w:b/>
          <w:bCs/>
          <w:sz w:val="24"/>
          <w:szCs w:val="24"/>
        </w:rPr>
      </w:pPr>
    </w:p>
    <w:p w:rsidR="002D591C" w:rsidRPr="00B0693D" w:rsidRDefault="002D591C" w:rsidP="00B0693D">
      <w:pPr>
        <w:spacing w:after="120" w:line="240" w:lineRule="auto"/>
        <w:rPr>
          <w:rFonts w:asciiTheme="majorBidi" w:hAnsiTheme="majorBidi" w:cstheme="majorBidi"/>
          <w:b/>
          <w:bCs/>
          <w:sz w:val="24"/>
          <w:szCs w:val="24"/>
        </w:rPr>
      </w:pPr>
      <w:r w:rsidRPr="00B0693D">
        <w:rPr>
          <w:rFonts w:asciiTheme="majorBidi" w:hAnsiTheme="majorBidi" w:cstheme="majorBidi"/>
          <w:b/>
          <w:bCs/>
          <w:sz w:val="24"/>
          <w:szCs w:val="24"/>
        </w:rPr>
        <w:br w:type="page"/>
      </w:r>
    </w:p>
    <w:p w:rsidR="002D591C" w:rsidRPr="00B0693D" w:rsidRDefault="002D591C" w:rsidP="00B0693D">
      <w:pPr>
        <w:spacing w:after="120" w:line="240" w:lineRule="auto"/>
        <w:rPr>
          <w:rFonts w:asciiTheme="majorBidi" w:hAnsiTheme="majorBidi" w:cstheme="majorBidi"/>
        </w:rPr>
      </w:pPr>
      <w:r w:rsidRPr="00B0693D">
        <w:rPr>
          <w:rFonts w:asciiTheme="majorBidi" w:hAnsiTheme="majorBidi" w:cstheme="majorBidi"/>
          <w:b/>
          <w:bCs/>
          <w:sz w:val="24"/>
          <w:szCs w:val="24"/>
        </w:rPr>
        <w:lastRenderedPageBreak/>
        <w:t>Figure A9.</w:t>
      </w:r>
      <w:r w:rsidRPr="00B0693D">
        <w:rPr>
          <w:rFonts w:asciiTheme="majorBidi" w:hAnsiTheme="majorBidi" w:cstheme="majorBidi"/>
          <w:sz w:val="24"/>
          <w:szCs w:val="24"/>
        </w:rPr>
        <w:t xml:space="preserve"> Income inequality (EHII-Gini): Iran versus other included countries in the donor sample with non-zero weights in the SCM analysis </w:t>
      </w:r>
    </w:p>
    <w:p w:rsidR="002D591C" w:rsidRPr="00B0693D" w:rsidRDefault="002D591C" w:rsidP="00B0693D">
      <w:pPr>
        <w:spacing w:before="120" w:after="0" w:line="360" w:lineRule="auto"/>
        <w:jc w:val="both"/>
        <w:rPr>
          <w:rFonts w:asciiTheme="majorBidi" w:hAnsiTheme="majorBidi" w:cstheme="majorBidi"/>
          <w:b/>
          <w:bCs/>
        </w:rPr>
      </w:pPr>
      <w:r w:rsidRPr="00B0693D">
        <w:rPr>
          <w:rFonts w:asciiTheme="majorBidi" w:hAnsiTheme="majorBidi" w:cstheme="majorBidi"/>
          <w:noProof/>
          <w:lang w:val="de-DE" w:eastAsia="de-DE"/>
        </w:rPr>
        <w:drawing>
          <wp:inline distT="0" distB="0" distL="0" distR="0" wp14:anchorId="240FA581" wp14:editId="074D1883">
            <wp:extent cx="5759450" cy="3324551"/>
            <wp:effectExtent l="0" t="0" r="12700" b="9525"/>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r w:rsidRPr="00B0693D">
        <w:rPr>
          <w:rFonts w:asciiTheme="majorBidi" w:hAnsiTheme="majorBidi" w:cstheme="majorBidi"/>
          <w:b/>
          <w:bCs/>
        </w:rPr>
        <w:t>B. Estimation Results, Inference Procedures and Sensitivity Analysis (with reference to Standardized World Income Inequality Database (SWIID) analysis)</w:t>
      </w: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120" w:line="480" w:lineRule="auto"/>
        <w:jc w:val="both"/>
        <w:rPr>
          <w:rFonts w:asciiTheme="majorBidi" w:hAnsiTheme="majorBidi" w:cstheme="majorBidi"/>
          <w:b/>
          <w:bCs/>
          <w:i/>
          <w:iCs/>
        </w:rPr>
      </w:pPr>
      <w:r w:rsidRPr="00B0693D">
        <w:rPr>
          <w:rFonts w:asciiTheme="majorBidi" w:hAnsiTheme="majorBidi" w:cstheme="majorBidi"/>
          <w:b/>
          <w:bCs/>
          <w:i/>
          <w:iCs/>
        </w:rPr>
        <w:t>B1. Alternative measure of income inequality</w:t>
      </w:r>
    </w:p>
    <w:p w:rsidR="002D591C" w:rsidRPr="00B0693D" w:rsidRDefault="002D591C" w:rsidP="00B0693D">
      <w:pPr>
        <w:spacing w:before="120" w:after="120" w:line="480" w:lineRule="auto"/>
        <w:jc w:val="both"/>
        <w:rPr>
          <w:rFonts w:asciiTheme="majorBidi" w:hAnsiTheme="majorBidi" w:cstheme="majorBidi"/>
        </w:rPr>
      </w:pPr>
      <w:r w:rsidRPr="00B0693D">
        <w:rPr>
          <w:rFonts w:asciiTheme="majorBidi" w:hAnsiTheme="majorBidi" w:cstheme="majorBidi"/>
        </w:rPr>
        <w:t xml:space="preserve">To examine our conclusion based on EHII- Gini information, in this section we use an alternative Gini index source from the Standardized World Income Inequality Database (SWIID) (Solt, 2020). We use a Gini coefficient for disposable income which considers the level of inequality after taxes and subsidies. As discussed by Krieger and Meierrieks (2019), the disposable Gini index is the kind of inequality actually experienced by the population. It also shows how government redistribution policies have shaped income inequality within a society over time. There are numerous advantages in using of SWIID, such as greater coverage with respect to both time and space compared to other sources like the Luxembourg Income Study (Ferreira, Lustig, &amp; Teles, 2015). According to Solt (2009), standardization of inequality data permits more consistent cross-country research. However, the SWIID’s use of imputation methods to increase its coverage and comparability can reduce its reliability, especially in </w:t>
      </w:r>
      <w:r w:rsidRPr="00B0693D">
        <w:rPr>
          <w:rFonts w:asciiTheme="majorBidi" w:hAnsiTheme="majorBidi" w:cstheme="majorBidi"/>
        </w:rPr>
        <w:lastRenderedPageBreak/>
        <w:t xml:space="preserve">developing countries (Ferreira et al. 2015). For this reason, we used EHII Gini data from University of Texas Inequality Project (UTIP) (Galbraith and Kum, 2005) in our main analysis, which does not rely on imputation methods and thus is expected to be more reliable than SWIID (Krieger and Meierrieks, 2019). In our case study of Iran, there is a positive and significant correlation between SWIID and EHII Gini coefficients for the period of 1970 to 1988 (r = 0.64, p&lt; 0.01). By using SWIID data, estimation of the SCM shows that the synthetic Iran which perfectly reproduces the outcome of interest (SWIDD disposable Gini index) of the factual Iran in selected years before 1978 is generated by Chile (88.3%), Sri Lanka (10%) and Brazil (1.7%). </w:t>
      </w:r>
    </w:p>
    <w:p w:rsidR="002D591C" w:rsidRPr="00B0693D" w:rsidRDefault="002D591C" w:rsidP="00B0693D">
      <w:pPr>
        <w:spacing w:before="120" w:after="120" w:line="480" w:lineRule="auto"/>
        <w:jc w:val="both"/>
        <w:rPr>
          <w:rFonts w:asciiTheme="majorBidi" w:hAnsiTheme="majorBidi" w:cstheme="majorBidi"/>
        </w:rPr>
      </w:pPr>
      <w:r w:rsidRPr="00B0693D">
        <w:rPr>
          <w:rFonts w:asciiTheme="majorBidi" w:hAnsiTheme="majorBidi" w:cstheme="majorBidi"/>
        </w:rPr>
        <w:t>We should note that there were also protests in Brazil that occurred during some of the years in our study. The change in Brazil’s political regime is recorded in 1987, when the political regime index (based on the Regimes of the World classification by Lührmann et al. 2018) changes from an electoral autocracy (score 1) between 1970-1986 to an electoral democracy (score 2) in 1987. In other words, the regime change in Brazil happens at the end of our period of analysis. Brazil has also a low weight (1.7%) in our donor sample when we use SWIID data (Brazil is not part of the donor sample based on EHII Gini data). We also checked the type of political regime for Chile based on Lührmann et al. (2018). It shows that Chile was an electoral democracy (score 2) between 1970-1972. It drops to a closed autocracy (score 0) from 1973 until 1989. Thus, for the majority of the period of our analysis, there was no change in the type of regime in Chile. The Pinochet regime also had important similarities to the political regime in Iran under the Shah. Both governments came to power through a coup with American support and pursued economic policies that resulted in economic growth and income inequality. In other words, Chile in the 1970s provides a suitable comparison case to Iran, even though the two cases certainly have differences. The leave-one-out analysis shows that excluding Chile or Brazil from the donor sample does not change the key findings in the case of Iran.</w:t>
      </w:r>
    </w:p>
    <w:p w:rsidR="002D591C" w:rsidRPr="00B0693D" w:rsidRDefault="002D591C" w:rsidP="00B0693D">
      <w:pPr>
        <w:spacing w:before="120" w:after="120" w:line="480" w:lineRule="auto"/>
        <w:jc w:val="both"/>
        <w:rPr>
          <w:rFonts w:asciiTheme="majorBidi" w:hAnsiTheme="majorBidi" w:cstheme="majorBidi"/>
        </w:rPr>
      </w:pPr>
      <w:r w:rsidRPr="00B0693D">
        <w:rPr>
          <w:rFonts w:asciiTheme="majorBidi" w:hAnsiTheme="majorBidi" w:cstheme="majorBidi"/>
        </w:rPr>
        <w:t xml:space="preserve">Figure B1 shows the disposable income inequality trajectory of Iran and its synthetic for the period of 1970-1988. The synthetic Iran based on alternative measure of inequality perfectly reproduces the situation of inequality in the factual Iran before revolution and war with Iraq. This shows that the trends of inequality in Iran and its synthetic significantly deviate after 1978. The results support our earlier </w:t>
      </w:r>
      <w:r w:rsidRPr="00B0693D">
        <w:rPr>
          <w:rFonts w:asciiTheme="majorBidi" w:hAnsiTheme="majorBidi" w:cstheme="majorBidi"/>
        </w:rPr>
        <w:lastRenderedPageBreak/>
        <w:t xml:space="preserve">finding using the EHII Gini index.  As in our earlier analysis, we also report the confidence intervals of the estimated inequality gap between Iran and its synthetic post-1978 in Figure B2. </w:t>
      </w:r>
    </w:p>
    <w:p w:rsidR="002D591C" w:rsidRPr="00B0693D" w:rsidRDefault="002D591C" w:rsidP="00B0693D">
      <w:pPr>
        <w:spacing w:before="120" w:after="120" w:line="480" w:lineRule="auto"/>
        <w:jc w:val="both"/>
        <w:rPr>
          <w:rFonts w:asciiTheme="majorBidi" w:hAnsiTheme="majorBidi" w:cstheme="majorBidi"/>
        </w:rPr>
      </w:pPr>
      <w:r w:rsidRPr="00B0693D">
        <w:rPr>
          <w:rFonts w:asciiTheme="majorBidi" w:hAnsiTheme="majorBidi" w:cstheme="majorBidi"/>
        </w:rPr>
        <w:t>We observe that an average fall in Iran’s income inequality based on SWIID data is approximately 3 units. The economic size of this estimated fall is comparable to the results obtained using the EHII index. The standard deviation of SWIID Gini index for Iran post-1978 is 0.93. Therefore, the estimate annual fall of 3 units (on average) is approximately three standard deviations of the index</w:t>
      </w:r>
      <w:r w:rsidRPr="00B0693D" w:rsidDel="00BF7601">
        <w:rPr>
          <w:rFonts w:asciiTheme="majorBidi" w:hAnsiTheme="majorBidi" w:cstheme="majorBidi"/>
        </w:rPr>
        <w:t xml:space="preserve"> </w:t>
      </w:r>
      <w:r w:rsidRPr="00B0693D">
        <w:rPr>
          <w:rFonts w:asciiTheme="majorBidi" w:hAnsiTheme="majorBidi" w:cstheme="majorBidi"/>
        </w:rPr>
        <w:t xml:space="preserve">in the post-revolution period (this is comparable to the average reduction of 9 units using EHII data with a standard deviation of 3). The calculated confidence intervals at (95% level) show the estimated fall is statistically significant in the second half of eight-year war with Iraq. </w:t>
      </w:r>
    </w:p>
    <w:p w:rsidR="002D591C" w:rsidRPr="00B0693D" w:rsidRDefault="002D591C" w:rsidP="00B0693D">
      <w:pPr>
        <w:autoSpaceDE w:val="0"/>
        <w:autoSpaceDN w:val="0"/>
        <w:adjustRightInd w:val="0"/>
        <w:spacing w:before="120" w:after="120" w:line="240" w:lineRule="auto"/>
        <w:jc w:val="both"/>
        <w:rPr>
          <w:rFonts w:asciiTheme="majorBidi" w:hAnsiTheme="majorBidi" w:cstheme="majorBidi"/>
        </w:rPr>
      </w:pPr>
      <w:r w:rsidRPr="00B0693D">
        <w:rPr>
          <w:rFonts w:asciiTheme="majorBidi" w:hAnsiTheme="majorBidi" w:cstheme="majorBidi"/>
          <w:b/>
          <w:bCs/>
        </w:rPr>
        <w:t>Figure B1.</w:t>
      </w:r>
      <w:r w:rsidRPr="00B0693D">
        <w:rPr>
          <w:rFonts w:asciiTheme="majorBidi" w:hAnsiTheme="majorBidi" w:cstheme="majorBidi"/>
        </w:rPr>
        <w:t xml:space="preserve"> Income inequality (SWIDD -Gini): Iran versus Synthetic Iran</w:t>
      </w:r>
    </w:p>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noProof/>
          <w:lang w:val="de-DE" w:eastAsia="de-DE"/>
        </w:rPr>
        <w:drawing>
          <wp:inline distT="0" distB="0" distL="0" distR="0" wp14:anchorId="33B21A7B" wp14:editId="52AE9FB3">
            <wp:extent cx="5026660" cy="3657600"/>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6660" cy="3657600"/>
                    </a:xfrm>
                    <a:prstGeom prst="rect">
                      <a:avLst/>
                    </a:prstGeom>
                    <a:noFill/>
                    <a:ln>
                      <a:noFill/>
                    </a:ln>
                  </pic:spPr>
                </pic:pic>
              </a:graphicData>
            </a:graphic>
          </wp:inline>
        </w:drawing>
      </w: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b/>
          <w:bCs/>
        </w:rPr>
      </w:pPr>
    </w:p>
    <w:p w:rsidR="002D591C" w:rsidRPr="00B0693D" w:rsidRDefault="002D591C" w:rsidP="00B0693D">
      <w:pPr>
        <w:spacing w:after="0" w:line="240" w:lineRule="auto"/>
        <w:jc w:val="both"/>
        <w:rPr>
          <w:rFonts w:asciiTheme="majorBidi" w:hAnsiTheme="majorBidi" w:cstheme="majorBidi"/>
        </w:rPr>
      </w:pPr>
      <w:r w:rsidRPr="00B0693D">
        <w:rPr>
          <w:rFonts w:asciiTheme="majorBidi" w:hAnsiTheme="majorBidi" w:cstheme="majorBidi"/>
          <w:b/>
          <w:bCs/>
        </w:rPr>
        <w:lastRenderedPageBreak/>
        <w:t>Figure B2.</w:t>
      </w:r>
      <w:r w:rsidRPr="00B0693D">
        <w:rPr>
          <w:rFonts w:asciiTheme="majorBidi" w:hAnsiTheme="majorBidi" w:cstheme="majorBidi"/>
        </w:rPr>
        <w:t xml:space="preserve"> </w:t>
      </w:r>
      <w:r w:rsidRPr="00B0693D">
        <w:rPr>
          <w:rFonts w:asciiTheme="majorBidi" w:eastAsia="Times New Roman" w:hAnsiTheme="majorBidi" w:cstheme="majorBidi"/>
        </w:rPr>
        <w:t>Income inequality (SWIID-Gini) gap between Iran and synthetic Iran (with confidence intervals)</w:t>
      </w:r>
    </w:p>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noProof/>
          <w:lang w:val="de-DE" w:eastAsia="de-DE"/>
        </w:rPr>
        <w:drawing>
          <wp:inline distT="0" distB="0" distL="0" distR="0" wp14:anchorId="103166A7" wp14:editId="523BD93A">
            <wp:extent cx="5400000" cy="3528000"/>
            <wp:effectExtent l="0" t="0" r="10795" b="15875"/>
            <wp:docPr id="16" name="Diagram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D591C" w:rsidRPr="00B0693D" w:rsidRDefault="002D591C" w:rsidP="00B0693D">
      <w:pPr>
        <w:spacing w:before="120" w:after="0" w:line="360" w:lineRule="auto"/>
        <w:jc w:val="both"/>
        <w:rPr>
          <w:rFonts w:asciiTheme="majorBidi" w:hAnsiTheme="majorBidi" w:cstheme="majorBidi"/>
          <w:b/>
          <w:bCs/>
          <w:i/>
          <w:iCs/>
        </w:rPr>
      </w:pPr>
      <w:r w:rsidRPr="00B0693D">
        <w:rPr>
          <w:rFonts w:asciiTheme="majorBidi" w:hAnsiTheme="majorBidi" w:cstheme="majorBidi"/>
          <w:b/>
          <w:bCs/>
          <w:i/>
          <w:iCs/>
        </w:rPr>
        <w:t>B2. In-space placebo test</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 xml:space="preserve">For the placebo test, we reexamine the synthetic control estimations for countries in the donor pool which did not experience the same treatment as in Iran. This procedure is explained in earlier sections. </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 xml:space="preserve">Figure B3 presents the ratios of the post-1978 revolution RMSPE to pre-1978 RMSPE for Iran and other countries in donor pool. As in previous estimations, it is clear that Iran is the country with the highest ratio, using the alternative measure of income inequality (SWIID). </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 xml:space="preserve">For Iran, the post-1978 income inequality gap is approximately 35 times larger than the pre-1978 revolution gap. If one were to randomly select a country from the sample, the likelihood of observing a ratio as high as Iran would be 1/19 (≈ 0.05). As in earlier results, even with using of SWIID-Gini data, it is unlikely that one would gain a comparable effect as in Iran by randomly assigning the treatment to a non-treated country from the donor pool. </w:t>
      </w:r>
    </w:p>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autoSpaceDE w:val="0"/>
        <w:autoSpaceDN w:val="0"/>
        <w:adjustRightInd w:val="0"/>
        <w:spacing w:before="120" w:after="120" w:line="360" w:lineRule="auto"/>
        <w:jc w:val="both"/>
        <w:rPr>
          <w:rFonts w:asciiTheme="majorBidi" w:hAnsiTheme="majorBidi" w:cstheme="majorBidi"/>
          <w:b/>
          <w:bCs/>
        </w:rPr>
      </w:pPr>
    </w:p>
    <w:p w:rsidR="002D591C" w:rsidRPr="00B0693D" w:rsidRDefault="002D591C" w:rsidP="00B0693D">
      <w:pPr>
        <w:autoSpaceDE w:val="0"/>
        <w:autoSpaceDN w:val="0"/>
        <w:adjustRightInd w:val="0"/>
        <w:spacing w:before="120" w:after="120" w:line="360" w:lineRule="auto"/>
        <w:jc w:val="both"/>
        <w:rPr>
          <w:rFonts w:asciiTheme="majorBidi" w:hAnsiTheme="majorBidi" w:cstheme="majorBidi"/>
          <w:b/>
          <w:bCs/>
        </w:rPr>
      </w:pPr>
    </w:p>
    <w:p w:rsidR="002D591C" w:rsidRPr="00B0693D" w:rsidRDefault="002D591C" w:rsidP="00B0693D">
      <w:pPr>
        <w:autoSpaceDE w:val="0"/>
        <w:autoSpaceDN w:val="0"/>
        <w:adjustRightInd w:val="0"/>
        <w:spacing w:before="120" w:after="120" w:line="360" w:lineRule="auto"/>
        <w:jc w:val="both"/>
        <w:rPr>
          <w:rFonts w:asciiTheme="majorBidi" w:hAnsiTheme="majorBidi" w:cstheme="majorBidi"/>
          <w:b/>
          <w:bCs/>
        </w:rPr>
      </w:pPr>
    </w:p>
    <w:p w:rsidR="002D591C" w:rsidRPr="00B0693D" w:rsidRDefault="002D591C" w:rsidP="00B0693D">
      <w:pPr>
        <w:autoSpaceDE w:val="0"/>
        <w:autoSpaceDN w:val="0"/>
        <w:adjustRightInd w:val="0"/>
        <w:spacing w:before="120" w:after="120" w:line="360" w:lineRule="auto"/>
        <w:jc w:val="both"/>
        <w:rPr>
          <w:rFonts w:asciiTheme="majorBidi" w:hAnsiTheme="majorBidi" w:cstheme="majorBidi"/>
          <w:b/>
          <w:bCs/>
        </w:rPr>
      </w:pPr>
    </w:p>
    <w:p w:rsidR="002D591C" w:rsidRPr="00B0693D" w:rsidRDefault="002D591C" w:rsidP="00B0693D">
      <w:pPr>
        <w:autoSpaceDE w:val="0"/>
        <w:autoSpaceDN w:val="0"/>
        <w:adjustRightInd w:val="0"/>
        <w:spacing w:before="120" w:after="120" w:line="360" w:lineRule="auto"/>
        <w:jc w:val="both"/>
        <w:rPr>
          <w:rFonts w:asciiTheme="majorBidi" w:hAnsiTheme="majorBidi" w:cstheme="majorBidi"/>
        </w:rPr>
      </w:pPr>
      <w:r w:rsidRPr="00B0693D">
        <w:rPr>
          <w:rFonts w:asciiTheme="majorBidi" w:hAnsiTheme="majorBidi" w:cstheme="majorBidi"/>
          <w:b/>
          <w:bCs/>
        </w:rPr>
        <w:lastRenderedPageBreak/>
        <w:t>Figure B3</w:t>
      </w:r>
      <w:r w:rsidRPr="00B0693D">
        <w:rPr>
          <w:rFonts w:asciiTheme="majorBidi" w:hAnsiTheme="majorBidi" w:cstheme="majorBidi"/>
        </w:rPr>
        <w:t xml:space="preserve">. Ratio of post-1978 revolution RMSPE to pre-1978 RMSPE: Iran and control countries (SWIID-Gini) </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noProof/>
          <w:lang w:val="de-DE" w:eastAsia="de-DE"/>
        </w:rPr>
        <w:drawing>
          <wp:inline distT="0" distB="0" distL="0" distR="0" wp14:anchorId="5D0967A0" wp14:editId="4CD951FF">
            <wp:extent cx="5760720" cy="3463925"/>
            <wp:effectExtent l="0" t="0" r="11430" b="3175"/>
            <wp:docPr id="12" name="Diagram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b/>
          <w:bCs/>
          <w:i/>
          <w:iCs/>
        </w:rPr>
        <w:t>B3.</w:t>
      </w:r>
      <w:r w:rsidRPr="00B0693D">
        <w:rPr>
          <w:rFonts w:asciiTheme="majorBidi" w:hAnsiTheme="majorBidi" w:cstheme="majorBidi"/>
        </w:rPr>
        <w:t xml:space="preserve"> </w:t>
      </w:r>
      <w:r w:rsidRPr="00B0693D">
        <w:rPr>
          <w:rFonts w:asciiTheme="majorBidi" w:hAnsiTheme="majorBidi" w:cstheme="majorBidi"/>
          <w:b/>
          <w:bCs/>
          <w:i/>
          <w:iCs/>
        </w:rPr>
        <w:t>In-Time placebo test</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rPr>
        <w:t>Another sensitivity check is selection of another treatment year instead of revolution. We explained the logic behind this exercise in earlier section on “Change in Time Dimension (In-time Placebo)”. We begin by re-examining the results by opting 1975 as treatment year. Figure B4 shows that while the match between Iran Gini index and its counterfactual is perfect between 1970-1974, we do not see any divergence between them over the period of 1975-1978. Indeed, the gap between income inequality of Iran and its synthetic starts by Islamic revolution and associated war with Iraq. Also, using 1980 (starting year of war with Iraq) as treatment year again show that divergence between income inequality of Iran and its counterfactual was indeed begun by regime change.</w:t>
      </w: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b/>
          <w:bCs/>
        </w:rPr>
      </w:pP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b/>
          <w:bCs/>
        </w:rPr>
        <w:lastRenderedPageBreak/>
        <w:t>Figure B4.</w:t>
      </w:r>
      <w:r w:rsidRPr="00B0693D">
        <w:rPr>
          <w:rFonts w:asciiTheme="majorBidi" w:hAnsiTheme="majorBidi" w:cstheme="majorBidi"/>
        </w:rPr>
        <w:t xml:space="preserve"> ’In-time placebo effect of 1975’ </w:t>
      </w:r>
      <w:r w:rsidRPr="00B0693D">
        <w:rPr>
          <w:rFonts w:asciiTheme="majorBidi" w:eastAsia="Times New Roman" w:hAnsiTheme="majorBidi" w:cstheme="majorBidi"/>
        </w:rPr>
        <w:t>SWIID-Gini</w:t>
      </w:r>
      <w:r w:rsidRPr="00B0693D">
        <w:rPr>
          <w:rFonts w:asciiTheme="majorBidi" w:hAnsiTheme="majorBidi" w:cstheme="majorBidi"/>
        </w:rPr>
        <w:t xml:space="preserve"> Iran vs. synthetic Iran</w:t>
      </w:r>
    </w:p>
    <w:p w:rsidR="002D591C" w:rsidRPr="00B0693D" w:rsidRDefault="002D591C" w:rsidP="00B0693D">
      <w:pPr>
        <w:spacing w:before="120" w:after="0" w:line="360" w:lineRule="auto"/>
        <w:jc w:val="both"/>
        <w:rPr>
          <w:rFonts w:asciiTheme="majorBidi" w:hAnsiTheme="majorBidi" w:cstheme="majorBidi"/>
        </w:rPr>
      </w:pPr>
      <w:r w:rsidRPr="00B0693D">
        <w:rPr>
          <w:rFonts w:asciiTheme="majorBidi" w:hAnsiTheme="majorBidi" w:cstheme="majorBidi"/>
          <w:noProof/>
          <w:lang w:val="de-DE" w:eastAsia="de-DE"/>
        </w:rPr>
        <w:drawing>
          <wp:inline distT="0" distB="0" distL="0" distR="0" wp14:anchorId="482B7A8E" wp14:editId="47096809">
            <wp:extent cx="5026025" cy="3657600"/>
            <wp:effectExtent l="0" t="0" r="317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6025" cy="3657600"/>
                    </a:xfrm>
                    <a:prstGeom prst="rect">
                      <a:avLst/>
                    </a:prstGeom>
                    <a:noFill/>
                    <a:ln>
                      <a:noFill/>
                    </a:ln>
                  </pic:spPr>
                </pic:pic>
              </a:graphicData>
            </a:graphic>
          </wp:inline>
        </w:drawing>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b/>
          <w:bCs/>
          <w:i/>
          <w:iCs/>
        </w:rPr>
      </w:pPr>
      <w:r w:rsidRPr="00B0693D">
        <w:rPr>
          <w:rFonts w:asciiTheme="majorBidi" w:hAnsiTheme="majorBidi" w:cstheme="majorBidi"/>
          <w:b/>
          <w:bCs/>
          <w:i/>
          <w:iCs/>
        </w:rPr>
        <w:t xml:space="preserve">B4. Leave-one-out robustness check  </w:t>
      </w:r>
    </w:p>
    <w:p w:rsidR="002D591C" w:rsidRPr="00B0693D" w:rsidRDefault="002D591C" w:rsidP="00B0693D">
      <w:pPr>
        <w:autoSpaceDE w:val="0"/>
        <w:autoSpaceDN w:val="0"/>
        <w:adjustRightInd w:val="0"/>
        <w:spacing w:before="120" w:after="0" w:line="360" w:lineRule="auto"/>
        <w:jc w:val="both"/>
        <w:rPr>
          <w:rFonts w:asciiTheme="majorBidi" w:hAnsiTheme="majorBidi" w:cstheme="majorBidi"/>
          <w:sz w:val="24"/>
          <w:szCs w:val="24"/>
        </w:rPr>
      </w:pPr>
      <w:r w:rsidRPr="00B0693D">
        <w:rPr>
          <w:rFonts w:asciiTheme="majorBidi" w:hAnsiTheme="majorBidi" w:cstheme="majorBidi"/>
        </w:rPr>
        <w:t xml:space="preserve">We check if our main results in Figures B1 and B2 are sensitive to the inclusion of a specific country from the list of donor countries. The main three countries which generated a synthetic Iran based on the SWIID-Gini index are Chile, Sri Lanka, and Brazil. We conduct </w:t>
      </w:r>
      <w:r w:rsidRPr="00B0693D">
        <w:rPr>
          <w:rFonts w:asciiTheme="majorBidi" w:hAnsiTheme="majorBidi" w:cstheme="majorBidi"/>
          <w:i/>
          <w:iCs/>
        </w:rPr>
        <w:t>leave-one-out</w:t>
      </w:r>
      <w:r w:rsidRPr="00B0693D">
        <w:rPr>
          <w:rFonts w:asciiTheme="majorBidi" w:hAnsiTheme="majorBidi" w:cstheme="majorBidi"/>
        </w:rPr>
        <w:t xml:space="preserve"> analysis and exclude each of these three countries respectively from the SCM analysis. In the end, we compare the Gini gap between Iran and its counterfactual based on the full sample and three other samples which exclude the main contributors to the synthetic Iran. If the estimated gap remains, we can be more confident on the obtained results and their robustness against the exclusion of</w:t>
      </w:r>
      <w:r w:rsidRPr="00B0693D">
        <w:rPr>
          <w:rFonts w:asciiTheme="majorBidi" w:hAnsiTheme="majorBidi" w:cstheme="majorBidi"/>
          <w:sz w:val="24"/>
          <w:szCs w:val="24"/>
        </w:rPr>
        <w:t xml:space="preserve"> </w:t>
      </w:r>
      <w:r w:rsidRPr="00B0693D">
        <w:rPr>
          <w:rFonts w:asciiTheme="majorBidi" w:hAnsiTheme="majorBidi" w:cstheme="majorBidi"/>
        </w:rPr>
        <w:t>influential countries from the donor pool. Figure B5 shows that the income inequality of the additional synthetic versions of Iran using SWIID data have considerable gaps compared with the factual Iran.</w:t>
      </w:r>
      <w:r w:rsidRPr="00B0693D">
        <w:rPr>
          <w:rFonts w:asciiTheme="majorBidi" w:hAnsiTheme="majorBidi" w:cstheme="majorBidi"/>
          <w:sz w:val="24"/>
          <w:szCs w:val="24"/>
        </w:rPr>
        <w:t xml:space="preserve"> </w:t>
      </w:r>
    </w:p>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spacing w:after="120" w:line="240" w:lineRule="auto"/>
        <w:rPr>
          <w:rFonts w:asciiTheme="majorBidi" w:hAnsiTheme="majorBidi" w:cstheme="majorBidi"/>
          <w:b/>
          <w:bCs/>
        </w:rPr>
      </w:pPr>
      <w:r w:rsidRPr="00B0693D">
        <w:rPr>
          <w:rFonts w:asciiTheme="majorBidi" w:hAnsiTheme="majorBidi" w:cstheme="majorBidi"/>
          <w:b/>
          <w:bCs/>
        </w:rPr>
        <w:br w:type="page"/>
      </w:r>
    </w:p>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b/>
          <w:bCs/>
        </w:rPr>
        <w:lastRenderedPageBreak/>
        <w:t>Figure B5.</w:t>
      </w:r>
      <w:r w:rsidRPr="00B0693D">
        <w:rPr>
          <w:rFonts w:asciiTheme="majorBidi" w:hAnsiTheme="majorBidi" w:cstheme="majorBidi"/>
        </w:rPr>
        <w:t xml:space="preserve"> Leave-one-out distribution of the synthetic control for Iran (SWIID-Gini)</w:t>
      </w:r>
    </w:p>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noProof/>
          <w:lang w:val="de-DE" w:eastAsia="de-DE"/>
        </w:rPr>
        <w:drawing>
          <wp:inline distT="0" distB="0" distL="0" distR="0" wp14:anchorId="4EE901ED" wp14:editId="5BFBC713">
            <wp:extent cx="5026660" cy="3657600"/>
            <wp:effectExtent l="0" t="0" r="254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6660" cy="3657600"/>
                    </a:xfrm>
                    <a:prstGeom prst="rect">
                      <a:avLst/>
                    </a:prstGeom>
                    <a:noFill/>
                    <a:ln>
                      <a:noFill/>
                    </a:ln>
                  </pic:spPr>
                </pic:pic>
              </a:graphicData>
            </a:graphic>
          </wp:inline>
        </w:drawing>
      </w:r>
    </w:p>
    <w:p w:rsidR="002D591C" w:rsidRPr="00B0693D" w:rsidRDefault="002D591C" w:rsidP="00B0693D">
      <w:pPr>
        <w:spacing w:after="0" w:line="360" w:lineRule="auto"/>
        <w:jc w:val="both"/>
        <w:rPr>
          <w:rFonts w:asciiTheme="majorBidi" w:hAnsiTheme="majorBidi" w:cstheme="majorBidi"/>
        </w:rPr>
      </w:pPr>
    </w:p>
    <w:p w:rsidR="002D591C" w:rsidRPr="00B0693D" w:rsidRDefault="002D591C" w:rsidP="00B0693D">
      <w:pPr>
        <w:spacing w:before="120" w:after="120" w:line="360" w:lineRule="auto"/>
        <w:jc w:val="both"/>
        <w:rPr>
          <w:rFonts w:asciiTheme="majorBidi" w:hAnsiTheme="majorBidi" w:cstheme="majorBidi"/>
        </w:rPr>
      </w:pPr>
      <w:r w:rsidRPr="00B0693D">
        <w:rPr>
          <w:rFonts w:asciiTheme="majorBidi" w:hAnsiTheme="majorBidi" w:cstheme="majorBidi"/>
        </w:rPr>
        <w:t>Table B1 summarizes the estimated gap in income inequality of Iran based on the SWIID dataset with the main synthetic (including all 18 countries selected to contribute to the synthetic version) and three other samples (which respectively excludes the main three contributing countries in the main results). The average annual gap in the post-1978 period is comparable across these alternative synthetics. Thus, we can conclude that the main finding is not sensitive to the exclusion of any particular country from the sample of the donor pool. Moreover, following Wiltshire (2021), we used ridge regression for bias-corrected synthetic control and obtained results show a similar income inequality gap between Iran and its synthetic after the correction.</w:t>
      </w:r>
    </w:p>
    <w:p w:rsidR="002D591C" w:rsidRPr="00B0693D" w:rsidRDefault="002D591C" w:rsidP="00B0693D">
      <w:pPr>
        <w:spacing w:before="120" w:after="120" w:line="360" w:lineRule="auto"/>
        <w:jc w:val="both"/>
        <w:rPr>
          <w:rFonts w:asciiTheme="majorBidi" w:hAnsiTheme="majorBidi" w:cstheme="majorBidi"/>
          <w:b/>
          <w:bCs/>
        </w:rPr>
      </w:pPr>
      <w:r w:rsidRPr="00B0693D">
        <w:rPr>
          <w:rFonts w:asciiTheme="majorBidi" w:hAnsiTheme="majorBidi" w:cstheme="majorBidi"/>
          <w:b/>
          <w:bCs/>
        </w:rPr>
        <w:br w:type="page"/>
      </w:r>
    </w:p>
    <w:p w:rsidR="002D591C" w:rsidRPr="00B0693D" w:rsidRDefault="002D591C" w:rsidP="00B0693D">
      <w:pPr>
        <w:spacing w:after="0" w:line="360" w:lineRule="auto"/>
        <w:jc w:val="both"/>
        <w:rPr>
          <w:rFonts w:asciiTheme="majorBidi" w:hAnsiTheme="majorBidi" w:cstheme="majorBidi"/>
          <w:b/>
          <w:bCs/>
        </w:rPr>
      </w:pPr>
      <w:r w:rsidRPr="00B0693D">
        <w:rPr>
          <w:rFonts w:asciiTheme="majorBidi" w:hAnsiTheme="majorBidi" w:cstheme="majorBidi"/>
          <w:b/>
          <w:bCs/>
        </w:rPr>
        <w:lastRenderedPageBreak/>
        <w:t xml:space="preserve">Table B1. </w:t>
      </w:r>
      <w:r w:rsidRPr="00B0693D">
        <w:rPr>
          <w:rFonts w:asciiTheme="majorBidi" w:hAnsiTheme="majorBidi" w:cstheme="majorBidi"/>
        </w:rPr>
        <w:t>Gap between SWIID-Gini index of factual Iran and its different synthetic versions in leave-one-out analysis</w:t>
      </w:r>
    </w:p>
    <w:tbl>
      <w:tblPr>
        <w:tblStyle w:val="Tabellenraster"/>
        <w:tblW w:w="513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12"/>
        <w:gridCol w:w="1057"/>
        <w:gridCol w:w="1439"/>
        <w:gridCol w:w="1630"/>
        <w:gridCol w:w="1468"/>
      </w:tblGrid>
      <w:tr w:rsidR="00E24528" w:rsidRPr="00B0693D" w:rsidTr="001305BE">
        <w:trPr>
          <w:trHeight w:val="290"/>
        </w:trPr>
        <w:tc>
          <w:tcPr>
            <w:tcW w:w="1994" w:type="pct"/>
            <w:tcBorders>
              <w:top w:val="single" w:sz="8" w:space="0" w:color="auto"/>
              <w:bottom w:val="single" w:sz="4" w:space="0" w:color="auto"/>
            </w:tcBorders>
            <w:noWrap/>
            <w:hideMark/>
          </w:tcPr>
          <w:p w:rsidR="002D591C" w:rsidRPr="00B0693D" w:rsidRDefault="002D591C" w:rsidP="00B0693D">
            <w:pPr>
              <w:spacing w:after="0" w:line="360" w:lineRule="auto"/>
              <w:jc w:val="both"/>
              <w:rPr>
                <w:rFonts w:asciiTheme="majorBidi" w:hAnsiTheme="majorBidi" w:cstheme="majorBidi"/>
                <w:lang w:val="de-DE"/>
              </w:rPr>
            </w:pPr>
            <w:r w:rsidRPr="00B0693D">
              <w:rPr>
                <w:rFonts w:asciiTheme="majorBidi" w:hAnsiTheme="majorBidi" w:cstheme="majorBidi"/>
              </w:rPr>
              <w:t>Year</w:t>
            </w:r>
          </w:p>
        </w:tc>
        <w:tc>
          <w:tcPr>
            <w:tcW w:w="568" w:type="pct"/>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main model</w:t>
            </w:r>
          </w:p>
        </w:tc>
        <w:tc>
          <w:tcPr>
            <w:tcW w:w="773" w:type="pct"/>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Chile</w:t>
            </w:r>
          </w:p>
        </w:tc>
        <w:tc>
          <w:tcPr>
            <w:tcW w:w="876" w:type="pct"/>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Sri Lanka</w:t>
            </w:r>
          </w:p>
        </w:tc>
        <w:tc>
          <w:tcPr>
            <w:tcW w:w="789" w:type="pct"/>
            <w:tcBorders>
              <w:top w:val="single" w:sz="8" w:space="0" w:color="auto"/>
              <w:bottom w:val="single" w:sz="4"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Gap in model without Brazil</w:t>
            </w:r>
          </w:p>
        </w:tc>
      </w:tr>
      <w:tr w:rsidR="00E24528" w:rsidRPr="00B0693D" w:rsidTr="001305BE">
        <w:trPr>
          <w:trHeight w:val="290"/>
        </w:trPr>
        <w:tc>
          <w:tcPr>
            <w:tcW w:w="1994" w:type="pct"/>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1970</w:t>
            </w:r>
          </w:p>
        </w:tc>
        <w:tc>
          <w:tcPr>
            <w:tcW w:w="568" w:type="pct"/>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-0.04</w:t>
            </w:r>
          </w:p>
        </w:tc>
        <w:tc>
          <w:tcPr>
            <w:tcW w:w="773" w:type="pct"/>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-0.09</w:t>
            </w:r>
          </w:p>
        </w:tc>
        <w:tc>
          <w:tcPr>
            <w:tcW w:w="876" w:type="pct"/>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-0.07</w:t>
            </w:r>
          </w:p>
        </w:tc>
        <w:tc>
          <w:tcPr>
            <w:tcW w:w="789" w:type="pct"/>
            <w:tcBorders>
              <w:top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1971</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-0.05</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-0.11</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-0.07</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1972</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-0.05</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-0.04</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-0.07</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1973</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0.05</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0.03</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0.04</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1974</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0.05</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0.08</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0.03</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0.03</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1975</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0.13</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0.15</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0.12</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0.12</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1976</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0.02</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0.02</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0.01</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1977</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-0.01</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0.02</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-0.01</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1978</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0.00</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0.01</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0.02</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-0.01</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1979</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-0.12</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-0.14</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-0.06</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-0.13</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1980</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-0.53</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-0.47</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-0.46</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-0.53</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1981</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-1.04</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-0.97</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-0.97</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-1.04</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1982</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-1.55</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-1.50</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-1.48</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-1.55</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1983</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-2.16</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-2.05</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-2.09</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-2.16</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1984</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-2.83</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-2.49</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-2.78</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-2.84</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1985</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-3.31</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-2.78</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-3.26</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-3.33</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1986</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-4.35</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-3.19</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-4.31</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-4.38</w:t>
            </w:r>
          </w:p>
        </w:tc>
      </w:tr>
      <w:tr w:rsidR="00E24528" w:rsidRPr="00B0693D" w:rsidTr="001305BE">
        <w:trPr>
          <w:trHeight w:val="290"/>
        </w:trPr>
        <w:tc>
          <w:tcPr>
            <w:tcW w:w="1994"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1987</w:t>
            </w:r>
          </w:p>
        </w:tc>
        <w:tc>
          <w:tcPr>
            <w:tcW w:w="568"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-5.40</w:t>
            </w:r>
          </w:p>
        </w:tc>
        <w:tc>
          <w:tcPr>
            <w:tcW w:w="773"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-3.67</w:t>
            </w:r>
          </w:p>
        </w:tc>
        <w:tc>
          <w:tcPr>
            <w:tcW w:w="876"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-5.37</w:t>
            </w:r>
          </w:p>
        </w:tc>
        <w:tc>
          <w:tcPr>
            <w:tcW w:w="789" w:type="pct"/>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-5.44</w:t>
            </w:r>
          </w:p>
        </w:tc>
      </w:tr>
      <w:tr w:rsidR="00E24528" w:rsidRPr="00B0693D" w:rsidTr="001305BE">
        <w:trPr>
          <w:trHeight w:val="290"/>
        </w:trPr>
        <w:tc>
          <w:tcPr>
            <w:tcW w:w="1994" w:type="pct"/>
            <w:tcBorders>
              <w:bottom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1988</w:t>
            </w:r>
          </w:p>
        </w:tc>
        <w:tc>
          <w:tcPr>
            <w:tcW w:w="568" w:type="pct"/>
            <w:tcBorders>
              <w:bottom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-5.91</w:t>
            </w:r>
          </w:p>
        </w:tc>
        <w:tc>
          <w:tcPr>
            <w:tcW w:w="773" w:type="pct"/>
            <w:tcBorders>
              <w:bottom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-4.04</w:t>
            </w:r>
          </w:p>
        </w:tc>
        <w:tc>
          <w:tcPr>
            <w:tcW w:w="876" w:type="pct"/>
            <w:tcBorders>
              <w:bottom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-5.84</w:t>
            </w:r>
          </w:p>
        </w:tc>
        <w:tc>
          <w:tcPr>
            <w:tcW w:w="789" w:type="pct"/>
            <w:tcBorders>
              <w:bottom w:val="single" w:sz="4" w:space="0" w:color="auto"/>
            </w:tcBorders>
            <w:noWrap/>
            <w:hideMark/>
          </w:tcPr>
          <w:p w:rsidR="002D591C" w:rsidRPr="00B0693D" w:rsidRDefault="002D591C" w:rsidP="00B0693D">
            <w:pPr>
              <w:spacing w:after="0" w:line="360" w:lineRule="auto"/>
              <w:jc w:val="both"/>
              <w:rPr>
                <w:rFonts w:asciiTheme="majorBidi" w:hAnsiTheme="majorBidi" w:cstheme="majorBidi"/>
              </w:rPr>
            </w:pPr>
            <w:r w:rsidRPr="00B0693D">
              <w:rPr>
                <w:rFonts w:asciiTheme="majorBidi" w:hAnsiTheme="majorBidi" w:cstheme="majorBidi"/>
              </w:rPr>
              <w:t>-5.94</w:t>
            </w:r>
          </w:p>
        </w:tc>
      </w:tr>
      <w:tr w:rsidR="00E24528" w:rsidRPr="00B0693D" w:rsidTr="001305BE">
        <w:trPr>
          <w:trHeight w:val="290"/>
        </w:trPr>
        <w:tc>
          <w:tcPr>
            <w:tcW w:w="1994" w:type="pct"/>
            <w:tcBorders>
              <w:top w:val="single" w:sz="4" w:space="0" w:color="auto"/>
              <w:bottom w:val="single" w:sz="8"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Ave. annual gap in SWIID Gini of Iran and its counterfactual (1979-1988)</w:t>
            </w:r>
          </w:p>
        </w:tc>
        <w:tc>
          <w:tcPr>
            <w:tcW w:w="568" w:type="pct"/>
            <w:tcBorders>
              <w:top w:val="single" w:sz="4" w:space="0" w:color="auto"/>
              <w:bottom w:val="single" w:sz="8"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-3</w:t>
            </w:r>
          </w:p>
        </w:tc>
        <w:tc>
          <w:tcPr>
            <w:tcW w:w="773" w:type="pct"/>
            <w:tcBorders>
              <w:top w:val="single" w:sz="4" w:space="0" w:color="auto"/>
              <w:bottom w:val="single" w:sz="8"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-2</w:t>
            </w:r>
          </w:p>
        </w:tc>
        <w:tc>
          <w:tcPr>
            <w:tcW w:w="876" w:type="pct"/>
            <w:tcBorders>
              <w:top w:val="single" w:sz="4" w:space="0" w:color="auto"/>
              <w:bottom w:val="single" w:sz="8"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-3</w:t>
            </w:r>
          </w:p>
        </w:tc>
        <w:tc>
          <w:tcPr>
            <w:tcW w:w="789" w:type="pct"/>
            <w:tcBorders>
              <w:top w:val="single" w:sz="4" w:space="0" w:color="auto"/>
              <w:bottom w:val="single" w:sz="8" w:space="0" w:color="auto"/>
            </w:tcBorders>
            <w:noWrap/>
            <w:hideMark/>
          </w:tcPr>
          <w:p w:rsidR="002D591C" w:rsidRPr="00B0693D" w:rsidRDefault="002D591C" w:rsidP="00B0693D">
            <w:pPr>
              <w:spacing w:after="0" w:line="360" w:lineRule="auto"/>
              <w:rPr>
                <w:rFonts w:asciiTheme="majorBidi" w:hAnsiTheme="majorBidi" w:cstheme="majorBidi"/>
              </w:rPr>
            </w:pPr>
            <w:r w:rsidRPr="00B0693D">
              <w:rPr>
                <w:rFonts w:asciiTheme="majorBidi" w:hAnsiTheme="majorBidi" w:cstheme="majorBidi"/>
              </w:rPr>
              <w:t>-3</w:t>
            </w:r>
          </w:p>
        </w:tc>
      </w:tr>
    </w:tbl>
    <w:p w:rsidR="002D591C" w:rsidRPr="00B0693D" w:rsidRDefault="002D591C" w:rsidP="00B0693D">
      <w:pPr>
        <w:spacing w:after="0" w:line="360" w:lineRule="auto"/>
        <w:jc w:val="both"/>
        <w:rPr>
          <w:rFonts w:asciiTheme="majorBidi" w:hAnsiTheme="majorBidi" w:cstheme="majorBidi"/>
          <w:b/>
          <w:bCs/>
        </w:rPr>
      </w:pPr>
    </w:p>
    <w:p w:rsidR="002D591C" w:rsidRPr="00B0693D" w:rsidRDefault="002D591C" w:rsidP="00B0693D">
      <w:pPr>
        <w:spacing w:after="120" w:line="240" w:lineRule="auto"/>
        <w:rPr>
          <w:rFonts w:asciiTheme="majorBidi" w:hAnsiTheme="majorBidi" w:cstheme="majorBidi"/>
          <w:b/>
          <w:bCs/>
          <w:i/>
          <w:iCs/>
          <w:sz w:val="24"/>
          <w:szCs w:val="24"/>
        </w:rPr>
      </w:pPr>
      <w:r w:rsidRPr="00B0693D">
        <w:rPr>
          <w:rFonts w:asciiTheme="majorBidi" w:hAnsiTheme="majorBidi" w:cstheme="majorBidi"/>
          <w:b/>
          <w:bCs/>
          <w:i/>
          <w:iCs/>
          <w:sz w:val="24"/>
          <w:szCs w:val="24"/>
        </w:rPr>
        <w:br w:type="page"/>
      </w:r>
    </w:p>
    <w:p w:rsidR="002D591C" w:rsidRPr="00B0693D" w:rsidRDefault="002D591C" w:rsidP="00B0693D">
      <w:pPr>
        <w:spacing w:after="120" w:line="240" w:lineRule="auto"/>
        <w:rPr>
          <w:rFonts w:asciiTheme="majorBidi" w:hAnsiTheme="majorBidi" w:cstheme="majorBidi"/>
          <w:b/>
          <w:bCs/>
          <w:i/>
          <w:iCs/>
          <w:sz w:val="24"/>
          <w:szCs w:val="24"/>
        </w:rPr>
      </w:pPr>
      <w:r w:rsidRPr="00B0693D">
        <w:rPr>
          <w:rFonts w:asciiTheme="majorBidi" w:hAnsiTheme="majorBidi" w:cstheme="majorBidi"/>
          <w:b/>
          <w:bCs/>
          <w:i/>
          <w:iCs/>
          <w:sz w:val="24"/>
          <w:szCs w:val="24"/>
        </w:rPr>
        <w:lastRenderedPageBreak/>
        <w:t xml:space="preserve">B5. Gini index (based on SWIID) for Iran and all other included countries in the donor sample  </w:t>
      </w:r>
    </w:p>
    <w:p w:rsidR="002D591C" w:rsidRPr="00B0693D" w:rsidRDefault="002D591C" w:rsidP="00B0693D">
      <w:pPr>
        <w:rPr>
          <w:rFonts w:asciiTheme="majorBidi" w:hAnsiTheme="majorBidi" w:cstheme="majorBidi"/>
        </w:rPr>
      </w:pPr>
      <w:r w:rsidRPr="00B0693D">
        <w:rPr>
          <w:rFonts w:asciiTheme="majorBidi" w:hAnsiTheme="majorBidi" w:cstheme="majorBidi"/>
        </w:rPr>
        <w:t xml:space="preserve">Figures B6 and B7 show the development of income inequality in Iran and all countries in the donor sample in addition to only contributing countries in the original analysis based on the SWIID Gini index. </w:t>
      </w:r>
    </w:p>
    <w:p w:rsidR="002D591C" w:rsidRPr="00B0693D" w:rsidRDefault="002D591C" w:rsidP="00B0693D">
      <w:pPr>
        <w:spacing w:after="120" w:line="240" w:lineRule="auto"/>
        <w:rPr>
          <w:rFonts w:asciiTheme="majorBidi" w:hAnsiTheme="majorBidi" w:cstheme="majorBidi"/>
          <w:sz w:val="24"/>
          <w:szCs w:val="24"/>
        </w:rPr>
      </w:pPr>
      <w:r w:rsidRPr="00B0693D">
        <w:rPr>
          <w:rFonts w:asciiTheme="majorBidi" w:hAnsiTheme="majorBidi" w:cstheme="majorBidi"/>
          <w:b/>
          <w:bCs/>
          <w:sz w:val="24"/>
          <w:szCs w:val="24"/>
        </w:rPr>
        <w:t>Figure B6.</w:t>
      </w:r>
      <w:r w:rsidRPr="00B0693D">
        <w:rPr>
          <w:rFonts w:asciiTheme="majorBidi" w:hAnsiTheme="majorBidi" w:cstheme="majorBidi"/>
          <w:sz w:val="24"/>
          <w:szCs w:val="24"/>
        </w:rPr>
        <w:t xml:space="preserve"> Income inequality (SWIID -Gini): Iran versus other included countries in the donor sample</w:t>
      </w:r>
    </w:p>
    <w:p w:rsidR="002D591C" w:rsidRPr="00B0693D" w:rsidRDefault="002D591C" w:rsidP="00B0693D">
      <w:pPr>
        <w:spacing w:after="120" w:line="240" w:lineRule="auto"/>
        <w:rPr>
          <w:rFonts w:asciiTheme="majorBidi" w:hAnsiTheme="majorBidi" w:cstheme="majorBidi"/>
        </w:rPr>
      </w:pPr>
      <w:r w:rsidRPr="00B0693D">
        <w:rPr>
          <w:rFonts w:asciiTheme="majorBidi" w:hAnsiTheme="majorBidi" w:cstheme="majorBidi"/>
          <w:noProof/>
          <w:lang w:val="de-DE" w:eastAsia="de-DE"/>
        </w:rPr>
        <w:drawing>
          <wp:inline distT="0" distB="0" distL="0" distR="0" wp14:anchorId="651105E8" wp14:editId="591C8599">
            <wp:extent cx="5759450" cy="3810197"/>
            <wp:effectExtent l="0" t="0" r="12700" b="0"/>
            <wp:docPr id="17" name="Diagram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D591C" w:rsidRPr="00B0693D" w:rsidRDefault="002D591C" w:rsidP="00B0693D">
      <w:pPr>
        <w:spacing w:after="120" w:line="240" w:lineRule="auto"/>
        <w:rPr>
          <w:rFonts w:asciiTheme="majorBidi" w:hAnsiTheme="majorBidi" w:cstheme="majorBidi"/>
          <w:b/>
          <w:bCs/>
          <w:sz w:val="24"/>
          <w:szCs w:val="24"/>
        </w:rPr>
      </w:pPr>
      <w:r w:rsidRPr="00B0693D">
        <w:rPr>
          <w:rFonts w:asciiTheme="majorBidi" w:hAnsiTheme="majorBidi" w:cstheme="majorBidi"/>
          <w:b/>
          <w:bCs/>
          <w:sz w:val="24"/>
          <w:szCs w:val="24"/>
        </w:rPr>
        <w:br w:type="page"/>
      </w:r>
    </w:p>
    <w:p w:rsidR="002D591C" w:rsidRPr="00B0693D" w:rsidRDefault="002D591C" w:rsidP="00B0693D">
      <w:pPr>
        <w:spacing w:after="120" w:line="240" w:lineRule="auto"/>
        <w:rPr>
          <w:rFonts w:asciiTheme="majorBidi" w:hAnsiTheme="majorBidi" w:cstheme="majorBidi"/>
        </w:rPr>
      </w:pPr>
      <w:r w:rsidRPr="00B0693D">
        <w:rPr>
          <w:rFonts w:asciiTheme="majorBidi" w:hAnsiTheme="majorBidi" w:cstheme="majorBidi"/>
          <w:b/>
          <w:bCs/>
          <w:sz w:val="24"/>
          <w:szCs w:val="24"/>
        </w:rPr>
        <w:lastRenderedPageBreak/>
        <w:t>Figure B7.</w:t>
      </w:r>
      <w:r w:rsidRPr="00B0693D">
        <w:rPr>
          <w:rFonts w:asciiTheme="majorBidi" w:hAnsiTheme="majorBidi" w:cstheme="majorBidi"/>
          <w:sz w:val="24"/>
          <w:szCs w:val="24"/>
        </w:rPr>
        <w:t xml:space="preserve"> Income inequality (SWIID -Gini): Iran versus other included countries in the donor sample with non-zero weight in the SCM analysis </w:t>
      </w:r>
    </w:p>
    <w:p w:rsidR="002D591C" w:rsidRPr="00B0693D" w:rsidRDefault="002D591C" w:rsidP="00B0693D">
      <w:pPr>
        <w:spacing w:after="120" w:line="240" w:lineRule="auto"/>
        <w:rPr>
          <w:rFonts w:asciiTheme="majorBidi" w:hAnsiTheme="majorBidi" w:cstheme="majorBidi"/>
        </w:rPr>
      </w:pPr>
      <w:r w:rsidRPr="00B0693D">
        <w:rPr>
          <w:rFonts w:asciiTheme="majorBidi" w:hAnsiTheme="majorBidi" w:cstheme="majorBidi"/>
          <w:noProof/>
          <w:lang w:val="de-DE" w:eastAsia="de-DE"/>
        </w:rPr>
        <w:drawing>
          <wp:inline distT="0" distB="0" distL="0" distR="0" wp14:anchorId="363E2323" wp14:editId="08D6C66B">
            <wp:extent cx="5759450" cy="3480350"/>
            <wp:effectExtent l="0" t="0" r="12700" b="6350"/>
            <wp:docPr id="19" name="Diagram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591C" w:rsidRPr="00B0693D" w:rsidRDefault="002D591C" w:rsidP="00B0693D">
      <w:pPr>
        <w:spacing w:after="0" w:line="360" w:lineRule="auto"/>
        <w:rPr>
          <w:rFonts w:asciiTheme="majorBidi" w:hAnsiTheme="majorBidi" w:cstheme="majorBidi"/>
          <w:b/>
          <w:bCs/>
        </w:rPr>
      </w:pPr>
    </w:p>
    <w:p w:rsidR="002D591C" w:rsidRPr="00B0693D" w:rsidRDefault="00B80C8C" w:rsidP="00B0693D">
      <w:pPr>
        <w:spacing w:after="120" w:line="240" w:lineRule="auto"/>
        <w:rPr>
          <w:rFonts w:asciiTheme="majorBidi" w:eastAsiaTheme="minorHAnsi" w:hAnsiTheme="majorBidi" w:cstheme="majorBidi"/>
          <w:b/>
          <w:bCs/>
        </w:rPr>
      </w:pPr>
      <w:r w:rsidRPr="00B0693D">
        <w:rPr>
          <w:rFonts w:asciiTheme="majorBidi" w:eastAsiaTheme="minorHAnsi" w:hAnsiTheme="majorBidi" w:cstheme="majorBidi"/>
          <w:b/>
          <w:bCs/>
        </w:rPr>
        <w:t xml:space="preserve">References </w:t>
      </w:r>
    </w:p>
    <w:p w:rsidR="00B80C8C" w:rsidRPr="00B0693D" w:rsidRDefault="00B80C8C" w:rsidP="00B0693D">
      <w:pPr>
        <w:spacing w:after="0" w:line="360" w:lineRule="auto"/>
        <w:ind w:left="709" w:hanging="709"/>
        <w:rPr>
          <w:rFonts w:asciiTheme="majorBidi" w:eastAsiaTheme="minorHAnsi" w:hAnsiTheme="majorBidi" w:cstheme="majorBidi"/>
          <w:lang w:val="de-DE"/>
        </w:rPr>
      </w:pPr>
      <w:r w:rsidRPr="00B0693D">
        <w:rPr>
          <w:rFonts w:asciiTheme="majorBidi" w:eastAsiaTheme="minorHAnsi" w:hAnsiTheme="majorBidi" w:cstheme="majorBidi"/>
          <w:lang w:val="de-DE"/>
        </w:rPr>
        <w:t>Abadie, A., Diamond, A., &amp; Hainmueller, J. (2010). Synthetic control methods for comparative case studies: estimating the effect of California’s tobacco control program. Journal of the American Statistical Association, 105, 493–505.</w:t>
      </w:r>
    </w:p>
    <w:p w:rsidR="00B80C8C" w:rsidRPr="00B0693D" w:rsidRDefault="00B80C8C"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Abadie, A., Diamond, A., &amp; Hainmueller, J. (2015). Comparative politics and the synthetic control method. American Journal of Political Science, 59, 495–510.</w:t>
      </w:r>
    </w:p>
    <w:p w:rsidR="006F309A" w:rsidRPr="00B0693D" w:rsidRDefault="006F309A"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Abadie A. &amp; L’Hour, J. (2021). A penalized synthetic control estimator for disaggregated data. Journal of the American Statistical Association, 116, 1817-1834.</w:t>
      </w:r>
    </w:p>
    <w:p w:rsidR="006F309A" w:rsidRPr="00B0693D" w:rsidRDefault="006F309A"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lang w:val="de-DE"/>
        </w:rPr>
        <w:t xml:space="preserve">Ben-Michael, E., Feller, A., &amp; Rothstein, J. (2021). </w:t>
      </w:r>
      <w:r w:rsidRPr="00B0693D">
        <w:rPr>
          <w:rFonts w:asciiTheme="majorBidi" w:eastAsiaTheme="minorHAnsi" w:hAnsiTheme="majorBidi" w:cstheme="majorBidi"/>
        </w:rPr>
        <w:t>The Augmented Synthetic Control Method, Journal of the American Statistical Association, 116:536, 1789-1803.</w:t>
      </w:r>
    </w:p>
    <w:p w:rsidR="00B80C8C" w:rsidRPr="00B0693D" w:rsidRDefault="00B80C8C"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Farzanegan, M.R. (2022). The economic cost of the Islamic revolution and war for Iran: Synthetic counterfactual evidence. Defence and Peace Economics, 33, 129-149.</w:t>
      </w:r>
    </w:p>
    <w:p w:rsidR="00C3246E" w:rsidRPr="00B0693D" w:rsidRDefault="00C3246E"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Ferreira, F.H.G., Lustig, N., &amp; Teles, D. (2015). Appraising cross-national income inequality databases: An introduction. Journal of Economic Inequality, 13, 497–526.</w:t>
      </w:r>
    </w:p>
    <w:p w:rsidR="008B62B2" w:rsidRPr="00B0693D" w:rsidRDefault="008B62B2"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lang w:val="de-DE"/>
        </w:rPr>
        <w:t xml:space="preserve">Galbraith, J.K., &amp; Kum, H. (2005). </w:t>
      </w:r>
      <w:r w:rsidRPr="00B0693D">
        <w:rPr>
          <w:rFonts w:asciiTheme="majorBidi" w:eastAsiaTheme="minorHAnsi" w:hAnsiTheme="majorBidi" w:cstheme="majorBidi"/>
        </w:rPr>
        <w:t>Estimating the inequality of household incomes: A statistical approach to the creation of a dense and consistent global data set. Review of Income and Wealth, 51, 115–143.</w:t>
      </w:r>
    </w:p>
    <w:p w:rsidR="00C3246E" w:rsidRPr="00B0693D" w:rsidRDefault="00C3246E"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Krieger, T., Meierrieks, D. (2019). Income inequality, redistribution and domestic terrorism. World Development, 116, 125–136.</w:t>
      </w:r>
    </w:p>
    <w:p w:rsidR="00B80C8C" w:rsidRPr="00B0693D" w:rsidRDefault="00B80C8C"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lang w:val="de-DE"/>
        </w:rPr>
        <w:lastRenderedPageBreak/>
        <w:t xml:space="preserve">Lührmann, A., Tannenberg, M., Lindberg, S. (2018). </w:t>
      </w:r>
      <w:r w:rsidRPr="00B0693D">
        <w:rPr>
          <w:rFonts w:asciiTheme="majorBidi" w:eastAsiaTheme="minorHAnsi" w:hAnsiTheme="majorBidi" w:cstheme="majorBidi"/>
        </w:rPr>
        <w:t>Regimes of the World (RoW): Opening New Avenues for the Comparative Study of Political Regimes. Politics and Governance, 6, 60-77.</w:t>
      </w:r>
    </w:p>
    <w:p w:rsidR="005274E3" w:rsidRPr="00B0693D" w:rsidRDefault="006F309A"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McClelland, R. &amp; Mucciolo, L. (2022). An update on the synthetic control method as a tool to understand state policy. Tax Policy Center, Urban Institute, Washington, DC.</w:t>
      </w:r>
    </w:p>
    <w:p w:rsidR="00C3246E" w:rsidRPr="00B0693D" w:rsidRDefault="00C3246E"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Solt, F. (2009). Standardizing the world income inequality database. Social Science Quarterly, 90, 231–242.</w:t>
      </w:r>
    </w:p>
    <w:p w:rsidR="00C3246E" w:rsidRPr="00B0693D" w:rsidRDefault="00C3246E"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Solt, F. (2020). Measuring income inequality across countries and over time: the standardized world income inequality database. Social Science Quarterly, 101(3), 1183–1199.</w:t>
      </w:r>
    </w:p>
    <w:p w:rsidR="006F309A" w:rsidRPr="006F309A" w:rsidRDefault="004D0550" w:rsidP="00B0693D">
      <w:pPr>
        <w:spacing w:after="0" w:line="360" w:lineRule="auto"/>
        <w:ind w:left="709" w:hanging="709"/>
        <w:rPr>
          <w:rFonts w:asciiTheme="majorBidi" w:eastAsiaTheme="minorHAnsi" w:hAnsiTheme="majorBidi" w:cstheme="majorBidi"/>
        </w:rPr>
      </w:pPr>
      <w:r w:rsidRPr="00B0693D">
        <w:rPr>
          <w:rFonts w:asciiTheme="majorBidi" w:eastAsiaTheme="minorHAnsi" w:hAnsiTheme="majorBidi" w:cstheme="majorBidi"/>
        </w:rPr>
        <w:t>Wiltshire, J. C. (2021). allsynth: Synthetic Control Bias-correction Utilities for Stata. 2021 Stata Conference 15, Stata Users Group.</w:t>
      </w:r>
    </w:p>
    <w:sectPr w:rsidR="006F309A" w:rsidRPr="006F309A" w:rsidSect="004A668D">
      <w:headerReference w:type="default" r:id="rId24"/>
      <w:footerReference w:type="default" r:id="rId25"/>
      <w:pgSz w:w="11906" w:h="16838"/>
      <w:pgMar w:top="156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9DF" w:rsidRDefault="00D679DF" w:rsidP="002D591C">
      <w:pPr>
        <w:spacing w:after="0" w:line="240" w:lineRule="auto"/>
      </w:pPr>
      <w:r>
        <w:separator/>
      </w:r>
    </w:p>
  </w:endnote>
  <w:endnote w:type="continuationSeparator" w:id="0">
    <w:p w:rsidR="00D679DF" w:rsidRDefault="00D679DF" w:rsidP="002D5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734743"/>
      <w:docPartObj>
        <w:docPartGallery w:val="Page Numbers (Bottom of Page)"/>
        <w:docPartUnique/>
      </w:docPartObj>
    </w:sdtPr>
    <w:sdtEndPr/>
    <w:sdtContent>
      <w:p w:rsidR="006742F1" w:rsidRDefault="00091F59">
        <w:pPr>
          <w:pStyle w:val="Fuzeile"/>
          <w:jc w:val="center"/>
        </w:pPr>
        <w:r>
          <w:fldChar w:fldCharType="begin"/>
        </w:r>
        <w:r>
          <w:instrText>PAGE   \* MERGEFORMAT</w:instrText>
        </w:r>
        <w:r>
          <w:fldChar w:fldCharType="separate"/>
        </w:r>
        <w:r w:rsidR="00B6687B" w:rsidRPr="00B6687B">
          <w:rPr>
            <w:noProof/>
            <w:lang w:val="de-DE"/>
          </w:rPr>
          <w:t>18</w:t>
        </w:r>
        <w:r>
          <w:fldChar w:fldCharType="end"/>
        </w:r>
      </w:p>
    </w:sdtContent>
  </w:sdt>
  <w:p w:rsidR="006742F1" w:rsidRDefault="00D679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9DF" w:rsidRDefault="00D679DF" w:rsidP="002D591C">
      <w:pPr>
        <w:spacing w:after="0" w:line="240" w:lineRule="auto"/>
      </w:pPr>
      <w:r>
        <w:separator/>
      </w:r>
    </w:p>
  </w:footnote>
  <w:footnote w:type="continuationSeparator" w:id="0">
    <w:p w:rsidR="00D679DF" w:rsidRDefault="00D679DF" w:rsidP="002D591C">
      <w:pPr>
        <w:spacing w:after="0" w:line="240" w:lineRule="auto"/>
      </w:pPr>
      <w:r>
        <w:continuationSeparator/>
      </w:r>
    </w:p>
  </w:footnote>
  <w:footnote w:id="1">
    <w:p w:rsidR="002D591C" w:rsidRPr="00834A6F" w:rsidRDefault="002D591C" w:rsidP="002D591C">
      <w:pPr>
        <w:pStyle w:val="Funotentext"/>
        <w:rPr>
          <w:rFonts w:asciiTheme="majorBidi" w:hAnsiTheme="majorBidi" w:cstheme="majorBidi"/>
        </w:rPr>
      </w:pPr>
      <w:r w:rsidRPr="00834A6F">
        <w:rPr>
          <w:rStyle w:val="Funotenzeichen"/>
          <w:rFonts w:asciiTheme="majorBidi" w:hAnsiTheme="majorBidi" w:cstheme="majorBidi"/>
        </w:rPr>
        <w:footnoteRef/>
      </w:r>
      <w:r w:rsidRPr="00834A6F">
        <w:rPr>
          <w:rFonts w:asciiTheme="majorBidi" w:hAnsiTheme="majorBidi" w:cstheme="majorBidi"/>
        </w:rPr>
        <w:t xml:space="preserve"> </w:t>
      </w:r>
      <w:hyperlink r:id="rId1" w:history="1">
        <w:r w:rsidRPr="00834A6F">
          <w:rPr>
            <w:rStyle w:val="Hyperlink"/>
            <w:rFonts w:asciiTheme="majorBidi" w:hAnsiTheme="majorBidi" w:cstheme="majorBidi"/>
          </w:rPr>
          <w:t>https://www.nytimes.com/1975/03/03/archives/shah-decrees-iran-a-oneparty-nation.html</w:t>
        </w:r>
      </w:hyperlink>
      <w:r w:rsidRPr="00834A6F">
        <w:rPr>
          <w:rFonts w:asciiTheme="majorBidi" w:hAnsiTheme="majorBidi" w:cstheme="majorBid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F1" w:rsidRDefault="00D679D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91C"/>
    <w:rsid w:val="00091F59"/>
    <w:rsid w:val="002D591C"/>
    <w:rsid w:val="004D0550"/>
    <w:rsid w:val="005274E3"/>
    <w:rsid w:val="006F309A"/>
    <w:rsid w:val="008B62B2"/>
    <w:rsid w:val="009E2482"/>
    <w:rsid w:val="00A5615E"/>
    <w:rsid w:val="00AA55F1"/>
    <w:rsid w:val="00B0693D"/>
    <w:rsid w:val="00B6687B"/>
    <w:rsid w:val="00B80C8C"/>
    <w:rsid w:val="00C3246E"/>
    <w:rsid w:val="00D679DF"/>
    <w:rsid w:val="00E2452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8D2E7-B54D-46AF-82FF-78C06FFC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591C"/>
    <w:pPr>
      <w:spacing w:after="200" w:line="276" w:lineRule="auto"/>
    </w:pPr>
    <w:rPr>
      <w:rFonts w:ascii="Calibri" w:eastAsia="Calibri" w:hAnsi="Calibri" w:cs="Arial"/>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2D591C"/>
    <w:rPr>
      <w:color w:val="0000FF"/>
      <w:u w:val="single"/>
    </w:rPr>
  </w:style>
  <w:style w:type="paragraph" w:styleId="Funotentext">
    <w:name w:val="footnote text"/>
    <w:basedOn w:val="Standard"/>
    <w:link w:val="FunotentextZchn"/>
    <w:uiPriority w:val="99"/>
    <w:semiHidden/>
    <w:unhideWhenUsed/>
    <w:rsid w:val="002D591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D591C"/>
    <w:rPr>
      <w:rFonts w:ascii="Calibri" w:eastAsia="Calibri" w:hAnsi="Calibri" w:cs="Arial"/>
      <w:sz w:val="20"/>
      <w:szCs w:val="20"/>
      <w:lang w:val="en-US"/>
    </w:rPr>
  </w:style>
  <w:style w:type="character" w:styleId="Funotenzeichen">
    <w:name w:val="footnote reference"/>
    <w:uiPriority w:val="99"/>
    <w:semiHidden/>
    <w:unhideWhenUsed/>
    <w:rsid w:val="002D591C"/>
    <w:rPr>
      <w:vertAlign w:val="superscript"/>
    </w:rPr>
  </w:style>
  <w:style w:type="table" w:styleId="Tabellenraster">
    <w:name w:val="Table Grid"/>
    <w:basedOn w:val="NormaleTabelle"/>
    <w:uiPriority w:val="39"/>
    <w:rsid w:val="002D59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59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91C"/>
    <w:rPr>
      <w:rFonts w:ascii="Calibri" w:eastAsia="Calibri" w:hAnsi="Calibri" w:cs="Arial"/>
      <w:lang w:val="en-US"/>
    </w:rPr>
  </w:style>
  <w:style w:type="paragraph" w:styleId="Fuzeile">
    <w:name w:val="footer"/>
    <w:basedOn w:val="Standard"/>
    <w:link w:val="FuzeileZchn"/>
    <w:uiPriority w:val="99"/>
    <w:unhideWhenUsed/>
    <w:rsid w:val="002D59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91C"/>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9.emf"/><Relationship Id="rId7" Type="http://schemas.openxmlformats.org/officeDocument/2006/relationships/hyperlink" Target="mailto:kadivarm@bc.edu" TargetMode="Externa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chart" Target="charts/chart3.xml"/><Relationship Id="rId20" Type="http://schemas.openxmlformats.org/officeDocument/2006/relationships/image" Target="media/image8.emf"/><Relationship Id="rId1" Type="http://schemas.openxmlformats.org/officeDocument/2006/relationships/styles" Target="styles.xml"/><Relationship Id="rId6" Type="http://schemas.openxmlformats.org/officeDocument/2006/relationships/hyperlink" Target="mailto:farzanegan@uni-marburg.de" TargetMode="External"/><Relationship Id="rId11" Type="http://schemas.openxmlformats.org/officeDocument/2006/relationships/image" Target="media/image3.emf"/><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chart" Target="charts/chart2.xml"/><Relationship Id="rId23" Type="http://schemas.openxmlformats.org/officeDocument/2006/relationships/chart" Target="charts/chart7.xml"/><Relationship Id="rId10" Type="http://schemas.openxmlformats.org/officeDocument/2006/relationships/image" Target="media/image2.emf"/><Relationship Id="rId19"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ytimes.com/1975/03/03/archives/shah-decrees-iran-a-oneparty-nation.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rzaneg\Documents\Back_Up\PhD_Work\to%20do_18Dec2018\Iran_rev_war_gini\Data_Stata\calculations_2%20October%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Arbeitsblat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farzaneg\Documents\Back_Up\PhD_Work\to%20do_18Dec2018\Iran_rev_war_gini\Data_Stata\UtipUnidoEhiiV2017_v.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farzaneg\Documents\Back_Up\PhD_Work\to%20do_18Dec2018\Iran_rev_war_gini\Data_Stata\calculations_2%20October%202021%20(Solt).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farzaneg\Documents\Back_Up\PhD_Work\to%20do_18Dec2018\Iran_rev_war_gini\Data_Stata\calculations_2%20October%202021%20(Sol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Mappe2"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arzaneg\Documents\Back_Up\PhD_Work\to%20do_18Dec2018\Iran_rev_war_gini\Data_Stata\swiid9_1_summary.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barChart>
        <c:barDir val="col"/>
        <c:grouping val="clustered"/>
        <c:varyColors val="0"/>
        <c:ser>
          <c:idx val="0"/>
          <c:order val="0"/>
          <c:tx>
            <c:strRef>
              <c:f>Tabelle6!$C$1</c:f>
              <c:strCache>
                <c:ptCount val="1"/>
                <c:pt idx="0">
                  <c:v>post/pre RMSPE </c:v>
                </c:pt>
              </c:strCache>
            </c:strRef>
          </c:tx>
          <c:spPr>
            <a:solidFill>
              <a:schemeClr val="bg1">
                <a:lumMod val="50000"/>
              </a:schemeClr>
            </a:solidFill>
            <a:ln>
              <a:solidFill>
                <a:schemeClr val="tx1"/>
              </a:solidFill>
            </a:ln>
            <a:effectLst/>
          </c:spPr>
          <c:invertIfNegative val="0"/>
          <c:dPt>
            <c:idx val="18"/>
            <c:invertIfNegative val="0"/>
            <c:bubble3D val="0"/>
            <c:spPr>
              <a:solidFill>
                <a:schemeClr val="tx1"/>
              </a:solidFill>
              <a:ln>
                <a:solidFill>
                  <a:schemeClr val="tx1"/>
                </a:solidFill>
              </a:ln>
              <a:effectLst/>
            </c:spPr>
            <c:extLst>
              <c:ext xmlns:c16="http://schemas.microsoft.com/office/drawing/2014/chart" uri="{C3380CC4-5D6E-409C-BE32-E72D297353CC}">
                <c16:uniqueId val="{00000001-0EA0-4EF7-A014-35A87A77FA88}"/>
              </c:ext>
            </c:extLst>
          </c:dPt>
          <c:dLbls>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A0-4EF7-A014-35A87A77FA88}"/>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Tabelle6!$A$2:$A$20</c:f>
              <c:strCache>
                <c:ptCount val="19"/>
                <c:pt idx="0">
                  <c:v>India</c:v>
                </c:pt>
                <c:pt idx="1">
                  <c:v>Kenya</c:v>
                </c:pt>
                <c:pt idx="2">
                  <c:v>Bangladesh</c:v>
                </c:pt>
                <c:pt idx="3">
                  <c:v>Venezuela</c:v>
                </c:pt>
                <c:pt idx="4">
                  <c:v>Pakistan</c:v>
                </c:pt>
                <c:pt idx="5">
                  <c:v>Egypt</c:v>
                </c:pt>
                <c:pt idx="6">
                  <c:v>Denmark</c:v>
                </c:pt>
                <c:pt idx="7">
                  <c:v>Mexico</c:v>
                </c:pt>
                <c:pt idx="8">
                  <c:v>Malta</c:v>
                </c:pt>
                <c:pt idx="9">
                  <c:v>Singapore</c:v>
                </c:pt>
                <c:pt idx="10">
                  <c:v>Netherlands</c:v>
                </c:pt>
                <c:pt idx="11">
                  <c:v>Turkey</c:v>
                </c:pt>
                <c:pt idx="12">
                  <c:v>Republic of Korea</c:v>
                </c:pt>
                <c:pt idx="13">
                  <c:v>Colombia</c:v>
                </c:pt>
                <c:pt idx="14">
                  <c:v>Chile</c:v>
                </c:pt>
                <c:pt idx="15">
                  <c:v>Norway</c:v>
                </c:pt>
                <c:pt idx="16">
                  <c:v>Malaysia</c:v>
                </c:pt>
                <c:pt idx="17">
                  <c:v>Ecuador</c:v>
                </c:pt>
                <c:pt idx="18">
                  <c:v>Iran</c:v>
                </c:pt>
              </c:strCache>
            </c:strRef>
          </c:cat>
          <c:val>
            <c:numRef>
              <c:f>Tabelle6!$C$2:$C$20</c:f>
              <c:numCache>
                <c:formatCode>0.0</c:formatCode>
                <c:ptCount val="19"/>
                <c:pt idx="0">
                  <c:v>0.92049080000000005</c:v>
                </c:pt>
                <c:pt idx="1">
                  <c:v>1.014645</c:v>
                </c:pt>
                <c:pt idx="2">
                  <c:v>1.7666120000000001</c:v>
                </c:pt>
                <c:pt idx="3">
                  <c:v>2.131345</c:v>
                </c:pt>
                <c:pt idx="4">
                  <c:v>2.2922069999999999</c:v>
                </c:pt>
                <c:pt idx="5">
                  <c:v>2.343356</c:v>
                </c:pt>
                <c:pt idx="6">
                  <c:v>2.3558210000000002</c:v>
                </c:pt>
                <c:pt idx="7">
                  <c:v>2.4368310000000002</c:v>
                </c:pt>
                <c:pt idx="8">
                  <c:v>2.477557</c:v>
                </c:pt>
                <c:pt idx="9">
                  <c:v>2.9808189999999999</c:v>
                </c:pt>
                <c:pt idx="10">
                  <c:v>3.9295209999999998</c:v>
                </c:pt>
                <c:pt idx="11">
                  <c:v>4.0179619999999998</c:v>
                </c:pt>
                <c:pt idx="12">
                  <c:v>4.1966619999999999</c:v>
                </c:pt>
                <c:pt idx="13">
                  <c:v>4.9769819999999996</c:v>
                </c:pt>
                <c:pt idx="14">
                  <c:v>5.2043400000000002</c:v>
                </c:pt>
                <c:pt idx="15">
                  <c:v>5.2419209999999996</c:v>
                </c:pt>
                <c:pt idx="16">
                  <c:v>5.405551</c:v>
                </c:pt>
                <c:pt idx="17">
                  <c:v>9.6535969999999995</c:v>
                </c:pt>
                <c:pt idx="18">
                  <c:v>13.738619999999999</c:v>
                </c:pt>
              </c:numCache>
            </c:numRef>
          </c:val>
          <c:extLst>
            <c:ext xmlns:c16="http://schemas.microsoft.com/office/drawing/2014/chart" uri="{C3380CC4-5D6E-409C-BE32-E72D297353CC}">
              <c16:uniqueId val="{00000002-0EA0-4EF7-A014-35A87A77FA88}"/>
            </c:ext>
          </c:extLst>
        </c:ser>
        <c:dLbls>
          <c:showLegendKey val="0"/>
          <c:showVal val="0"/>
          <c:showCatName val="0"/>
          <c:showSerName val="0"/>
          <c:showPercent val="0"/>
          <c:showBubbleSize val="0"/>
        </c:dLbls>
        <c:gapWidth val="219"/>
        <c:overlap val="-27"/>
        <c:axId val="564693144"/>
        <c:axId val="564693800"/>
      </c:barChart>
      <c:catAx>
        <c:axId val="564693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564693800"/>
        <c:crosses val="autoZero"/>
        <c:auto val="1"/>
        <c:lblAlgn val="ctr"/>
        <c:lblOffset val="100"/>
        <c:noMultiLvlLbl val="0"/>
      </c:catAx>
      <c:valAx>
        <c:axId val="564693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564693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de-DE" sz="1100"/>
              <a:t>EHII-Gini index for Iran and all other 18 countries in the donor sample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lineChart>
        <c:grouping val="standard"/>
        <c:varyColors val="0"/>
        <c:ser>
          <c:idx val="0"/>
          <c:order val="0"/>
          <c:tx>
            <c:strRef>
              <c:f>'full donor sample table 1'!$C$2</c:f>
              <c:strCache>
                <c:ptCount val="1"/>
                <c:pt idx="0">
                  <c:v>Bangladesh</c:v>
                </c:pt>
              </c:strCache>
            </c:strRef>
          </c:tx>
          <c:spPr>
            <a:ln w="28575" cap="rnd">
              <a:solidFill>
                <a:schemeClr val="accent1"/>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1'!$D$2:$V$2</c:f>
              <c:numCache>
                <c:formatCode>General</c:formatCode>
                <c:ptCount val="19"/>
                <c:pt idx="0">
                  <c:v>40.161239624023438</c:v>
                </c:pt>
                <c:pt idx="1">
                  <c:v>41.828781127929688</c:v>
                </c:pt>
                <c:pt idx="2">
                  <c:v>42.135711669921875</c:v>
                </c:pt>
                <c:pt idx="3">
                  <c:v>44.268569946289063</c:v>
                </c:pt>
                <c:pt idx="4">
                  <c:v>42.101001739501953</c:v>
                </c:pt>
                <c:pt idx="5">
                  <c:v>43.021080017089844</c:v>
                </c:pt>
                <c:pt idx="6">
                  <c:v>44.766880035400391</c:v>
                </c:pt>
                <c:pt idx="7">
                  <c:v>45.905590057373047</c:v>
                </c:pt>
                <c:pt idx="8">
                  <c:v>44.264389038085938</c:v>
                </c:pt>
                <c:pt idx="9">
                  <c:v>43.090690612792969</c:v>
                </c:pt>
                <c:pt idx="10">
                  <c:v>42.436569213867188</c:v>
                </c:pt>
                <c:pt idx="11">
                  <c:v>43.548179626464844</c:v>
                </c:pt>
                <c:pt idx="12">
                  <c:v>44.387199401855469</c:v>
                </c:pt>
                <c:pt idx="13">
                  <c:v>45.093631744384766</c:v>
                </c:pt>
                <c:pt idx="14">
                  <c:v>43.934329986572266</c:v>
                </c:pt>
                <c:pt idx="15">
                  <c:v>45.269870758056641</c:v>
                </c:pt>
                <c:pt idx="16">
                  <c:v>46.103420257568359</c:v>
                </c:pt>
                <c:pt idx="17">
                  <c:v>45.883220672607422</c:v>
                </c:pt>
                <c:pt idx="18">
                  <c:v>46.4415283203125</c:v>
                </c:pt>
              </c:numCache>
            </c:numRef>
          </c:val>
          <c:smooth val="0"/>
          <c:extLst>
            <c:ext xmlns:c16="http://schemas.microsoft.com/office/drawing/2014/chart" uri="{C3380CC4-5D6E-409C-BE32-E72D297353CC}">
              <c16:uniqueId val="{00000000-E182-4902-B0D8-53AA964FF01E}"/>
            </c:ext>
          </c:extLst>
        </c:ser>
        <c:ser>
          <c:idx val="1"/>
          <c:order val="1"/>
          <c:tx>
            <c:strRef>
              <c:f>'full donor sample table 1'!$C$3</c:f>
              <c:strCache>
                <c:ptCount val="1"/>
                <c:pt idx="0">
                  <c:v>Chile</c:v>
                </c:pt>
              </c:strCache>
            </c:strRef>
          </c:tx>
          <c:spPr>
            <a:ln w="28575" cap="rnd">
              <a:solidFill>
                <a:schemeClr val="accent2"/>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1'!$D$3:$V$3</c:f>
              <c:numCache>
                <c:formatCode>General</c:formatCode>
                <c:ptCount val="19"/>
                <c:pt idx="0">
                  <c:v>44.438259124755859</c:v>
                </c:pt>
                <c:pt idx="1">
                  <c:v>43.119968414306641</c:v>
                </c:pt>
                <c:pt idx="2">
                  <c:v>40.727321624755859</c:v>
                </c:pt>
                <c:pt idx="3">
                  <c:v>40.341148376464844</c:v>
                </c:pt>
                <c:pt idx="4">
                  <c:v>41.543209075927734</c:v>
                </c:pt>
                <c:pt idx="5">
                  <c:v>42.283901214599609</c:v>
                </c:pt>
                <c:pt idx="6">
                  <c:v>44.380638122558594</c:v>
                </c:pt>
                <c:pt idx="7">
                  <c:v>44.782508850097656</c:v>
                </c:pt>
                <c:pt idx="8">
                  <c:v>44.771198272705078</c:v>
                </c:pt>
                <c:pt idx="9">
                  <c:v>45.348960876464844</c:v>
                </c:pt>
                <c:pt idx="10">
                  <c:v>45.695579528808594</c:v>
                </c:pt>
                <c:pt idx="11">
                  <c:v>46.542488098144531</c:v>
                </c:pt>
                <c:pt idx="12">
                  <c:v>47.352260589599609</c:v>
                </c:pt>
                <c:pt idx="13">
                  <c:v>48.937351226806641</c:v>
                </c:pt>
                <c:pt idx="14">
                  <c:v>49.458080291748047</c:v>
                </c:pt>
                <c:pt idx="15">
                  <c:v>49.578960418701172</c:v>
                </c:pt>
                <c:pt idx="16">
                  <c:v>49.963291168212891</c:v>
                </c:pt>
                <c:pt idx="17">
                  <c:v>49.147560119628906</c:v>
                </c:pt>
                <c:pt idx="18">
                  <c:v>48.282791137695313</c:v>
                </c:pt>
              </c:numCache>
            </c:numRef>
          </c:val>
          <c:smooth val="0"/>
          <c:extLst>
            <c:ext xmlns:c16="http://schemas.microsoft.com/office/drawing/2014/chart" uri="{C3380CC4-5D6E-409C-BE32-E72D297353CC}">
              <c16:uniqueId val="{00000001-E182-4902-B0D8-53AA964FF01E}"/>
            </c:ext>
          </c:extLst>
        </c:ser>
        <c:ser>
          <c:idx val="2"/>
          <c:order val="2"/>
          <c:tx>
            <c:strRef>
              <c:f>'full donor sample table 1'!$C$4</c:f>
              <c:strCache>
                <c:ptCount val="1"/>
                <c:pt idx="0">
                  <c:v>Colombia</c:v>
                </c:pt>
              </c:strCache>
            </c:strRef>
          </c:tx>
          <c:spPr>
            <a:ln w="28575" cap="rnd">
              <a:solidFill>
                <a:schemeClr val="accent3"/>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1'!$D$4:$V$4</c:f>
              <c:numCache>
                <c:formatCode>General</c:formatCode>
                <c:ptCount val="19"/>
                <c:pt idx="0">
                  <c:v>45.121433258056641</c:v>
                </c:pt>
                <c:pt idx="1">
                  <c:v>45.528202056884766</c:v>
                </c:pt>
                <c:pt idx="2">
                  <c:v>45.773460388183594</c:v>
                </c:pt>
                <c:pt idx="3">
                  <c:v>45.371856689453125</c:v>
                </c:pt>
                <c:pt idx="4">
                  <c:v>45.2081298828125</c:v>
                </c:pt>
                <c:pt idx="5">
                  <c:v>46.130222320556641</c:v>
                </c:pt>
                <c:pt idx="6">
                  <c:v>45.517219543457031</c:v>
                </c:pt>
                <c:pt idx="7">
                  <c:v>46.307373046875</c:v>
                </c:pt>
                <c:pt idx="8">
                  <c:v>45.027393341064453</c:v>
                </c:pt>
                <c:pt idx="9">
                  <c:v>44.211662292480469</c:v>
                </c:pt>
                <c:pt idx="10">
                  <c:v>43.762470245361328</c:v>
                </c:pt>
                <c:pt idx="11">
                  <c:v>44.2886962890625</c:v>
                </c:pt>
                <c:pt idx="12">
                  <c:v>44.495899200439453</c:v>
                </c:pt>
                <c:pt idx="13">
                  <c:v>45.358295440673828</c:v>
                </c:pt>
                <c:pt idx="14">
                  <c:v>45.408218383789063</c:v>
                </c:pt>
                <c:pt idx="15">
                  <c:v>45.978599548339844</c:v>
                </c:pt>
                <c:pt idx="16">
                  <c:v>45.722373962402344</c:v>
                </c:pt>
                <c:pt idx="17">
                  <c:v>45.857593536376953</c:v>
                </c:pt>
                <c:pt idx="18">
                  <c:v>45.440860748291016</c:v>
                </c:pt>
              </c:numCache>
            </c:numRef>
          </c:val>
          <c:smooth val="0"/>
          <c:extLst>
            <c:ext xmlns:c16="http://schemas.microsoft.com/office/drawing/2014/chart" uri="{C3380CC4-5D6E-409C-BE32-E72D297353CC}">
              <c16:uniqueId val="{00000002-E182-4902-B0D8-53AA964FF01E}"/>
            </c:ext>
          </c:extLst>
        </c:ser>
        <c:ser>
          <c:idx val="3"/>
          <c:order val="3"/>
          <c:tx>
            <c:strRef>
              <c:f>'full donor sample table 1'!$C$5</c:f>
              <c:strCache>
                <c:ptCount val="1"/>
                <c:pt idx="0">
                  <c:v>Denmark</c:v>
                </c:pt>
              </c:strCache>
            </c:strRef>
          </c:tx>
          <c:spPr>
            <a:ln w="28575" cap="rnd">
              <a:solidFill>
                <a:schemeClr val="accent4"/>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1'!$D$5:$V$5</c:f>
              <c:numCache>
                <c:formatCode>General</c:formatCode>
                <c:ptCount val="19"/>
                <c:pt idx="0">
                  <c:v>30.982612609863281</c:v>
                </c:pt>
                <c:pt idx="1">
                  <c:v>31.220720291137695</c:v>
                </c:pt>
                <c:pt idx="2">
                  <c:v>31.196695327758789</c:v>
                </c:pt>
                <c:pt idx="3">
                  <c:v>30.620988845825195</c:v>
                </c:pt>
                <c:pt idx="4">
                  <c:v>31.038507461547852</c:v>
                </c:pt>
                <c:pt idx="5">
                  <c:v>32.365978240966797</c:v>
                </c:pt>
                <c:pt idx="6">
                  <c:v>32.07049560546875</c:v>
                </c:pt>
                <c:pt idx="7">
                  <c:v>31.729316711425781</c:v>
                </c:pt>
                <c:pt idx="8">
                  <c:v>32.033992767333984</c:v>
                </c:pt>
                <c:pt idx="9">
                  <c:v>32.033496856689453</c:v>
                </c:pt>
                <c:pt idx="10">
                  <c:v>32.132827758789063</c:v>
                </c:pt>
                <c:pt idx="11">
                  <c:v>31.909141540527344</c:v>
                </c:pt>
                <c:pt idx="12">
                  <c:v>32.298717498779297</c:v>
                </c:pt>
                <c:pt idx="13">
                  <c:v>32.219306945800781</c:v>
                </c:pt>
                <c:pt idx="14">
                  <c:v>31.664167404174805</c:v>
                </c:pt>
                <c:pt idx="15">
                  <c:v>31.312822341918945</c:v>
                </c:pt>
                <c:pt idx="16">
                  <c:v>30.911787033081055</c:v>
                </c:pt>
                <c:pt idx="17">
                  <c:v>31.170196533203125</c:v>
                </c:pt>
                <c:pt idx="18">
                  <c:v>31.387372970581055</c:v>
                </c:pt>
              </c:numCache>
            </c:numRef>
          </c:val>
          <c:smooth val="0"/>
          <c:extLst>
            <c:ext xmlns:c16="http://schemas.microsoft.com/office/drawing/2014/chart" uri="{C3380CC4-5D6E-409C-BE32-E72D297353CC}">
              <c16:uniqueId val="{00000003-E182-4902-B0D8-53AA964FF01E}"/>
            </c:ext>
          </c:extLst>
        </c:ser>
        <c:ser>
          <c:idx val="4"/>
          <c:order val="4"/>
          <c:tx>
            <c:strRef>
              <c:f>'full donor sample table 1'!$C$6</c:f>
              <c:strCache>
                <c:ptCount val="1"/>
                <c:pt idx="0">
                  <c:v>Ecuador</c:v>
                </c:pt>
              </c:strCache>
            </c:strRef>
          </c:tx>
          <c:spPr>
            <a:ln w="28575" cap="rnd">
              <a:solidFill>
                <a:schemeClr val="accent5"/>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1'!$D$6:$V$6</c:f>
              <c:numCache>
                <c:formatCode>General</c:formatCode>
                <c:ptCount val="19"/>
                <c:pt idx="0">
                  <c:v>46.597251892089844</c:v>
                </c:pt>
                <c:pt idx="1">
                  <c:v>46.749668121337891</c:v>
                </c:pt>
                <c:pt idx="2">
                  <c:v>46.173553466796875</c:v>
                </c:pt>
                <c:pt idx="3">
                  <c:v>45.141544342041016</c:v>
                </c:pt>
                <c:pt idx="4">
                  <c:v>43.542072296142578</c:v>
                </c:pt>
                <c:pt idx="5">
                  <c:v>43.124271392822266</c:v>
                </c:pt>
                <c:pt idx="6">
                  <c:v>42.735305786132813</c:v>
                </c:pt>
                <c:pt idx="7">
                  <c:v>42.699901580810547</c:v>
                </c:pt>
                <c:pt idx="8">
                  <c:v>41.187580108642578</c:v>
                </c:pt>
                <c:pt idx="9">
                  <c:v>44.058547973632813</c:v>
                </c:pt>
                <c:pt idx="10">
                  <c:v>45.146636962890625</c:v>
                </c:pt>
                <c:pt idx="11">
                  <c:v>44.848949432373047</c:v>
                </c:pt>
                <c:pt idx="12">
                  <c:v>45.773670196533203</c:v>
                </c:pt>
                <c:pt idx="13">
                  <c:v>45.868911743164063</c:v>
                </c:pt>
                <c:pt idx="14">
                  <c:v>46.411666870117188</c:v>
                </c:pt>
                <c:pt idx="15">
                  <c:v>46.360916137695313</c:v>
                </c:pt>
                <c:pt idx="16">
                  <c:v>46.771553039550781</c:v>
                </c:pt>
                <c:pt idx="17">
                  <c:v>46.809974670410156</c:v>
                </c:pt>
                <c:pt idx="18">
                  <c:v>47.603382110595703</c:v>
                </c:pt>
              </c:numCache>
            </c:numRef>
          </c:val>
          <c:smooth val="0"/>
          <c:extLst>
            <c:ext xmlns:c16="http://schemas.microsoft.com/office/drawing/2014/chart" uri="{C3380CC4-5D6E-409C-BE32-E72D297353CC}">
              <c16:uniqueId val="{00000004-E182-4902-B0D8-53AA964FF01E}"/>
            </c:ext>
          </c:extLst>
        </c:ser>
        <c:ser>
          <c:idx val="5"/>
          <c:order val="5"/>
          <c:tx>
            <c:strRef>
              <c:f>'full donor sample table 1'!$C$7</c:f>
              <c:strCache>
                <c:ptCount val="1"/>
                <c:pt idx="0">
                  <c:v>Egypt</c:v>
                </c:pt>
              </c:strCache>
            </c:strRef>
          </c:tx>
          <c:spPr>
            <a:ln w="28575" cap="rnd">
              <a:solidFill>
                <a:schemeClr val="accent6"/>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1'!$D$7:$V$7</c:f>
              <c:numCache>
                <c:formatCode>General</c:formatCode>
                <c:ptCount val="19"/>
                <c:pt idx="0">
                  <c:v>42.697502136230469</c:v>
                </c:pt>
                <c:pt idx="1">
                  <c:v>44.638103485107422</c:v>
                </c:pt>
                <c:pt idx="2">
                  <c:v>42.920654296875</c:v>
                </c:pt>
                <c:pt idx="3">
                  <c:v>41.839771270751953</c:v>
                </c:pt>
                <c:pt idx="4">
                  <c:v>41.021968841552734</c:v>
                </c:pt>
                <c:pt idx="5">
                  <c:v>41.136913299560547</c:v>
                </c:pt>
                <c:pt idx="6">
                  <c:v>41.355941772460938</c:v>
                </c:pt>
                <c:pt idx="7">
                  <c:v>41.644027709960938</c:v>
                </c:pt>
                <c:pt idx="8">
                  <c:v>40.571773529052734</c:v>
                </c:pt>
                <c:pt idx="9">
                  <c:v>42.724952697753906</c:v>
                </c:pt>
                <c:pt idx="10">
                  <c:v>42.118019104003906</c:v>
                </c:pt>
                <c:pt idx="11">
                  <c:v>43.625961303710938</c:v>
                </c:pt>
                <c:pt idx="12">
                  <c:v>45.573402404785156</c:v>
                </c:pt>
                <c:pt idx="13">
                  <c:v>45.149898529052734</c:v>
                </c:pt>
                <c:pt idx="14">
                  <c:v>45.545940399169922</c:v>
                </c:pt>
                <c:pt idx="15">
                  <c:v>43.333412170410156</c:v>
                </c:pt>
                <c:pt idx="16">
                  <c:v>43.733371734619141</c:v>
                </c:pt>
                <c:pt idx="17">
                  <c:v>43.748867034912109</c:v>
                </c:pt>
                <c:pt idx="18">
                  <c:v>44.942554473876953</c:v>
                </c:pt>
              </c:numCache>
            </c:numRef>
          </c:val>
          <c:smooth val="0"/>
          <c:extLst>
            <c:ext xmlns:c16="http://schemas.microsoft.com/office/drawing/2014/chart" uri="{C3380CC4-5D6E-409C-BE32-E72D297353CC}">
              <c16:uniqueId val="{00000005-E182-4902-B0D8-53AA964FF01E}"/>
            </c:ext>
          </c:extLst>
        </c:ser>
        <c:ser>
          <c:idx val="6"/>
          <c:order val="6"/>
          <c:tx>
            <c:strRef>
              <c:f>'full donor sample table 1'!$C$8</c:f>
              <c:strCache>
                <c:ptCount val="1"/>
                <c:pt idx="0">
                  <c:v>India</c:v>
                </c:pt>
              </c:strCache>
            </c:strRef>
          </c:tx>
          <c:spPr>
            <a:ln w="28575" cap="rnd">
              <a:solidFill>
                <a:schemeClr val="accent1">
                  <a:lumMod val="6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1'!$D$8:$V$8</c:f>
              <c:numCache>
                <c:formatCode>General</c:formatCode>
                <c:ptCount val="19"/>
                <c:pt idx="0">
                  <c:v>48.784645080566406</c:v>
                </c:pt>
                <c:pt idx="1">
                  <c:v>49.111129760742188</c:v>
                </c:pt>
                <c:pt idx="2">
                  <c:v>49.232208251953125</c:v>
                </c:pt>
                <c:pt idx="3">
                  <c:v>50.232284545898438</c:v>
                </c:pt>
                <c:pt idx="4">
                  <c:v>51.464633941650391</c:v>
                </c:pt>
                <c:pt idx="5">
                  <c:v>51.328319549560547</c:v>
                </c:pt>
                <c:pt idx="6">
                  <c:v>52.119670867919922</c:v>
                </c:pt>
                <c:pt idx="7">
                  <c:v>51.988441467285156</c:v>
                </c:pt>
                <c:pt idx="8">
                  <c:v>51.606437683105469</c:v>
                </c:pt>
                <c:pt idx="9">
                  <c:v>51.348751068115234</c:v>
                </c:pt>
                <c:pt idx="10">
                  <c:v>52.097942352294922</c:v>
                </c:pt>
                <c:pt idx="11">
                  <c:v>52.412761688232422</c:v>
                </c:pt>
                <c:pt idx="12">
                  <c:v>51.318775177001953</c:v>
                </c:pt>
                <c:pt idx="13">
                  <c:v>50.3887939453125</c:v>
                </c:pt>
                <c:pt idx="14">
                  <c:v>50.306041717529297</c:v>
                </c:pt>
                <c:pt idx="15">
                  <c:v>50.05328369140625</c:v>
                </c:pt>
                <c:pt idx="16">
                  <c:v>50.472743988037109</c:v>
                </c:pt>
                <c:pt idx="17">
                  <c:v>50.536586761474609</c:v>
                </c:pt>
                <c:pt idx="18">
                  <c:v>50.296073913574219</c:v>
                </c:pt>
              </c:numCache>
            </c:numRef>
          </c:val>
          <c:smooth val="0"/>
          <c:extLst>
            <c:ext xmlns:c16="http://schemas.microsoft.com/office/drawing/2014/chart" uri="{C3380CC4-5D6E-409C-BE32-E72D297353CC}">
              <c16:uniqueId val="{00000006-E182-4902-B0D8-53AA964FF01E}"/>
            </c:ext>
          </c:extLst>
        </c:ser>
        <c:ser>
          <c:idx val="7"/>
          <c:order val="7"/>
          <c:tx>
            <c:strRef>
              <c:f>'full donor sample table 1'!$C$9</c:f>
              <c:strCache>
                <c:ptCount val="1"/>
                <c:pt idx="0">
                  <c:v>Iran</c:v>
                </c:pt>
              </c:strCache>
            </c:strRef>
          </c:tx>
          <c:spPr>
            <a:ln w="28575" cap="rnd">
              <a:solidFill>
                <a:schemeClr val="tx1"/>
              </a:solidFill>
              <a:prstDash val="dash"/>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1'!$D$9:$V$9</c:f>
              <c:numCache>
                <c:formatCode>General</c:formatCode>
                <c:ptCount val="19"/>
                <c:pt idx="0">
                  <c:v>49.949794769287109</c:v>
                </c:pt>
                <c:pt idx="1">
                  <c:v>48.916114807128906</c:v>
                </c:pt>
                <c:pt idx="2">
                  <c:v>48.023983001708984</c:v>
                </c:pt>
                <c:pt idx="3">
                  <c:v>46.844135284423828</c:v>
                </c:pt>
                <c:pt idx="4">
                  <c:v>48.246864318847656</c:v>
                </c:pt>
                <c:pt idx="5">
                  <c:v>48.499553680419922</c:v>
                </c:pt>
                <c:pt idx="6">
                  <c:v>47.896827697753906</c:v>
                </c:pt>
                <c:pt idx="7">
                  <c:v>48.179676055908203</c:v>
                </c:pt>
                <c:pt idx="8">
                  <c:v>48.270854949951172</c:v>
                </c:pt>
                <c:pt idx="9">
                  <c:v>46.841312408447266</c:v>
                </c:pt>
                <c:pt idx="10">
                  <c:v>42.382915496826172</c:v>
                </c:pt>
                <c:pt idx="11">
                  <c:v>39.651149749755859</c:v>
                </c:pt>
                <c:pt idx="12">
                  <c:v>38.79119873046875</c:v>
                </c:pt>
                <c:pt idx="13">
                  <c:v>38.389591217041016</c:v>
                </c:pt>
                <c:pt idx="14">
                  <c:v>38.127193450927734</c:v>
                </c:pt>
                <c:pt idx="15">
                  <c:v>37.278404235839844</c:v>
                </c:pt>
                <c:pt idx="16">
                  <c:v>37.464023590087891</c:v>
                </c:pt>
                <c:pt idx="17">
                  <c:v>38.782207489013672</c:v>
                </c:pt>
                <c:pt idx="18">
                  <c:v>37.473117828369141</c:v>
                </c:pt>
              </c:numCache>
            </c:numRef>
          </c:val>
          <c:smooth val="0"/>
          <c:extLst>
            <c:ext xmlns:c16="http://schemas.microsoft.com/office/drawing/2014/chart" uri="{C3380CC4-5D6E-409C-BE32-E72D297353CC}">
              <c16:uniqueId val="{00000007-E182-4902-B0D8-53AA964FF01E}"/>
            </c:ext>
          </c:extLst>
        </c:ser>
        <c:ser>
          <c:idx val="8"/>
          <c:order val="8"/>
          <c:tx>
            <c:strRef>
              <c:f>'full donor sample table 1'!$C$10</c:f>
              <c:strCache>
                <c:ptCount val="1"/>
                <c:pt idx="0">
                  <c:v>Kenya</c:v>
                </c:pt>
              </c:strCache>
            </c:strRef>
          </c:tx>
          <c:spPr>
            <a:ln w="28575" cap="rnd">
              <a:solidFill>
                <a:schemeClr val="accent3">
                  <a:lumMod val="6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1'!$D$10:$V$10</c:f>
              <c:numCache>
                <c:formatCode>General</c:formatCode>
                <c:ptCount val="19"/>
                <c:pt idx="0">
                  <c:v>52.266136169433594</c:v>
                </c:pt>
                <c:pt idx="1">
                  <c:v>52.053085327148438</c:v>
                </c:pt>
                <c:pt idx="2">
                  <c:v>50.576881408691406</c:v>
                </c:pt>
                <c:pt idx="3">
                  <c:v>51.136268615722656</c:v>
                </c:pt>
                <c:pt idx="4">
                  <c:v>51.971958160400391</c:v>
                </c:pt>
                <c:pt idx="5">
                  <c:v>51.498302459716797</c:v>
                </c:pt>
                <c:pt idx="6">
                  <c:v>51.536659240722656</c:v>
                </c:pt>
                <c:pt idx="7">
                  <c:v>50.862007141113281</c:v>
                </c:pt>
                <c:pt idx="8">
                  <c:v>50.724124908447266</c:v>
                </c:pt>
                <c:pt idx="9">
                  <c:v>51.699810028076172</c:v>
                </c:pt>
                <c:pt idx="10">
                  <c:v>50.475643157958984</c:v>
                </c:pt>
                <c:pt idx="11">
                  <c:v>50.988826751708984</c:v>
                </c:pt>
                <c:pt idx="12">
                  <c:v>50.826175689697266</c:v>
                </c:pt>
                <c:pt idx="13">
                  <c:v>50.278484344482422</c:v>
                </c:pt>
                <c:pt idx="14">
                  <c:v>51.904693603515625</c:v>
                </c:pt>
                <c:pt idx="15">
                  <c:v>52.038627624511719</c:v>
                </c:pt>
                <c:pt idx="16">
                  <c:v>51.77984619140625</c:v>
                </c:pt>
                <c:pt idx="17">
                  <c:v>51.225528717041016</c:v>
                </c:pt>
                <c:pt idx="18">
                  <c:v>50.670928955078125</c:v>
                </c:pt>
              </c:numCache>
            </c:numRef>
          </c:val>
          <c:smooth val="0"/>
          <c:extLst>
            <c:ext xmlns:c16="http://schemas.microsoft.com/office/drawing/2014/chart" uri="{C3380CC4-5D6E-409C-BE32-E72D297353CC}">
              <c16:uniqueId val="{00000008-E182-4902-B0D8-53AA964FF01E}"/>
            </c:ext>
          </c:extLst>
        </c:ser>
        <c:ser>
          <c:idx val="9"/>
          <c:order val="9"/>
          <c:tx>
            <c:strRef>
              <c:f>'full donor sample table 1'!$C$11</c:f>
              <c:strCache>
                <c:ptCount val="1"/>
                <c:pt idx="0">
                  <c:v>Malaysia</c:v>
                </c:pt>
              </c:strCache>
            </c:strRef>
          </c:tx>
          <c:spPr>
            <a:ln w="28575" cap="rnd">
              <a:solidFill>
                <a:schemeClr val="accent4">
                  <a:lumMod val="6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1'!$D$11:$V$11</c:f>
              <c:numCache>
                <c:formatCode>General</c:formatCode>
                <c:ptCount val="19"/>
                <c:pt idx="0">
                  <c:v>46.462120056152344</c:v>
                </c:pt>
                <c:pt idx="1">
                  <c:v>46.730243682861328</c:v>
                </c:pt>
                <c:pt idx="2">
                  <c:v>45.782707214355469</c:v>
                </c:pt>
                <c:pt idx="3">
                  <c:v>44.761940002441406</c:v>
                </c:pt>
                <c:pt idx="4">
                  <c:v>43.646350860595703</c:v>
                </c:pt>
                <c:pt idx="5">
                  <c:v>43.659194946289063</c:v>
                </c:pt>
                <c:pt idx="6">
                  <c:v>43.084766387939453</c:v>
                </c:pt>
                <c:pt idx="7">
                  <c:v>43.434043884277344</c:v>
                </c:pt>
                <c:pt idx="8">
                  <c:v>42.879528045654297</c:v>
                </c:pt>
                <c:pt idx="9">
                  <c:v>41.482749938964844</c:v>
                </c:pt>
                <c:pt idx="10">
                  <c:v>40.854850769042969</c:v>
                </c:pt>
                <c:pt idx="11">
                  <c:v>40.584068298339844</c:v>
                </c:pt>
                <c:pt idx="12">
                  <c:v>41.706405639648438</c:v>
                </c:pt>
                <c:pt idx="13">
                  <c:v>42.733551025390625</c:v>
                </c:pt>
                <c:pt idx="14">
                  <c:v>42.5732421875</c:v>
                </c:pt>
                <c:pt idx="15">
                  <c:v>43.829120635986328</c:v>
                </c:pt>
                <c:pt idx="16">
                  <c:v>44.899555206298828</c:v>
                </c:pt>
                <c:pt idx="17">
                  <c:v>44.551578521728516</c:v>
                </c:pt>
                <c:pt idx="18">
                  <c:v>44.287601470947266</c:v>
                </c:pt>
              </c:numCache>
            </c:numRef>
          </c:val>
          <c:smooth val="0"/>
          <c:extLst>
            <c:ext xmlns:c16="http://schemas.microsoft.com/office/drawing/2014/chart" uri="{C3380CC4-5D6E-409C-BE32-E72D297353CC}">
              <c16:uniqueId val="{00000009-E182-4902-B0D8-53AA964FF01E}"/>
            </c:ext>
          </c:extLst>
        </c:ser>
        <c:ser>
          <c:idx val="10"/>
          <c:order val="10"/>
          <c:tx>
            <c:strRef>
              <c:f>'full donor sample table 1'!$C$12</c:f>
              <c:strCache>
                <c:ptCount val="1"/>
                <c:pt idx="0">
                  <c:v>Malta</c:v>
                </c:pt>
              </c:strCache>
            </c:strRef>
          </c:tx>
          <c:spPr>
            <a:ln w="28575" cap="rnd">
              <a:solidFill>
                <a:schemeClr val="accent5">
                  <a:lumMod val="6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1'!$D$12:$V$12</c:f>
              <c:numCache>
                <c:formatCode>General</c:formatCode>
                <c:ptCount val="19"/>
                <c:pt idx="0">
                  <c:v>37.337955474853516</c:v>
                </c:pt>
                <c:pt idx="1">
                  <c:v>38.202426910400391</c:v>
                </c:pt>
                <c:pt idx="2">
                  <c:v>39.454421997070313</c:v>
                </c:pt>
                <c:pt idx="3">
                  <c:v>38.455238342285156</c:v>
                </c:pt>
                <c:pt idx="4">
                  <c:v>37.909469604492188</c:v>
                </c:pt>
                <c:pt idx="5">
                  <c:v>35.442573547363281</c:v>
                </c:pt>
                <c:pt idx="6">
                  <c:v>35.275611877441406</c:v>
                </c:pt>
                <c:pt idx="7">
                  <c:v>33.511943817138672</c:v>
                </c:pt>
                <c:pt idx="8">
                  <c:v>33.133316040039063</c:v>
                </c:pt>
                <c:pt idx="9">
                  <c:v>33.202827453613281</c:v>
                </c:pt>
                <c:pt idx="10">
                  <c:v>32.603950500488281</c:v>
                </c:pt>
                <c:pt idx="11">
                  <c:v>32.341476440429688</c:v>
                </c:pt>
                <c:pt idx="12">
                  <c:v>31.028547286987305</c:v>
                </c:pt>
                <c:pt idx="13">
                  <c:v>32.183277130126953</c:v>
                </c:pt>
                <c:pt idx="14">
                  <c:v>32.721672058105469</c:v>
                </c:pt>
                <c:pt idx="15">
                  <c:v>33.313861846923828</c:v>
                </c:pt>
                <c:pt idx="16">
                  <c:v>33.094039916992188</c:v>
                </c:pt>
                <c:pt idx="17">
                  <c:v>32.624172210693359</c:v>
                </c:pt>
                <c:pt idx="18">
                  <c:v>33.117221832275391</c:v>
                </c:pt>
              </c:numCache>
            </c:numRef>
          </c:val>
          <c:smooth val="0"/>
          <c:extLst>
            <c:ext xmlns:c16="http://schemas.microsoft.com/office/drawing/2014/chart" uri="{C3380CC4-5D6E-409C-BE32-E72D297353CC}">
              <c16:uniqueId val="{0000000A-E182-4902-B0D8-53AA964FF01E}"/>
            </c:ext>
          </c:extLst>
        </c:ser>
        <c:ser>
          <c:idx val="11"/>
          <c:order val="11"/>
          <c:tx>
            <c:strRef>
              <c:f>'full donor sample table 1'!$C$13</c:f>
              <c:strCache>
                <c:ptCount val="1"/>
                <c:pt idx="0">
                  <c:v>Mexico</c:v>
                </c:pt>
              </c:strCache>
            </c:strRef>
          </c:tx>
          <c:spPr>
            <a:ln w="28575" cap="rnd">
              <a:solidFill>
                <a:schemeClr val="accent6">
                  <a:lumMod val="6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1'!$D$13:$V$13</c:f>
              <c:numCache>
                <c:formatCode>General</c:formatCode>
                <c:ptCount val="19"/>
                <c:pt idx="0">
                  <c:v>42.291961669921875</c:v>
                </c:pt>
                <c:pt idx="1">
                  <c:v>42.451259613037109</c:v>
                </c:pt>
                <c:pt idx="2">
                  <c:v>42.441299438476563</c:v>
                </c:pt>
                <c:pt idx="3">
                  <c:v>43.058559417724609</c:v>
                </c:pt>
                <c:pt idx="4">
                  <c:v>42.212318420410156</c:v>
                </c:pt>
                <c:pt idx="5">
                  <c:v>41.953460693359375</c:v>
                </c:pt>
                <c:pt idx="6">
                  <c:v>42.082889556884766</c:v>
                </c:pt>
                <c:pt idx="7">
                  <c:v>41.704570770263672</c:v>
                </c:pt>
                <c:pt idx="8">
                  <c:v>42.043071746826172</c:v>
                </c:pt>
                <c:pt idx="9">
                  <c:v>42.062980651855469</c:v>
                </c:pt>
                <c:pt idx="10">
                  <c:v>42.222270965576172</c:v>
                </c:pt>
                <c:pt idx="11">
                  <c:v>42.212318420410156</c:v>
                </c:pt>
                <c:pt idx="12">
                  <c:v>41.794170379638672</c:v>
                </c:pt>
                <c:pt idx="13">
                  <c:v>42.421390533447266</c:v>
                </c:pt>
                <c:pt idx="14">
                  <c:v>43.533580780029297</c:v>
                </c:pt>
                <c:pt idx="15">
                  <c:v>43.460678100585938</c:v>
                </c:pt>
                <c:pt idx="16">
                  <c:v>43.794620513916016</c:v>
                </c:pt>
                <c:pt idx="17">
                  <c:v>44.495784759521484</c:v>
                </c:pt>
                <c:pt idx="18">
                  <c:v>45.174781799316406</c:v>
                </c:pt>
              </c:numCache>
            </c:numRef>
          </c:val>
          <c:smooth val="0"/>
          <c:extLst>
            <c:ext xmlns:c16="http://schemas.microsoft.com/office/drawing/2014/chart" uri="{C3380CC4-5D6E-409C-BE32-E72D297353CC}">
              <c16:uniqueId val="{0000000B-E182-4902-B0D8-53AA964FF01E}"/>
            </c:ext>
          </c:extLst>
        </c:ser>
        <c:ser>
          <c:idx val="12"/>
          <c:order val="12"/>
          <c:tx>
            <c:strRef>
              <c:f>'full donor sample table 1'!$C$14</c:f>
              <c:strCache>
                <c:ptCount val="1"/>
                <c:pt idx="0">
                  <c:v>Netherlands</c:v>
                </c:pt>
              </c:strCache>
            </c:strRef>
          </c:tx>
          <c:spPr>
            <a:ln w="28575" cap="rnd">
              <a:solidFill>
                <a:schemeClr val="accent1">
                  <a:lumMod val="80000"/>
                  <a:lumOff val="2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1'!$D$14:$V$14</c:f>
              <c:numCache>
                <c:formatCode>General</c:formatCode>
                <c:ptCount val="19"/>
                <c:pt idx="0">
                  <c:v>33.737861633300781</c:v>
                </c:pt>
                <c:pt idx="1">
                  <c:v>33.686126708984375</c:v>
                </c:pt>
                <c:pt idx="2">
                  <c:v>33.929176330566406</c:v>
                </c:pt>
                <c:pt idx="3">
                  <c:v>33.726352691650391</c:v>
                </c:pt>
                <c:pt idx="4">
                  <c:v>33.475582122802734</c:v>
                </c:pt>
                <c:pt idx="5">
                  <c:v>33.456417083740234</c:v>
                </c:pt>
                <c:pt idx="6">
                  <c:v>33.342277526855469</c:v>
                </c:pt>
                <c:pt idx="7">
                  <c:v>32.350170135498047</c:v>
                </c:pt>
                <c:pt idx="8">
                  <c:v>32.163043975830078</c:v>
                </c:pt>
                <c:pt idx="9">
                  <c:v>32.160343170166016</c:v>
                </c:pt>
                <c:pt idx="10">
                  <c:v>32.038246154785156</c:v>
                </c:pt>
                <c:pt idx="11">
                  <c:v>33.374122619628906</c:v>
                </c:pt>
                <c:pt idx="12">
                  <c:v>32.911468505859375</c:v>
                </c:pt>
                <c:pt idx="13">
                  <c:v>34.865810394287109</c:v>
                </c:pt>
                <c:pt idx="14">
                  <c:v>34.685249328613281</c:v>
                </c:pt>
                <c:pt idx="15">
                  <c:v>35.151863098144531</c:v>
                </c:pt>
                <c:pt idx="16">
                  <c:v>34.996322631835938</c:v>
                </c:pt>
                <c:pt idx="17">
                  <c:v>34.370872497558594</c:v>
                </c:pt>
                <c:pt idx="18">
                  <c:v>34.884078979492188</c:v>
                </c:pt>
              </c:numCache>
            </c:numRef>
          </c:val>
          <c:smooth val="0"/>
          <c:extLst>
            <c:ext xmlns:c16="http://schemas.microsoft.com/office/drawing/2014/chart" uri="{C3380CC4-5D6E-409C-BE32-E72D297353CC}">
              <c16:uniqueId val="{0000000C-E182-4902-B0D8-53AA964FF01E}"/>
            </c:ext>
          </c:extLst>
        </c:ser>
        <c:ser>
          <c:idx val="13"/>
          <c:order val="13"/>
          <c:tx>
            <c:strRef>
              <c:f>'full donor sample table 1'!$C$15</c:f>
              <c:strCache>
                <c:ptCount val="1"/>
                <c:pt idx="0">
                  <c:v>Norway</c:v>
                </c:pt>
              </c:strCache>
            </c:strRef>
          </c:tx>
          <c:spPr>
            <a:ln w="28575" cap="rnd">
              <a:solidFill>
                <a:schemeClr val="accent2">
                  <a:lumMod val="80000"/>
                  <a:lumOff val="2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1'!$D$15:$V$15</c:f>
              <c:numCache>
                <c:formatCode>General</c:formatCode>
                <c:ptCount val="19"/>
                <c:pt idx="0">
                  <c:v>31.796926498413086</c:v>
                </c:pt>
                <c:pt idx="1">
                  <c:v>31.883718490600586</c:v>
                </c:pt>
                <c:pt idx="2">
                  <c:v>31.770238876342773</c:v>
                </c:pt>
                <c:pt idx="3">
                  <c:v>31.57081413269043</c:v>
                </c:pt>
                <c:pt idx="4">
                  <c:v>31.77099609375</c:v>
                </c:pt>
                <c:pt idx="5">
                  <c:v>32.600139617919922</c:v>
                </c:pt>
                <c:pt idx="6">
                  <c:v>32.114723205566406</c:v>
                </c:pt>
                <c:pt idx="7">
                  <c:v>31.729824066162109</c:v>
                </c:pt>
                <c:pt idx="8">
                  <c:v>32.1641845703125</c:v>
                </c:pt>
                <c:pt idx="9">
                  <c:v>32.371955871582031</c:v>
                </c:pt>
                <c:pt idx="10">
                  <c:v>32.330677032470703</c:v>
                </c:pt>
                <c:pt idx="11">
                  <c:v>32.567138671875</c:v>
                </c:pt>
                <c:pt idx="12">
                  <c:v>32.924858093261719</c:v>
                </c:pt>
                <c:pt idx="13">
                  <c:v>32.918231964111328</c:v>
                </c:pt>
                <c:pt idx="14">
                  <c:v>33.210418701171875</c:v>
                </c:pt>
                <c:pt idx="15">
                  <c:v>33.455459594726563</c:v>
                </c:pt>
                <c:pt idx="16">
                  <c:v>33.109951019287109</c:v>
                </c:pt>
                <c:pt idx="17">
                  <c:v>33.222156524658203</c:v>
                </c:pt>
                <c:pt idx="18">
                  <c:v>33.584487915039063</c:v>
                </c:pt>
              </c:numCache>
            </c:numRef>
          </c:val>
          <c:smooth val="0"/>
          <c:extLst>
            <c:ext xmlns:c16="http://schemas.microsoft.com/office/drawing/2014/chart" uri="{C3380CC4-5D6E-409C-BE32-E72D297353CC}">
              <c16:uniqueId val="{0000000D-E182-4902-B0D8-53AA964FF01E}"/>
            </c:ext>
          </c:extLst>
        </c:ser>
        <c:ser>
          <c:idx val="14"/>
          <c:order val="14"/>
          <c:tx>
            <c:strRef>
              <c:f>'full donor sample table 1'!$C$16</c:f>
              <c:strCache>
                <c:ptCount val="1"/>
                <c:pt idx="0">
                  <c:v>Pakistan</c:v>
                </c:pt>
              </c:strCache>
            </c:strRef>
          </c:tx>
          <c:spPr>
            <a:ln w="28575" cap="rnd">
              <a:solidFill>
                <a:schemeClr val="accent3">
                  <a:lumMod val="80000"/>
                  <a:lumOff val="2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1'!$D$16:$V$16</c:f>
              <c:numCache>
                <c:formatCode>General</c:formatCode>
                <c:ptCount val="19"/>
                <c:pt idx="0">
                  <c:v>45.212795257568359</c:v>
                </c:pt>
                <c:pt idx="1">
                  <c:v>48.837642669677734</c:v>
                </c:pt>
                <c:pt idx="2">
                  <c:v>48.954326629638672</c:v>
                </c:pt>
                <c:pt idx="3">
                  <c:v>48.389194488525391</c:v>
                </c:pt>
                <c:pt idx="4">
                  <c:v>47.451316833496094</c:v>
                </c:pt>
                <c:pt idx="5">
                  <c:v>46.775455474853516</c:v>
                </c:pt>
                <c:pt idx="6">
                  <c:v>46.359104156494141</c:v>
                </c:pt>
                <c:pt idx="7">
                  <c:v>47.884029388427734</c:v>
                </c:pt>
                <c:pt idx="8">
                  <c:v>48.59912109375</c:v>
                </c:pt>
                <c:pt idx="9">
                  <c:v>49.604972839355469</c:v>
                </c:pt>
                <c:pt idx="10">
                  <c:v>48.265125274658203</c:v>
                </c:pt>
                <c:pt idx="11">
                  <c:v>47.814975738525391</c:v>
                </c:pt>
                <c:pt idx="12">
                  <c:v>49.118328094482422</c:v>
                </c:pt>
                <c:pt idx="13">
                  <c:v>49.222511291503906</c:v>
                </c:pt>
                <c:pt idx="14">
                  <c:v>49.879570007324219</c:v>
                </c:pt>
                <c:pt idx="15">
                  <c:v>49.008430480957031</c:v>
                </c:pt>
                <c:pt idx="16">
                  <c:v>48.687519073486328</c:v>
                </c:pt>
                <c:pt idx="17">
                  <c:v>49.283164978027344</c:v>
                </c:pt>
                <c:pt idx="18">
                  <c:v>48.800434112548828</c:v>
                </c:pt>
              </c:numCache>
            </c:numRef>
          </c:val>
          <c:smooth val="0"/>
          <c:extLst>
            <c:ext xmlns:c16="http://schemas.microsoft.com/office/drawing/2014/chart" uri="{C3380CC4-5D6E-409C-BE32-E72D297353CC}">
              <c16:uniqueId val="{0000000E-E182-4902-B0D8-53AA964FF01E}"/>
            </c:ext>
          </c:extLst>
        </c:ser>
        <c:ser>
          <c:idx val="15"/>
          <c:order val="15"/>
          <c:tx>
            <c:strRef>
              <c:f>'full donor sample table 1'!$C$17</c:f>
              <c:strCache>
                <c:ptCount val="1"/>
                <c:pt idx="0">
                  <c:v>Republic of Korea</c:v>
                </c:pt>
              </c:strCache>
            </c:strRef>
          </c:tx>
          <c:spPr>
            <a:ln w="28575" cap="rnd">
              <a:solidFill>
                <a:schemeClr val="accent4">
                  <a:lumMod val="80000"/>
                  <a:lumOff val="2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1'!$D$17:$V$17</c:f>
              <c:numCache>
                <c:formatCode>General</c:formatCode>
                <c:ptCount val="19"/>
                <c:pt idx="0">
                  <c:v>44.669040679931641</c:v>
                </c:pt>
                <c:pt idx="1">
                  <c:v>45.353633880615234</c:v>
                </c:pt>
                <c:pt idx="2">
                  <c:v>45.486244201660156</c:v>
                </c:pt>
                <c:pt idx="3">
                  <c:v>43.24810791015625</c:v>
                </c:pt>
                <c:pt idx="4">
                  <c:v>43.472927093505859</c:v>
                </c:pt>
                <c:pt idx="5">
                  <c:v>43.628070831298828</c:v>
                </c:pt>
                <c:pt idx="6">
                  <c:v>42.517940521240234</c:v>
                </c:pt>
                <c:pt idx="7">
                  <c:v>42.189487457275391</c:v>
                </c:pt>
                <c:pt idx="8">
                  <c:v>41.383560180664063</c:v>
                </c:pt>
                <c:pt idx="9">
                  <c:v>40.186210632324219</c:v>
                </c:pt>
                <c:pt idx="10">
                  <c:v>40.940834045410156</c:v>
                </c:pt>
                <c:pt idx="11">
                  <c:v>41.566654205322266</c:v>
                </c:pt>
                <c:pt idx="12">
                  <c:v>41.003536224365234</c:v>
                </c:pt>
                <c:pt idx="13">
                  <c:v>41.465167999267578</c:v>
                </c:pt>
                <c:pt idx="14">
                  <c:v>40.214561462402344</c:v>
                </c:pt>
                <c:pt idx="15">
                  <c:v>39.996871948242188</c:v>
                </c:pt>
                <c:pt idx="16">
                  <c:v>39.355747222900391</c:v>
                </c:pt>
                <c:pt idx="17">
                  <c:v>38.323108673095703</c:v>
                </c:pt>
                <c:pt idx="18">
                  <c:v>38.142807006835938</c:v>
                </c:pt>
              </c:numCache>
            </c:numRef>
          </c:val>
          <c:smooth val="0"/>
          <c:extLst>
            <c:ext xmlns:c16="http://schemas.microsoft.com/office/drawing/2014/chart" uri="{C3380CC4-5D6E-409C-BE32-E72D297353CC}">
              <c16:uniqueId val="{0000000F-E182-4902-B0D8-53AA964FF01E}"/>
            </c:ext>
          </c:extLst>
        </c:ser>
        <c:ser>
          <c:idx val="16"/>
          <c:order val="16"/>
          <c:tx>
            <c:strRef>
              <c:f>'full donor sample table 1'!$C$18</c:f>
              <c:strCache>
                <c:ptCount val="1"/>
                <c:pt idx="0">
                  <c:v>Singapore</c:v>
                </c:pt>
              </c:strCache>
            </c:strRef>
          </c:tx>
          <c:spPr>
            <a:ln w="28575" cap="rnd">
              <a:solidFill>
                <a:schemeClr val="accent5">
                  <a:lumMod val="80000"/>
                  <a:lumOff val="2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1'!$D$18:$V$18</c:f>
              <c:numCache>
                <c:formatCode>General</c:formatCode>
                <c:ptCount val="19"/>
                <c:pt idx="0">
                  <c:v>45.946796417236328</c:v>
                </c:pt>
                <c:pt idx="1">
                  <c:v>44.831233978271484</c:v>
                </c:pt>
                <c:pt idx="2">
                  <c:v>42.892726898193359</c:v>
                </c:pt>
                <c:pt idx="3">
                  <c:v>40.683921813964844</c:v>
                </c:pt>
                <c:pt idx="4">
                  <c:v>39.703872680664063</c:v>
                </c:pt>
                <c:pt idx="5">
                  <c:v>39.340240478515625</c:v>
                </c:pt>
                <c:pt idx="6">
                  <c:v>39.247108459472656</c:v>
                </c:pt>
                <c:pt idx="7">
                  <c:v>38.789993286132813</c:v>
                </c:pt>
                <c:pt idx="8">
                  <c:v>37.606182098388672</c:v>
                </c:pt>
                <c:pt idx="9">
                  <c:v>36.303848266601563</c:v>
                </c:pt>
                <c:pt idx="10">
                  <c:v>35.453723907470703</c:v>
                </c:pt>
                <c:pt idx="11">
                  <c:v>35.484909057617188</c:v>
                </c:pt>
                <c:pt idx="12">
                  <c:v>35.875820159912109</c:v>
                </c:pt>
                <c:pt idx="13">
                  <c:v>36.145900726318359</c:v>
                </c:pt>
                <c:pt idx="14">
                  <c:v>35.785823822021484</c:v>
                </c:pt>
                <c:pt idx="15">
                  <c:v>36.958057403564453</c:v>
                </c:pt>
                <c:pt idx="16">
                  <c:v>37.611865997314453</c:v>
                </c:pt>
                <c:pt idx="17">
                  <c:v>36.58294677734375</c:v>
                </c:pt>
                <c:pt idx="18">
                  <c:v>34.772502899169922</c:v>
                </c:pt>
              </c:numCache>
            </c:numRef>
          </c:val>
          <c:smooth val="0"/>
          <c:extLst>
            <c:ext xmlns:c16="http://schemas.microsoft.com/office/drawing/2014/chart" uri="{C3380CC4-5D6E-409C-BE32-E72D297353CC}">
              <c16:uniqueId val="{00000010-E182-4902-B0D8-53AA964FF01E}"/>
            </c:ext>
          </c:extLst>
        </c:ser>
        <c:ser>
          <c:idx val="17"/>
          <c:order val="17"/>
          <c:tx>
            <c:strRef>
              <c:f>'full donor sample table 1'!$C$19</c:f>
              <c:strCache>
                <c:ptCount val="1"/>
                <c:pt idx="0">
                  <c:v>Turkey</c:v>
                </c:pt>
              </c:strCache>
            </c:strRef>
          </c:tx>
          <c:spPr>
            <a:ln w="28575" cap="rnd">
              <a:solidFill>
                <a:schemeClr val="accent6">
                  <a:lumMod val="80000"/>
                  <a:lumOff val="2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1'!$D$19:$V$19</c:f>
              <c:numCache>
                <c:formatCode>General</c:formatCode>
                <c:ptCount val="19"/>
                <c:pt idx="0">
                  <c:v>43.887062072753906</c:v>
                </c:pt>
                <c:pt idx="1">
                  <c:v>44.776561737060547</c:v>
                </c:pt>
                <c:pt idx="2">
                  <c:v>45.554031372070313</c:v>
                </c:pt>
                <c:pt idx="3">
                  <c:v>43.771068572998047</c:v>
                </c:pt>
                <c:pt idx="4">
                  <c:v>43.3936767578125</c:v>
                </c:pt>
                <c:pt idx="5">
                  <c:v>44.308521270751953</c:v>
                </c:pt>
                <c:pt idx="6">
                  <c:v>43.406486511230469</c:v>
                </c:pt>
                <c:pt idx="7">
                  <c:v>44.109661102294922</c:v>
                </c:pt>
                <c:pt idx="8">
                  <c:v>45.144676208496094</c:v>
                </c:pt>
                <c:pt idx="9">
                  <c:v>47.916828155517578</c:v>
                </c:pt>
                <c:pt idx="10">
                  <c:v>46.51220703125</c:v>
                </c:pt>
                <c:pt idx="11">
                  <c:v>45.929676055908203</c:v>
                </c:pt>
                <c:pt idx="12">
                  <c:v>45.203483581542969</c:v>
                </c:pt>
                <c:pt idx="13">
                  <c:v>44.564071655273438</c:v>
                </c:pt>
                <c:pt idx="14">
                  <c:v>44.750362396240234</c:v>
                </c:pt>
                <c:pt idx="15">
                  <c:v>44.523075103759766</c:v>
                </c:pt>
                <c:pt idx="16">
                  <c:v>44.370395660400391</c:v>
                </c:pt>
                <c:pt idx="17">
                  <c:v>44.969757080078125</c:v>
                </c:pt>
                <c:pt idx="18">
                  <c:v>45.159103393554688</c:v>
                </c:pt>
              </c:numCache>
            </c:numRef>
          </c:val>
          <c:smooth val="0"/>
          <c:extLst>
            <c:ext xmlns:c16="http://schemas.microsoft.com/office/drawing/2014/chart" uri="{C3380CC4-5D6E-409C-BE32-E72D297353CC}">
              <c16:uniqueId val="{00000011-E182-4902-B0D8-53AA964FF01E}"/>
            </c:ext>
          </c:extLst>
        </c:ser>
        <c:ser>
          <c:idx val="18"/>
          <c:order val="18"/>
          <c:tx>
            <c:strRef>
              <c:f>'full donor sample table 1'!$C$20</c:f>
              <c:strCache>
                <c:ptCount val="1"/>
                <c:pt idx="0">
                  <c:v>Venezuela</c:v>
                </c:pt>
              </c:strCache>
            </c:strRef>
          </c:tx>
          <c:spPr>
            <a:ln w="28575" cap="rnd">
              <a:solidFill>
                <a:schemeClr val="accent1">
                  <a:lumMod val="80000"/>
                </a:schemeClr>
              </a:solidFill>
              <a:round/>
            </a:ln>
            <a:effectLst/>
          </c:spPr>
          <c:marker>
            <c:symbol val="none"/>
          </c:marker>
          <c:cat>
            <c:numRef>
              <c:f>'full donor sample table 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'full donor sample table 1'!$D$20:$V$20</c:f>
              <c:numCache>
                <c:formatCode>General</c:formatCode>
                <c:ptCount val="19"/>
                <c:pt idx="0">
                  <c:v>43.272281646728516</c:v>
                </c:pt>
                <c:pt idx="1">
                  <c:v>43.762115478515625</c:v>
                </c:pt>
                <c:pt idx="2">
                  <c:v>42.863407135009766</c:v>
                </c:pt>
                <c:pt idx="3">
                  <c:v>42.368789672851563</c:v>
                </c:pt>
                <c:pt idx="4">
                  <c:v>40.878204345703125</c:v>
                </c:pt>
                <c:pt idx="5">
                  <c:v>41.160163879394531</c:v>
                </c:pt>
                <c:pt idx="6">
                  <c:v>40.378387451171875</c:v>
                </c:pt>
                <c:pt idx="7">
                  <c:v>40.486507415771484</c:v>
                </c:pt>
                <c:pt idx="8">
                  <c:v>39.929080963134766</c:v>
                </c:pt>
                <c:pt idx="9">
                  <c:v>39.149578094482422</c:v>
                </c:pt>
                <c:pt idx="10">
                  <c:v>39.278636932373047</c:v>
                </c:pt>
                <c:pt idx="11">
                  <c:v>39.532440185546875</c:v>
                </c:pt>
                <c:pt idx="12">
                  <c:v>41.475074768066406</c:v>
                </c:pt>
                <c:pt idx="13">
                  <c:v>42.333419799804688</c:v>
                </c:pt>
                <c:pt idx="14">
                  <c:v>41.935855865478516</c:v>
                </c:pt>
                <c:pt idx="15">
                  <c:v>41.3175048828125</c:v>
                </c:pt>
                <c:pt idx="16">
                  <c:v>42.021778106689453</c:v>
                </c:pt>
                <c:pt idx="17">
                  <c:v>42.677421569824219</c:v>
                </c:pt>
                <c:pt idx="18">
                  <c:v>42.288810729980469</c:v>
                </c:pt>
              </c:numCache>
            </c:numRef>
          </c:val>
          <c:smooth val="0"/>
          <c:extLst>
            <c:ext xmlns:c16="http://schemas.microsoft.com/office/drawing/2014/chart" uri="{C3380CC4-5D6E-409C-BE32-E72D297353CC}">
              <c16:uniqueId val="{00000012-E182-4902-B0D8-53AA964FF01E}"/>
            </c:ext>
          </c:extLst>
        </c:ser>
        <c:dLbls>
          <c:showLegendKey val="0"/>
          <c:showVal val="0"/>
          <c:showCatName val="0"/>
          <c:showSerName val="0"/>
          <c:showPercent val="0"/>
          <c:showBubbleSize val="0"/>
        </c:dLbls>
        <c:smooth val="0"/>
        <c:axId val="1098274800"/>
        <c:axId val="1098272176"/>
      </c:lineChart>
      <c:catAx>
        <c:axId val="109827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098272176"/>
        <c:crosses val="autoZero"/>
        <c:auto val="1"/>
        <c:lblAlgn val="ctr"/>
        <c:lblOffset val="100"/>
        <c:noMultiLvlLbl val="0"/>
      </c:catAx>
      <c:valAx>
        <c:axId val="109827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09827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de-DE" sz="1100">
                <a:solidFill>
                  <a:sysClr val="windowText" lastClr="000000"/>
                </a:solidFill>
              </a:rPr>
              <a:t>EHII-Gini index for Iran and countries with non-zero weights in the main SCM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lineChart>
        <c:grouping val="standard"/>
        <c:varyColors val="0"/>
        <c:ser>
          <c:idx val="0"/>
          <c:order val="0"/>
          <c:tx>
            <c:strRef>
              <c:f>Tabelle1!$C$2</c:f>
              <c:strCache>
                <c:ptCount val="1"/>
                <c:pt idx="0">
                  <c:v>Chile</c:v>
                </c:pt>
              </c:strCache>
            </c:strRef>
          </c:tx>
          <c:spPr>
            <a:ln w="28575" cap="rnd">
              <a:solidFill>
                <a:schemeClr val="accent1"/>
              </a:solidFill>
              <a:round/>
            </a:ln>
            <a:effectLst/>
          </c:spPr>
          <c:marker>
            <c:symbol val="none"/>
          </c:marker>
          <c:cat>
            <c:numRef>
              <c:f>Tabelle1!$D$1:$V$1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Tabelle1!$D$2:$V$2</c:f>
              <c:numCache>
                <c:formatCode>0.00</c:formatCode>
                <c:ptCount val="19"/>
                <c:pt idx="0">
                  <c:v>44.438259124755859</c:v>
                </c:pt>
                <c:pt idx="1">
                  <c:v>43.119968414306641</c:v>
                </c:pt>
                <c:pt idx="2">
                  <c:v>40.727321624755859</c:v>
                </c:pt>
                <c:pt idx="3">
                  <c:v>40.341148376464844</c:v>
                </c:pt>
                <c:pt idx="4">
                  <c:v>41.543209075927734</c:v>
                </c:pt>
                <c:pt idx="5">
                  <c:v>42.283901214599609</c:v>
                </c:pt>
                <c:pt idx="6">
                  <c:v>44.380638122558594</c:v>
                </c:pt>
                <c:pt idx="7">
                  <c:v>44.782508850097656</c:v>
                </c:pt>
                <c:pt idx="8">
                  <c:v>44.771198272705078</c:v>
                </c:pt>
                <c:pt idx="9">
                  <c:v>45.348960876464844</c:v>
                </c:pt>
                <c:pt idx="10">
                  <c:v>45.695579528808594</c:v>
                </c:pt>
                <c:pt idx="11">
                  <c:v>46.542488098144531</c:v>
                </c:pt>
                <c:pt idx="12">
                  <c:v>47.352260589599609</c:v>
                </c:pt>
                <c:pt idx="13">
                  <c:v>48.937351226806641</c:v>
                </c:pt>
                <c:pt idx="14">
                  <c:v>49.458080291748047</c:v>
                </c:pt>
                <c:pt idx="15">
                  <c:v>49.578960418701172</c:v>
                </c:pt>
                <c:pt idx="16">
                  <c:v>49.963291168212891</c:v>
                </c:pt>
                <c:pt idx="17">
                  <c:v>49.147560119628906</c:v>
                </c:pt>
                <c:pt idx="18">
                  <c:v>48.282791137695313</c:v>
                </c:pt>
              </c:numCache>
            </c:numRef>
          </c:val>
          <c:smooth val="0"/>
          <c:extLst>
            <c:ext xmlns:c16="http://schemas.microsoft.com/office/drawing/2014/chart" uri="{C3380CC4-5D6E-409C-BE32-E72D297353CC}">
              <c16:uniqueId val="{00000000-CA61-4FC7-B66F-5E4718E7BED3}"/>
            </c:ext>
          </c:extLst>
        </c:ser>
        <c:ser>
          <c:idx val="1"/>
          <c:order val="1"/>
          <c:tx>
            <c:strRef>
              <c:f>Tabelle1!$C$3</c:f>
              <c:strCache>
                <c:ptCount val="1"/>
                <c:pt idx="0">
                  <c:v>Iran</c:v>
                </c:pt>
              </c:strCache>
            </c:strRef>
          </c:tx>
          <c:spPr>
            <a:ln w="28575" cap="rnd">
              <a:solidFill>
                <a:schemeClr val="tx1"/>
              </a:solidFill>
              <a:prstDash val="dash"/>
              <a:round/>
            </a:ln>
            <a:effectLst/>
          </c:spPr>
          <c:marker>
            <c:symbol val="none"/>
          </c:marker>
          <c:cat>
            <c:numRef>
              <c:f>Tabelle1!$D$1:$V$1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Tabelle1!$D$3:$V$3</c:f>
              <c:numCache>
                <c:formatCode>0.00</c:formatCode>
                <c:ptCount val="19"/>
                <c:pt idx="0">
                  <c:v>49.949794769287109</c:v>
                </c:pt>
                <c:pt idx="1">
                  <c:v>48.916114807128906</c:v>
                </c:pt>
                <c:pt idx="2">
                  <c:v>48.023983001708984</c:v>
                </c:pt>
                <c:pt idx="3">
                  <c:v>46.844135284423828</c:v>
                </c:pt>
                <c:pt idx="4">
                  <c:v>48.246864318847656</c:v>
                </c:pt>
                <c:pt idx="5">
                  <c:v>48.499553680419922</c:v>
                </c:pt>
                <c:pt idx="6">
                  <c:v>47.896827697753906</c:v>
                </c:pt>
                <c:pt idx="7">
                  <c:v>48.179676055908203</c:v>
                </c:pt>
                <c:pt idx="8">
                  <c:v>48.270854949951172</c:v>
                </c:pt>
                <c:pt idx="9">
                  <c:v>46.841312408447266</c:v>
                </c:pt>
                <c:pt idx="10">
                  <c:v>42.382915496826172</c:v>
                </c:pt>
                <c:pt idx="11">
                  <c:v>39.651149749755859</c:v>
                </c:pt>
                <c:pt idx="12">
                  <c:v>38.79119873046875</c:v>
                </c:pt>
                <c:pt idx="13">
                  <c:v>38.389591217041016</c:v>
                </c:pt>
                <c:pt idx="14">
                  <c:v>38.127193450927734</c:v>
                </c:pt>
                <c:pt idx="15">
                  <c:v>37.278404235839844</c:v>
                </c:pt>
                <c:pt idx="16">
                  <c:v>37.464023590087891</c:v>
                </c:pt>
                <c:pt idx="17">
                  <c:v>38.782207489013672</c:v>
                </c:pt>
                <c:pt idx="18">
                  <c:v>37.473117828369141</c:v>
                </c:pt>
              </c:numCache>
            </c:numRef>
          </c:val>
          <c:smooth val="0"/>
          <c:extLst>
            <c:ext xmlns:c16="http://schemas.microsoft.com/office/drawing/2014/chart" uri="{C3380CC4-5D6E-409C-BE32-E72D297353CC}">
              <c16:uniqueId val="{00000001-CA61-4FC7-B66F-5E4718E7BED3}"/>
            </c:ext>
          </c:extLst>
        </c:ser>
        <c:ser>
          <c:idx val="2"/>
          <c:order val="2"/>
          <c:tx>
            <c:strRef>
              <c:f>Tabelle1!$C$4</c:f>
              <c:strCache>
                <c:ptCount val="1"/>
                <c:pt idx="0">
                  <c:v>Kenya</c:v>
                </c:pt>
              </c:strCache>
            </c:strRef>
          </c:tx>
          <c:spPr>
            <a:ln w="28575" cap="rnd">
              <a:solidFill>
                <a:schemeClr val="accent3"/>
              </a:solidFill>
              <a:round/>
            </a:ln>
            <a:effectLst/>
          </c:spPr>
          <c:marker>
            <c:symbol val="none"/>
          </c:marker>
          <c:cat>
            <c:numRef>
              <c:f>Tabelle1!$D$1:$V$1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Tabelle1!$D$4:$V$4</c:f>
              <c:numCache>
                <c:formatCode>0.00</c:formatCode>
                <c:ptCount val="19"/>
                <c:pt idx="0">
                  <c:v>52.266136169433594</c:v>
                </c:pt>
                <c:pt idx="1">
                  <c:v>52.053085327148438</c:v>
                </c:pt>
                <c:pt idx="2">
                  <c:v>50.576881408691406</c:v>
                </c:pt>
                <c:pt idx="3">
                  <c:v>51.136268615722656</c:v>
                </c:pt>
                <c:pt idx="4">
                  <c:v>51.971958160400391</c:v>
                </c:pt>
                <c:pt idx="5">
                  <c:v>51.498302459716797</c:v>
                </c:pt>
                <c:pt idx="6">
                  <c:v>51.536659240722656</c:v>
                </c:pt>
                <c:pt idx="7">
                  <c:v>50.862007141113281</c:v>
                </c:pt>
                <c:pt idx="8">
                  <c:v>50.724124908447266</c:v>
                </c:pt>
                <c:pt idx="9">
                  <c:v>51.699810028076172</c:v>
                </c:pt>
                <c:pt idx="10">
                  <c:v>50.475643157958984</c:v>
                </c:pt>
                <c:pt idx="11">
                  <c:v>50.988826751708984</c:v>
                </c:pt>
                <c:pt idx="12">
                  <c:v>50.826175689697266</c:v>
                </c:pt>
                <c:pt idx="13">
                  <c:v>50.278484344482422</c:v>
                </c:pt>
                <c:pt idx="14">
                  <c:v>51.904693603515625</c:v>
                </c:pt>
                <c:pt idx="15">
                  <c:v>52.038627624511719</c:v>
                </c:pt>
                <c:pt idx="16">
                  <c:v>51.77984619140625</c:v>
                </c:pt>
                <c:pt idx="17">
                  <c:v>51.225528717041016</c:v>
                </c:pt>
                <c:pt idx="18">
                  <c:v>50.670928955078125</c:v>
                </c:pt>
              </c:numCache>
            </c:numRef>
          </c:val>
          <c:smooth val="0"/>
          <c:extLst>
            <c:ext xmlns:c16="http://schemas.microsoft.com/office/drawing/2014/chart" uri="{C3380CC4-5D6E-409C-BE32-E72D297353CC}">
              <c16:uniqueId val="{00000002-CA61-4FC7-B66F-5E4718E7BED3}"/>
            </c:ext>
          </c:extLst>
        </c:ser>
        <c:ser>
          <c:idx val="3"/>
          <c:order val="3"/>
          <c:tx>
            <c:strRef>
              <c:f>Tabelle1!$C$5</c:f>
              <c:strCache>
                <c:ptCount val="1"/>
                <c:pt idx="0">
                  <c:v>Singapore</c:v>
                </c:pt>
              </c:strCache>
            </c:strRef>
          </c:tx>
          <c:spPr>
            <a:ln w="28575" cap="rnd">
              <a:solidFill>
                <a:srgbClr val="00B050"/>
              </a:solidFill>
              <a:round/>
            </a:ln>
            <a:effectLst/>
          </c:spPr>
          <c:marker>
            <c:symbol val="none"/>
          </c:marker>
          <c:cat>
            <c:numRef>
              <c:f>Tabelle1!$D$1:$V$1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Tabelle1!$D$5:$V$5</c:f>
              <c:numCache>
                <c:formatCode>0.00</c:formatCode>
                <c:ptCount val="19"/>
                <c:pt idx="0">
                  <c:v>45.946796417236328</c:v>
                </c:pt>
                <c:pt idx="1">
                  <c:v>44.831233978271484</c:v>
                </c:pt>
                <c:pt idx="2">
                  <c:v>42.892726898193359</c:v>
                </c:pt>
                <c:pt idx="3">
                  <c:v>40.683921813964844</c:v>
                </c:pt>
                <c:pt idx="4">
                  <c:v>39.703872680664063</c:v>
                </c:pt>
                <c:pt idx="5">
                  <c:v>39.340240478515625</c:v>
                </c:pt>
                <c:pt idx="6">
                  <c:v>39.247108459472656</c:v>
                </c:pt>
                <c:pt idx="7">
                  <c:v>38.789993286132813</c:v>
                </c:pt>
                <c:pt idx="8">
                  <c:v>37.606182098388672</c:v>
                </c:pt>
                <c:pt idx="9">
                  <c:v>36.303848266601563</c:v>
                </c:pt>
                <c:pt idx="10">
                  <c:v>35.453723907470703</c:v>
                </c:pt>
                <c:pt idx="11">
                  <c:v>35.484909057617188</c:v>
                </c:pt>
                <c:pt idx="12">
                  <c:v>35.875820159912109</c:v>
                </c:pt>
                <c:pt idx="13">
                  <c:v>36.145900726318359</c:v>
                </c:pt>
                <c:pt idx="14">
                  <c:v>35.785823822021484</c:v>
                </c:pt>
                <c:pt idx="15">
                  <c:v>36.958057403564453</c:v>
                </c:pt>
                <c:pt idx="16">
                  <c:v>37.611865997314453</c:v>
                </c:pt>
                <c:pt idx="17">
                  <c:v>36.58294677734375</c:v>
                </c:pt>
                <c:pt idx="18">
                  <c:v>34.772502899169922</c:v>
                </c:pt>
              </c:numCache>
            </c:numRef>
          </c:val>
          <c:smooth val="0"/>
          <c:extLst>
            <c:ext xmlns:c16="http://schemas.microsoft.com/office/drawing/2014/chart" uri="{C3380CC4-5D6E-409C-BE32-E72D297353CC}">
              <c16:uniqueId val="{00000003-CA61-4FC7-B66F-5E4718E7BED3}"/>
            </c:ext>
          </c:extLst>
        </c:ser>
        <c:ser>
          <c:idx val="4"/>
          <c:order val="4"/>
          <c:tx>
            <c:strRef>
              <c:f>Tabelle1!$C$6</c:f>
              <c:strCache>
                <c:ptCount val="1"/>
                <c:pt idx="0">
                  <c:v>Turkey</c:v>
                </c:pt>
              </c:strCache>
            </c:strRef>
          </c:tx>
          <c:spPr>
            <a:ln w="28575" cap="rnd">
              <a:solidFill>
                <a:srgbClr val="FF0000"/>
              </a:solidFill>
              <a:prstDash val="sysDash"/>
              <a:round/>
            </a:ln>
            <a:effectLst/>
          </c:spPr>
          <c:marker>
            <c:symbol val="none"/>
          </c:marker>
          <c:cat>
            <c:numRef>
              <c:f>Tabelle1!$D$1:$V$1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Tabelle1!$D$6:$V$6</c:f>
              <c:numCache>
                <c:formatCode>0.00</c:formatCode>
                <c:ptCount val="19"/>
                <c:pt idx="0">
                  <c:v>43.887062072753906</c:v>
                </c:pt>
                <c:pt idx="1">
                  <c:v>44.776561737060547</c:v>
                </c:pt>
                <c:pt idx="2">
                  <c:v>45.554031372070313</c:v>
                </c:pt>
                <c:pt idx="3">
                  <c:v>43.771068572998047</c:v>
                </c:pt>
                <c:pt idx="4">
                  <c:v>43.3936767578125</c:v>
                </c:pt>
                <c:pt idx="5">
                  <c:v>44.308521270751953</c:v>
                </c:pt>
                <c:pt idx="6">
                  <c:v>43.406486511230469</c:v>
                </c:pt>
                <c:pt idx="7">
                  <c:v>44.109661102294922</c:v>
                </c:pt>
                <c:pt idx="8">
                  <c:v>45.144676208496094</c:v>
                </c:pt>
                <c:pt idx="9">
                  <c:v>47.916828155517578</c:v>
                </c:pt>
                <c:pt idx="10">
                  <c:v>46.51220703125</c:v>
                </c:pt>
                <c:pt idx="11">
                  <c:v>45.929676055908203</c:v>
                </c:pt>
                <c:pt idx="12">
                  <c:v>45.203483581542969</c:v>
                </c:pt>
                <c:pt idx="13">
                  <c:v>44.564071655273438</c:v>
                </c:pt>
                <c:pt idx="14">
                  <c:v>44.750362396240234</c:v>
                </c:pt>
                <c:pt idx="15">
                  <c:v>44.523075103759766</c:v>
                </c:pt>
                <c:pt idx="16">
                  <c:v>44.370395660400391</c:v>
                </c:pt>
                <c:pt idx="17">
                  <c:v>44.969757080078125</c:v>
                </c:pt>
                <c:pt idx="18">
                  <c:v>45.159103393554688</c:v>
                </c:pt>
              </c:numCache>
            </c:numRef>
          </c:val>
          <c:smooth val="0"/>
          <c:extLst>
            <c:ext xmlns:c16="http://schemas.microsoft.com/office/drawing/2014/chart" uri="{C3380CC4-5D6E-409C-BE32-E72D297353CC}">
              <c16:uniqueId val="{00000004-CA61-4FC7-B66F-5E4718E7BED3}"/>
            </c:ext>
          </c:extLst>
        </c:ser>
        <c:dLbls>
          <c:showLegendKey val="0"/>
          <c:showVal val="0"/>
          <c:showCatName val="0"/>
          <c:showSerName val="0"/>
          <c:showPercent val="0"/>
          <c:showBubbleSize val="0"/>
        </c:dLbls>
        <c:smooth val="0"/>
        <c:axId val="953772688"/>
        <c:axId val="953780888"/>
      </c:lineChart>
      <c:catAx>
        <c:axId val="95377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953780888"/>
        <c:crosses val="autoZero"/>
        <c:auto val="1"/>
        <c:lblAlgn val="ctr"/>
        <c:lblOffset val="100"/>
        <c:noMultiLvlLbl val="0"/>
      </c:catAx>
      <c:valAx>
        <c:axId val="953780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95377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Tabelle2!$B$1</c:f>
              <c:strCache>
                <c:ptCount val="1"/>
                <c:pt idx="0">
                  <c:v>Upper bound of fall in Iran's SWIID Gini</c:v>
                </c:pt>
              </c:strCache>
            </c:strRef>
          </c:tx>
          <c:spPr>
            <a:ln w="28575" cap="rnd">
              <a:solidFill>
                <a:schemeClr val="bg1">
                  <a:lumMod val="50000"/>
                </a:schemeClr>
              </a:solidFill>
              <a:prstDash val="dash"/>
              <a:round/>
            </a:ln>
            <a:effectLst/>
          </c:spPr>
          <c:marker>
            <c:symbol val="none"/>
          </c:marker>
          <c:cat>
            <c:numRef>
              <c:f>Tabelle2!$A$2:$A$20</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Tabelle2!$B$2:$B$20</c:f>
              <c:numCache>
                <c:formatCode>General</c:formatCode>
                <c:ptCount val="19"/>
                <c:pt idx="0">
                  <c:v>0</c:v>
                </c:pt>
                <c:pt idx="1">
                  <c:v>0</c:v>
                </c:pt>
                <c:pt idx="2">
                  <c:v>0</c:v>
                </c:pt>
                <c:pt idx="3">
                  <c:v>0</c:v>
                </c:pt>
                <c:pt idx="4">
                  <c:v>0</c:v>
                </c:pt>
                <c:pt idx="5">
                  <c:v>0</c:v>
                </c:pt>
                <c:pt idx="6">
                  <c:v>0</c:v>
                </c:pt>
                <c:pt idx="7">
                  <c:v>0</c:v>
                </c:pt>
                <c:pt idx="8">
                  <c:v>1.937519</c:v>
                </c:pt>
                <c:pt idx="9">
                  <c:v>1.8314189999999999</c:v>
                </c:pt>
                <c:pt idx="10">
                  <c:v>1.4588179999999999</c:v>
                </c:pt>
                <c:pt idx="11">
                  <c:v>0.95071910000000004</c:v>
                </c:pt>
                <c:pt idx="12">
                  <c:v>0.4234214</c:v>
                </c:pt>
                <c:pt idx="13">
                  <c:v>-0.1723808</c:v>
                </c:pt>
                <c:pt idx="14">
                  <c:v>-0.74067830000000001</c:v>
                </c:pt>
                <c:pt idx="15">
                  <c:v>-1.1108800000000001</c:v>
                </c:pt>
                <c:pt idx="16">
                  <c:v>-1.8731789999999999</c:v>
                </c:pt>
                <c:pt idx="17">
                  <c:v>-2.6697790000000001</c:v>
                </c:pt>
                <c:pt idx="18">
                  <c:v>-3.120082</c:v>
                </c:pt>
              </c:numCache>
            </c:numRef>
          </c:val>
          <c:smooth val="0"/>
          <c:extLst>
            <c:ext xmlns:c16="http://schemas.microsoft.com/office/drawing/2014/chart" uri="{C3380CC4-5D6E-409C-BE32-E72D297353CC}">
              <c16:uniqueId val="{00000000-5712-4BD6-A0DB-BAA1B98256BA}"/>
            </c:ext>
          </c:extLst>
        </c:ser>
        <c:ser>
          <c:idx val="1"/>
          <c:order val="1"/>
          <c:tx>
            <c:strRef>
              <c:f>Tabelle2!$C$1</c:f>
              <c:strCache>
                <c:ptCount val="1"/>
                <c:pt idx="0">
                  <c:v>Estimated fall in SWIID Gini index of Iran</c:v>
                </c:pt>
              </c:strCache>
            </c:strRef>
          </c:tx>
          <c:spPr>
            <a:ln w="38100" cap="rnd">
              <a:solidFill>
                <a:schemeClr val="tx1"/>
              </a:solidFill>
              <a:round/>
            </a:ln>
            <a:effectLst/>
          </c:spPr>
          <c:marker>
            <c:symbol val="none"/>
          </c:marker>
          <c:cat>
            <c:numRef>
              <c:f>Tabelle2!$A$2:$A$20</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Tabelle2!$C$2:$C$20</c:f>
              <c:numCache>
                <c:formatCode>General</c:formatCode>
                <c:ptCount val="19"/>
                <c:pt idx="0">
                  <c:v>-4.3300000000002115E-2</c:v>
                </c:pt>
                <c:pt idx="1">
                  <c:v>-5.160200000000259E-2</c:v>
                </c:pt>
                <c:pt idx="2">
                  <c:v>-4.6500999999999237E-2</c:v>
                </c:pt>
                <c:pt idx="3">
                  <c:v>5.3499999999999659E-2</c:v>
                </c:pt>
                <c:pt idx="4">
                  <c:v>4.6900999999998305E-2</c:v>
                </c:pt>
                <c:pt idx="5">
                  <c:v>0.13010200000000083</c:v>
                </c:pt>
                <c:pt idx="6">
                  <c:v>1.6700000000000159E-2</c:v>
                </c:pt>
                <c:pt idx="7">
                  <c:v>-5.0019999999975084E-3</c:v>
                </c:pt>
                <c:pt idx="8">
                  <c:v>-3.3010000000004425E-3</c:v>
                </c:pt>
                <c:pt idx="9">
                  <c:v>-0.12330099999999788</c:v>
                </c:pt>
                <c:pt idx="10">
                  <c:v>-0.53160199999999946</c:v>
                </c:pt>
                <c:pt idx="11">
                  <c:v>-1.0399010000000004</c:v>
                </c:pt>
                <c:pt idx="12">
                  <c:v>-1.5515979999999985</c:v>
                </c:pt>
                <c:pt idx="13">
                  <c:v>-2.1582000000000008</c:v>
                </c:pt>
                <c:pt idx="14">
                  <c:v>-2.8313989999999976</c:v>
                </c:pt>
                <c:pt idx="15">
                  <c:v>-3.3145999999999987</c:v>
                </c:pt>
                <c:pt idx="16">
                  <c:v>-4.3528990000000007</c:v>
                </c:pt>
                <c:pt idx="17">
                  <c:v>-5.4011980000000008</c:v>
                </c:pt>
                <c:pt idx="18">
                  <c:v>-5.9131020000000021</c:v>
                </c:pt>
              </c:numCache>
            </c:numRef>
          </c:val>
          <c:smooth val="0"/>
          <c:extLst>
            <c:ext xmlns:c16="http://schemas.microsoft.com/office/drawing/2014/chart" uri="{C3380CC4-5D6E-409C-BE32-E72D297353CC}">
              <c16:uniqueId val="{00000001-5712-4BD6-A0DB-BAA1B98256BA}"/>
            </c:ext>
          </c:extLst>
        </c:ser>
        <c:ser>
          <c:idx val="2"/>
          <c:order val="2"/>
          <c:tx>
            <c:strRef>
              <c:f>Tabelle2!$D$1</c:f>
              <c:strCache>
                <c:ptCount val="1"/>
                <c:pt idx="0">
                  <c:v>Lower bound of fall in Iran' SWIID Gini</c:v>
                </c:pt>
              </c:strCache>
            </c:strRef>
          </c:tx>
          <c:spPr>
            <a:ln w="28575" cap="rnd">
              <a:solidFill>
                <a:schemeClr val="bg1">
                  <a:lumMod val="65000"/>
                </a:schemeClr>
              </a:solidFill>
              <a:prstDash val="dash"/>
              <a:round/>
            </a:ln>
            <a:effectLst/>
          </c:spPr>
          <c:marker>
            <c:symbol val="none"/>
          </c:marker>
          <c:cat>
            <c:numRef>
              <c:f>Tabelle2!$A$2:$A$20</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Tabelle2!$D$2:$D$20</c:f>
              <c:numCache>
                <c:formatCode>General</c:formatCode>
                <c:ptCount val="19"/>
                <c:pt idx="0">
                  <c:v>0</c:v>
                </c:pt>
                <c:pt idx="1">
                  <c:v>0</c:v>
                </c:pt>
                <c:pt idx="2">
                  <c:v>0</c:v>
                </c:pt>
                <c:pt idx="3">
                  <c:v>0</c:v>
                </c:pt>
                <c:pt idx="4">
                  <c:v>0</c:v>
                </c:pt>
                <c:pt idx="5">
                  <c:v>0</c:v>
                </c:pt>
                <c:pt idx="6">
                  <c:v>0</c:v>
                </c:pt>
                <c:pt idx="7">
                  <c:v>0</c:v>
                </c:pt>
                <c:pt idx="8">
                  <c:v>-1.9795780000000001</c:v>
                </c:pt>
                <c:pt idx="9">
                  <c:v>-2.0856780000000001</c:v>
                </c:pt>
                <c:pt idx="10">
                  <c:v>-2.4582790000000001</c:v>
                </c:pt>
                <c:pt idx="11">
                  <c:v>-2.9663780000000002</c:v>
                </c:pt>
                <c:pt idx="12">
                  <c:v>-3.4936759999999998</c:v>
                </c:pt>
                <c:pt idx="13">
                  <c:v>-4.0894779999999997</c:v>
                </c:pt>
                <c:pt idx="14">
                  <c:v>-4.657775</c:v>
                </c:pt>
                <c:pt idx="15">
                  <c:v>-5.0279769999999999</c:v>
                </c:pt>
                <c:pt idx="16">
                  <c:v>-5.7902760000000004</c:v>
                </c:pt>
                <c:pt idx="17">
                  <c:v>-6.5868760000000002</c:v>
                </c:pt>
                <c:pt idx="18">
                  <c:v>-7.0371790000000001</c:v>
                </c:pt>
              </c:numCache>
            </c:numRef>
          </c:val>
          <c:smooth val="0"/>
          <c:extLst>
            <c:ext xmlns:c16="http://schemas.microsoft.com/office/drawing/2014/chart" uri="{C3380CC4-5D6E-409C-BE32-E72D297353CC}">
              <c16:uniqueId val="{00000002-5712-4BD6-A0DB-BAA1B98256BA}"/>
            </c:ext>
          </c:extLst>
        </c:ser>
        <c:dLbls>
          <c:showLegendKey val="0"/>
          <c:showVal val="0"/>
          <c:showCatName val="0"/>
          <c:showSerName val="0"/>
          <c:showPercent val="0"/>
          <c:showBubbleSize val="0"/>
        </c:dLbls>
        <c:smooth val="0"/>
        <c:axId val="589690808"/>
        <c:axId val="589698680"/>
      </c:lineChart>
      <c:catAx>
        <c:axId val="58969080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589698680"/>
        <c:crosses val="autoZero"/>
        <c:auto val="1"/>
        <c:lblAlgn val="ctr"/>
        <c:lblOffset val="100"/>
        <c:noMultiLvlLbl val="0"/>
      </c:catAx>
      <c:valAx>
        <c:axId val="58969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589690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u="none" strike="noStrike" baseline="0">
                <a:solidFill>
                  <a:sysClr val="windowText" lastClr="000000"/>
                </a:solidFill>
                <a:effectLst/>
                <a:latin typeface="Times New Roman" panose="02020603050405020304" pitchFamily="18" charset="0"/>
                <a:cs typeface="Times New Roman" panose="02020603050405020304" pitchFamily="18" charset="0"/>
              </a:rPr>
              <a:t>post-1978 revolution RMSPE to pre-1978 RMSPE </a:t>
            </a:r>
            <a:endParaRPr lang="de-DE"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barChart>
        <c:barDir val="col"/>
        <c:grouping val="clustered"/>
        <c:varyColors val="0"/>
        <c:ser>
          <c:idx val="0"/>
          <c:order val="0"/>
          <c:tx>
            <c:strRef>
              <c:f>Tabelle3!$B$1</c:f>
              <c:strCache>
                <c:ptCount val="1"/>
                <c:pt idx="0">
                  <c:v>Post/Pr~o </c:v>
                </c:pt>
              </c:strCache>
            </c:strRef>
          </c:tx>
          <c:spPr>
            <a:solidFill>
              <a:schemeClr val="bg1">
                <a:lumMod val="50000"/>
              </a:schemeClr>
            </a:solidFill>
            <a:ln>
              <a:solidFill>
                <a:schemeClr val="tx1"/>
              </a:solidFill>
            </a:ln>
            <a:effectLst/>
          </c:spPr>
          <c:invertIfNegative val="0"/>
          <c:dPt>
            <c:idx val="18"/>
            <c:invertIfNegative val="0"/>
            <c:bubble3D val="0"/>
            <c:spPr>
              <a:solidFill>
                <a:schemeClr val="tx1"/>
              </a:solidFill>
              <a:ln>
                <a:noFill/>
              </a:ln>
              <a:effectLst/>
            </c:spPr>
            <c:extLst>
              <c:ext xmlns:c16="http://schemas.microsoft.com/office/drawing/2014/chart" uri="{C3380CC4-5D6E-409C-BE32-E72D297353CC}">
                <c16:uniqueId val="{00000001-0CB2-47F7-BF82-D80E3A54C887}"/>
              </c:ext>
            </c:extLst>
          </c:dPt>
          <c:dLbls>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B2-47F7-BF82-D80E3A54C887}"/>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Tabelle3!$A$2:$A$20</c:f>
              <c:strCache>
                <c:ptCount val="19"/>
                <c:pt idx="0">
                  <c:v>Sudan</c:v>
                </c:pt>
                <c:pt idx="1">
                  <c:v>Norway</c:v>
                </c:pt>
                <c:pt idx="2">
                  <c:v>Brazil</c:v>
                </c:pt>
                <c:pt idx="3">
                  <c:v>Colombia</c:v>
                </c:pt>
                <c:pt idx="4">
                  <c:v>Mexico</c:v>
                </c:pt>
                <c:pt idx="5">
                  <c:v>Bangladesh</c:v>
                </c:pt>
                <c:pt idx="6">
                  <c:v>Thailand</c:v>
                </c:pt>
                <c:pt idx="7">
                  <c:v>Costa Rica</c:v>
                </c:pt>
                <c:pt idx="8">
                  <c:v>France</c:v>
                </c:pt>
                <c:pt idx="9">
                  <c:v>Venezuela</c:v>
                </c:pt>
                <c:pt idx="10">
                  <c:v>Sri Lanka</c:v>
                </c:pt>
                <c:pt idx="11">
                  <c:v>Puerto Rico</c:v>
                </c:pt>
                <c:pt idx="12">
                  <c:v>Argentina</c:v>
                </c:pt>
                <c:pt idx="13">
                  <c:v>Republic of Korea</c:v>
                </c:pt>
                <c:pt idx="14">
                  <c:v>Pakistan</c:v>
                </c:pt>
                <c:pt idx="15">
                  <c:v>Chile</c:v>
                </c:pt>
                <c:pt idx="16">
                  <c:v>Malawi</c:v>
                </c:pt>
                <c:pt idx="17">
                  <c:v>Malaysia</c:v>
                </c:pt>
                <c:pt idx="18">
                  <c:v>Iran</c:v>
                </c:pt>
              </c:strCache>
            </c:strRef>
          </c:cat>
          <c:val>
            <c:numRef>
              <c:f>Tabelle3!$B$2:$B$20</c:f>
              <c:numCache>
                <c:formatCode>General</c:formatCode>
                <c:ptCount val="19"/>
                <c:pt idx="0">
                  <c:v>1.0560510000000001</c:v>
                </c:pt>
                <c:pt idx="1">
                  <c:v>1.902698</c:v>
                </c:pt>
                <c:pt idx="2">
                  <c:v>2.4553120000000002</c:v>
                </c:pt>
                <c:pt idx="3">
                  <c:v>2.8556889999999999</c:v>
                </c:pt>
                <c:pt idx="4">
                  <c:v>3.5602429999999998</c:v>
                </c:pt>
                <c:pt idx="5">
                  <c:v>3.5956600000000001</c:v>
                </c:pt>
                <c:pt idx="6">
                  <c:v>3.8087819999999999</c:v>
                </c:pt>
                <c:pt idx="7">
                  <c:v>4.4699869999999997</c:v>
                </c:pt>
                <c:pt idx="8">
                  <c:v>5.5967520000000004</c:v>
                </c:pt>
                <c:pt idx="9">
                  <c:v>9.4173360000000006</c:v>
                </c:pt>
                <c:pt idx="10">
                  <c:v>10.13466</c:v>
                </c:pt>
                <c:pt idx="11">
                  <c:v>10.288270000000001</c:v>
                </c:pt>
                <c:pt idx="12">
                  <c:v>11.764279999999999</c:v>
                </c:pt>
                <c:pt idx="13">
                  <c:v>12.132289999999999</c:v>
                </c:pt>
                <c:pt idx="14">
                  <c:v>18.50346</c:v>
                </c:pt>
                <c:pt idx="15">
                  <c:v>20.16208</c:v>
                </c:pt>
                <c:pt idx="16">
                  <c:v>22.383189999999999</c:v>
                </c:pt>
                <c:pt idx="17">
                  <c:v>23.813600000000001</c:v>
                </c:pt>
                <c:pt idx="18">
                  <c:v>35.337150000000001</c:v>
                </c:pt>
              </c:numCache>
            </c:numRef>
          </c:val>
          <c:extLst>
            <c:ext xmlns:c16="http://schemas.microsoft.com/office/drawing/2014/chart" uri="{C3380CC4-5D6E-409C-BE32-E72D297353CC}">
              <c16:uniqueId val="{00000002-0CB2-47F7-BF82-D80E3A54C887}"/>
            </c:ext>
          </c:extLst>
        </c:ser>
        <c:dLbls>
          <c:showLegendKey val="0"/>
          <c:showVal val="0"/>
          <c:showCatName val="0"/>
          <c:showSerName val="0"/>
          <c:showPercent val="0"/>
          <c:showBubbleSize val="0"/>
        </c:dLbls>
        <c:gapWidth val="219"/>
        <c:overlap val="-27"/>
        <c:axId val="600633544"/>
        <c:axId val="600631248"/>
      </c:barChart>
      <c:catAx>
        <c:axId val="600633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600631248"/>
        <c:crosses val="autoZero"/>
        <c:auto val="1"/>
        <c:lblAlgn val="ctr"/>
        <c:lblOffset val="100"/>
        <c:noMultiLvlLbl val="0"/>
      </c:catAx>
      <c:valAx>
        <c:axId val="60063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600633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de-DE" sz="1100">
                <a:solidFill>
                  <a:sysClr val="windowText" lastClr="000000"/>
                </a:solidFill>
                <a:latin typeface="Times New Roman" panose="02020603050405020304" pitchFamily="18" charset="0"/>
                <a:cs typeface="Times New Roman" panose="02020603050405020304" pitchFamily="18" charset="0"/>
              </a:rPr>
              <a:t>SWIID Disposable Gini index for Iran</a:t>
            </a:r>
            <a:r>
              <a:rPr lang="de-DE" sz="1100" baseline="0">
                <a:solidFill>
                  <a:sysClr val="windowText" lastClr="000000"/>
                </a:solidFill>
                <a:latin typeface="Times New Roman" panose="02020603050405020304" pitchFamily="18" charset="0"/>
                <a:cs typeface="Times New Roman" panose="02020603050405020304" pitchFamily="18" charset="0"/>
              </a:rPr>
              <a:t> and all other 18 countires in the donor sample</a:t>
            </a:r>
            <a:endParaRPr lang="de-DE"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lineChart>
        <c:grouping val="standard"/>
        <c:varyColors val="0"/>
        <c:ser>
          <c:idx val="0"/>
          <c:order val="0"/>
          <c:tx>
            <c:strRef>
              <c:f>'Gini Solt'!$A$2</c:f>
              <c:strCache>
                <c:ptCount val="1"/>
                <c:pt idx="0">
                  <c:v>Argentina</c:v>
                </c:pt>
              </c:strCache>
            </c:strRef>
          </c:tx>
          <c:spPr>
            <a:ln w="28575" cap="rnd">
              <a:solidFill>
                <a:schemeClr val="accent1"/>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Solt'!$B$2:$T$2</c:f>
              <c:numCache>
                <c:formatCode>General</c:formatCode>
                <c:ptCount val="19"/>
                <c:pt idx="0">
                  <c:v>35.5</c:v>
                </c:pt>
                <c:pt idx="1">
                  <c:v>35.4</c:v>
                </c:pt>
                <c:pt idx="2">
                  <c:v>35.299999999999997</c:v>
                </c:pt>
                <c:pt idx="3">
                  <c:v>35.200000000000003</c:v>
                </c:pt>
                <c:pt idx="4">
                  <c:v>35.1</c:v>
                </c:pt>
                <c:pt idx="5">
                  <c:v>35.5</c:v>
                </c:pt>
                <c:pt idx="6">
                  <c:v>35.9</c:v>
                </c:pt>
                <c:pt idx="7">
                  <c:v>36.4</c:v>
                </c:pt>
                <c:pt idx="8">
                  <c:v>36.799999999999997</c:v>
                </c:pt>
                <c:pt idx="9">
                  <c:v>37.299999999999997</c:v>
                </c:pt>
                <c:pt idx="10">
                  <c:v>37.700000000000003</c:v>
                </c:pt>
                <c:pt idx="11">
                  <c:v>38.200000000000003</c:v>
                </c:pt>
                <c:pt idx="12">
                  <c:v>38.700000000000003</c:v>
                </c:pt>
                <c:pt idx="13">
                  <c:v>39.1</c:v>
                </c:pt>
                <c:pt idx="14">
                  <c:v>39.6</c:v>
                </c:pt>
                <c:pt idx="15">
                  <c:v>40</c:v>
                </c:pt>
                <c:pt idx="16">
                  <c:v>40.5</c:v>
                </c:pt>
                <c:pt idx="17">
                  <c:v>41</c:v>
                </c:pt>
                <c:pt idx="18">
                  <c:v>41.5</c:v>
                </c:pt>
              </c:numCache>
            </c:numRef>
          </c:val>
          <c:smooth val="0"/>
          <c:extLst>
            <c:ext xmlns:c16="http://schemas.microsoft.com/office/drawing/2014/chart" uri="{C3380CC4-5D6E-409C-BE32-E72D297353CC}">
              <c16:uniqueId val="{00000000-3D6F-4C32-B452-72514513C141}"/>
            </c:ext>
          </c:extLst>
        </c:ser>
        <c:ser>
          <c:idx val="1"/>
          <c:order val="1"/>
          <c:tx>
            <c:strRef>
              <c:f>'Gini Solt'!$A$3</c:f>
              <c:strCache>
                <c:ptCount val="1"/>
                <c:pt idx="0">
                  <c:v>Bangladesh</c:v>
                </c:pt>
              </c:strCache>
            </c:strRef>
          </c:tx>
          <c:spPr>
            <a:ln w="28575" cap="rnd">
              <a:solidFill>
                <a:schemeClr val="accent2"/>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Solt'!$B$3:$T$3</c:f>
              <c:numCache>
                <c:formatCode>General</c:formatCode>
                <c:ptCount val="19"/>
                <c:pt idx="0">
                  <c:v>30.2</c:v>
                </c:pt>
                <c:pt idx="1">
                  <c:v>30.3</c:v>
                </c:pt>
                <c:pt idx="2">
                  <c:v>30.4</c:v>
                </c:pt>
                <c:pt idx="3">
                  <c:v>30.6</c:v>
                </c:pt>
                <c:pt idx="4">
                  <c:v>30.8</c:v>
                </c:pt>
                <c:pt idx="5">
                  <c:v>31</c:v>
                </c:pt>
                <c:pt idx="6">
                  <c:v>31.3</c:v>
                </c:pt>
                <c:pt idx="7">
                  <c:v>31.5</c:v>
                </c:pt>
                <c:pt idx="8">
                  <c:v>31.4</c:v>
                </c:pt>
                <c:pt idx="9">
                  <c:v>31.4</c:v>
                </c:pt>
                <c:pt idx="10">
                  <c:v>31.3</c:v>
                </c:pt>
                <c:pt idx="11">
                  <c:v>31.3</c:v>
                </c:pt>
                <c:pt idx="12">
                  <c:v>31.3</c:v>
                </c:pt>
                <c:pt idx="13">
                  <c:v>31.1</c:v>
                </c:pt>
                <c:pt idx="14">
                  <c:v>31.1</c:v>
                </c:pt>
                <c:pt idx="15">
                  <c:v>31.2</c:v>
                </c:pt>
                <c:pt idx="16">
                  <c:v>31.2</c:v>
                </c:pt>
                <c:pt idx="17">
                  <c:v>31.4</c:v>
                </c:pt>
                <c:pt idx="18">
                  <c:v>31.6</c:v>
                </c:pt>
              </c:numCache>
            </c:numRef>
          </c:val>
          <c:smooth val="0"/>
          <c:extLst>
            <c:ext xmlns:c16="http://schemas.microsoft.com/office/drawing/2014/chart" uri="{C3380CC4-5D6E-409C-BE32-E72D297353CC}">
              <c16:uniqueId val="{00000001-3D6F-4C32-B452-72514513C141}"/>
            </c:ext>
          </c:extLst>
        </c:ser>
        <c:ser>
          <c:idx val="2"/>
          <c:order val="2"/>
          <c:tx>
            <c:strRef>
              <c:f>'Gini Solt'!$A$4</c:f>
              <c:strCache>
                <c:ptCount val="1"/>
                <c:pt idx="0">
                  <c:v>Brazil</c:v>
                </c:pt>
              </c:strCache>
            </c:strRef>
          </c:tx>
          <c:spPr>
            <a:ln w="28575" cap="rnd">
              <a:solidFill>
                <a:schemeClr val="accent3"/>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Solt'!$B$4:$T$4</c:f>
              <c:numCache>
                <c:formatCode>General</c:formatCode>
                <c:ptCount val="19"/>
                <c:pt idx="0">
                  <c:v>50.6</c:v>
                </c:pt>
                <c:pt idx="1">
                  <c:v>50.6</c:v>
                </c:pt>
                <c:pt idx="2">
                  <c:v>50.5</c:v>
                </c:pt>
                <c:pt idx="3">
                  <c:v>50.6</c:v>
                </c:pt>
                <c:pt idx="4">
                  <c:v>50.6</c:v>
                </c:pt>
                <c:pt idx="5">
                  <c:v>51.1</c:v>
                </c:pt>
                <c:pt idx="6">
                  <c:v>51.5</c:v>
                </c:pt>
                <c:pt idx="7">
                  <c:v>51.7</c:v>
                </c:pt>
                <c:pt idx="8">
                  <c:v>51.8</c:v>
                </c:pt>
                <c:pt idx="9">
                  <c:v>51.9</c:v>
                </c:pt>
                <c:pt idx="10">
                  <c:v>52</c:v>
                </c:pt>
                <c:pt idx="11">
                  <c:v>52.1</c:v>
                </c:pt>
                <c:pt idx="12">
                  <c:v>52.3</c:v>
                </c:pt>
                <c:pt idx="13">
                  <c:v>52.3</c:v>
                </c:pt>
                <c:pt idx="14">
                  <c:v>52.3</c:v>
                </c:pt>
                <c:pt idx="15">
                  <c:v>52.2</c:v>
                </c:pt>
                <c:pt idx="16">
                  <c:v>52.9</c:v>
                </c:pt>
                <c:pt idx="17">
                  <c:v>53.6</c:v>
                </c:pt>
                <c:pt idx="18">
                  <c:v>54.5</c:v>
                </c:pt>
              </c:numCache>
            </c:numRef>
          </c:val>
          <c:smooth val="0"/>
          <c:extLst>
            <c:ext xmlns:c16="http://schemas.microsoft.com/office/drawing/2014/chart" uri="{C3380CC4-5D6E-409C-BE32-E72D297353CC}">
              <c16:uniqueId val="{00000002-3D6F-4C32-B452-72514513C141}"/>
            </c:ext>
          </c:extLst>
        </c:ser>
        <c:ser>
          <c:idx val="3"/>
          <c:order val="3"/>
          <c:tx>
            <c:strRef>
              <c:f>'Gini Solt'!$A$5</c:f>
              <c:strCache>
                <c:ptCount val="1"/>
                <c:pt idx="0">
                  <c:v>Chile</c:v>
                </c:pt>
              </c:strCache>
            </c:strRef>
          </c:tx>
          <c:spPr>
            <a:ln w="28575" cap="rnd">
              <a:solidFill>
                <a:schemeClr val="accent4"/>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Solt'!$B$5:$T$5</c:f>
              <c:numCache>
                <c:formatCode>General</c:formatCode>
                <c:ptCount val="19"/>
                <c:pt idx="0">
                  <c:v>45.7</c:v>
                </c:pt>
                <c:pt idx="1">
                  <c:v>45.8</c:v>
                </c:pt>
                <c:pt idx="2">
                  <c:v>46</c:v>
                </c:pt>
                <c:pt idx="3">
                  <c:v>46.1</c:v>
                </c:pt>
                <c:pt idx="4">
                  <c:v>46.3</c:v>
                </c:pt>
                <c:pt idx="5">
                  <c:v>46.4</c:v>
                </c:pt>
                <c:pt idx="6">
                  <c:v>46.6</c:v>
                </c:pt>
                <c:pt idx="7">
                  <c:v>46.7</c:v>
                </c:pt>
                <c:pt idx="8">
                  <c:v>46.9</c:v>
                </c:pt>
                <c:pt idx="9">
                  <c:v>47</c:v>
                </c:pt>
                <c:pt idx="10">
                  <c:v>47.2</c:v>
                </c:pt>
                <c:pt idx="11">
                  <c:v>47.4</c:v>
                </c:pt>
                <c:pt idx="12">
                  <c:v>47.5</c:v>
                </c:pt>
                <c:pt idx="13">
                  <c:v>47.7</c:v>
                </c:pt>
                <c:pt idx="14">
                  <c:v>48.1</c:v>
                </c:pt>
                <c:pt idx="15">
                  <c:v>48.4</c:v>
                </c:pt>
                <c:pt idx="16">
                  <c:v>49.2</c:v>
                </c:pt>
                <c:pt idx="17">
                  <c:v>50</c:v>
                </c:pt>
                <c:pt idx="18">
                  <c:v>50.2</c:v>
                </c:pt>
              </c:numCache>
            </c:numRef>
          </c:val>
          <c:smooth val="0"/>
          <c:extLst>
            <c:ext xmlns:c16="http://schemas.microsoft.com/office/drawing/2014/chart" uri="{C3380CC4-5D6E-409C-BE32-E72D297353CC}">
              <c16:uniqueId val="{00000003-3D6F-4C32-B452-72514513C141}"/>
            </c:ext>
          </c:extLst>
        </c:ser>
        <c:ser>
          <c:idx val="4"/>
          <c:order val="4"/>
          <c:tx>
            <c:strRef>
              <c:f>'Gini Solt'!$A$6</c:f>
              <c:strCache>
                <c:ptCount val="1"/>
                <c:pt idx="0">
                  <c:v>Colombia</c:v>
                </c:pt>
              </c:strCache>
            </c:strRef>
          </c:tx>
          <c:spPr>
            <a:ln w="28575" cap="rnd">
              <a:solidFill>
                <a:schemeClr val="accent5"/>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Solt'!$B$6:$T$6</c:f>
              <c:numCache>
                <c:formatCode>General</c:formatCode>
                <c:ptCount val="19"/>
                <c:pt idx="0">
                  <c:v>50</c:v>
                </c:pt>
                <c:pt idx="1">
                  <c:v>50</c:v>
                </c:pt>
                <c:pt idx="2">
                  <c:v>50.1</c:v>
                </c:pt>
                <c:pt idx="3">
                  <c:v>50.2</c:v>
                </c:pt>
                <c:pt idx="4">
                  <c:v>50.3</c:v>
                </c:pt>
                <c:pt idx="5">
                  <c:v>50.4</c:v>
                </c:pt>
                <c:pt idx="6">
                  <c:v>50.5</c:v>
                </c:pt>
                <c:pt idx="7">
                  <c:v>50.7</c:v>
                </c:pt>
                <c:pt idx="8">
                  <c:v>50.8</c:v>
                </c:pt>
                <c:pt idx="9">
                  <c:v>50.8</c:v>
                </c:pt>
                <c:pt idx="10">
                  <c:v>50.8</c:v>
                </c:pt>
                <c:pt idx="11">
                  <c:v>50.9</c:v>
                </c:pt>
                <c:pt idx="12">
                  <c:v>51</c:v>
                </c:pt>
                <c:pt idx="13">
                  <c:v>51</c:v>
                </c:pt>
                <c:pt idx="14">
                  <c:v>51.1</c:v>
                </c:pt>
                <c:pt idx="15">
                  <c:v>51.1</c:v>
                </c:pt>
                <c:pt idx="16">
                  <c:v>51.2</c:v>
                </c:pt>
                <c:pt idx="17">
                  <c:v>51.3</c:v>
                </c:pt>
                <c:pt idx="18">
                  <c:v>51.3</c:v>
                </c:pt>
              </c:numCache>
            </c:numRef>
          </c:val>
          <c:smooth val="0"/>
          <c:extLst>
            <c:ext xmlns:c16="http://schemas.microsoft.com/office/drawing/2014/chart" uri="{C3380CC4-5D6E-409C-BE32-E72D297353CC}">
              <c16:uniqueId val="{00000004-3D6F-4C32-B452-72514513C141}"/>
            </c:ext>
          </c:extLst>
        </c:ser>
        <c:ser>
          <c:idx val="5"/>
          <c:order val="5"/>
          <c:tx>
            <c:strRef>
              <c:f>'Gini Solt'!$A$7</c:f>
              <c:strCache>
                <c:ptCount val="1"/>
                <c:pt idx="0">
                  <c:v>Costa Rica</c:v>
                </c:pt>
              </c:strCache>
            </c:strRef>
          </c:tx>
          <c:spPr>
            <a:ln w="28575" cap="rnd">
              <a:solidFill>
                <a:schemeClr val="accent6"/>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Solt'!$B$7:$T$7</c:f>
              <c:numCache>
                <c:formatCode>General</c:formatCode>
                <c:ptCount val="19"/>
                <c:pt idx="0">
                  <c:v>41.3</c:v>
                </c:pt>
                <c:pt idx="1">
                  <c:v>41.2</c:v>
                </c:pt>
                <c:pt idx="2">
                  <c:v>41.1</c:v>
                </c:pt>
                <c:pt idx="3">
                  <c:v>40.9</c:v>
                </c:pt>
                <c:pt idx="4">
                  <c:v>40.799999999999997</c:v>
                </c:pt>
                <c:pt idx="5">
                  <c:v>40.6</c:v>
                </c:pt>
                <c:pt idx="6">
                  <c:v>40.5</c:v>
                </c:pt>
                <c:pt idx="7">
                  <c:v>40.4</c:v>
                </c:pt>
                <c:pt idx="8">
                  <c:v>40.299999999999997</c:v>
                </c:pt>
                <c:pt idx="9">
                  <c:v>40.200000000000003</c:v>
                </c:pt>
                <c:pt idx="10">
                  <c:v>40.1</c:v>
                </c:pt>
                <c:pt idx="11">
                  <c:v>40</c:v>
                </c:pt>
                <c:pt idx="12">
                  <c:v>39.799999999999997</c:v>
                </c:pt>
                <c:pt idx="13">
                  <c:v>39.5</c:v>
                </c:pt>
                <c:pt idx="14">
                  <c:v>39.4</c:v>
                </c:pt>
                <c:pt idx="15">
                  <c:v>39.299999999999997</c:v>
                </c:pt>
                <c:pt idx="16">
                  <c:v>39.299999999999997</c:v>
                </c:pt>
                <c:pt idx="17">
                  <c:v>39.6</c:v>
                </c:pt>
                <c:pt idx="18">
                  <c:v>40</c:v>
                </c:pt>
              </c:numCache>
            </c:numRef>
          </c:val>
          <c:smooth val="0"/>
          <c:extLst>
            <c:ext xmlns:c16="http://schemas.microsoft.com/office/drawing/2014/chart" uri="{C3380CC4-5D6E-409C-BE32-E72D297353CC}">
              <c16:uniqueId val="{00000005-3D6F-4C32-B452-72514513C141}"/>
            </c:ext>
          </c:extLst>
        </c:ser>
        <c:ser>
          <c:idx val="6"/>
          <c:order val="6"/>
          <c:tx>
            <c:strRef>
              <c:f>'Gini Solt'!$A$8</c:f>
              <c:strCache>
                <c:ptCount val="1"/>
                <c:pt idx="0">
                  <c:v>France</c:v>
                </c:pt>
              </c:strCache>
            </c:strRef>
          </c:tx>
          <c:spPr>
            <a:ln w="28575" cap="rnd">
              <a:solidFill>
                <a:schemeClr val="accent1">
                  <a:lumMod val="6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Solt'!$B$8:$T$8</c:f>
              <c:numCache>
                <c:formatCode>General</c:formatCode>
                <c:ptCount val="19"/>
                <c:pt idx="0">
                  <c:v>28.7</c:v>
                </c:pt>
                <c:pt idx="1">
                  <c:v>28.8</c:v>
                </c:pt>
                <c:pt idx="2">
                  <c:v>29</c:v>
                </c:pt>
                <c:pt idx="3">
                  <c:v>29.2</c:v>
                </c:pt>
                <c:pt idx="4">
                  <c:v>29.4</c:v>
                </c:pt>
                <c:pt idx="5">
                  <c:v>29.6</c:v>
                </c:pt>
                <c:pt idx="6">
                  <c:v>29.8</c:v>
                </c:pt>
                <c:pt idx="7">
                  <c:v>30</c:v>
                </c:pt>
                <c:pt idx="8">
                  <c:v>30.2</c:v>
                </c:pt>
                <c:pt idx="9">
                  <c:v>29.7</c:v>
                </c:pt>
                <c:pt idx="10">
                  <c:v>30</c:v>
                </c:pt>
                <c:pt idx="11">
                  <c:v>30.4</c:v>
                </c:pt>
                <c:pt idx="12">
                  <c:v>30.8</c:v>
                </c:pt>
                <c:pt idx="13">
                  <c:v>31.1</c:v>
                </c:pt>
                <c:pt idx="14">
                  <c:v>31.4</c:v>
                </c:pt>
                <c:pt idx="15">
                  <c:v>31</c:v>
                </c:pt>
                <c:pt idx="16">
                  <c:v>30.6</c:v>
                </c:pt>
                <c:pt idx="17">
                  <c:v>30.2</c:v>
                </c:pt>
                <c:pt idx="18">
                  <c:v>29.7</c:v>
                </c:pt>
              </c:numCache>
            </c:numRef>
          </c:val>
          <c:smooth val="0"/>
          <c:extLst>
            <c:ext xmlns:c16="http://schemas.microsoft.com/office/drawing/2014/chart" uri="{C3380CC4-5D6E-409C-BE32-E72D297353CC}">
              <c16:uniqueId val="{00000006-3D6F-4C32-B452-72514513C141}"/>
            </c:ext>
          </c:extLst>
        </c:ser>
        <c:ser>
          <c:idx val="7"/>
          <c:order val="7"/>
          <c:tx>
            <c:strRef>
              <c:f>'Gini Solt'!$A$9</c:f>
              <c:strCache>
                <c:ptCount val="1"/>
                <c:pt idx="0">
                  <c:v>Iran</c:v>
                </c:pt>
              </c:strCache>
            </c:strRef>
          </c:tx>
          <c:spPr>
            <a:ln w="28575" cap="rnd">
              <a:solidFill>
                <a:schemeClr val="tx1"/>
              </a:solidFill>
              <a:prstDash val="dash"/>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Solt'!$B$9:$T$9</c:f>
              <c:numCache>
                <c:formatCode>General</c:formatCode>
                <c:ptCount val="19"/>
                <c:pt idx="0">
                  <c:v>45</c:v>
                </c:pt>
                <c:pt idx="1">
                  <c:v>45.1</c:v>
                </c:pt>
                <c:pt idx="2">
                  <c:v>45.3</c:v>
                </c:pt>
                <c:pt idx="3">
                  <c:v>45.5</c:v>
                </c:pt>
                <c:pt idx="4">
                  <c:v>45.7</c:v>
                </c:pt>
                <c:pt idx="5">
                  <c:v>45.9</c:v>
                </c:pt>
                <c:pt idx="6">
                  <c:v>46</c:v>
                </c:pt>
                <c:pt idx="7">
                  <c:v>46.1</c:v>
                </c:pt>
                <c:pt idx="8">
                  <c:v>46.3</c:v>
                </c:pt>
                <c:pt idx="9">
                  <c:v>46.3</c:v>
                </c:pt>
                <c:pt idx="10">
                  <c:v>46.1</c:v>
                </c:pt>
                <c:pt idx="11">
                  <c:v>45.8</c:v>
                </c:pt>
                <c:pt idx="12">
                  <c:v>45.4</c:v>
                </c:pt>
                <c:pt idx="13">
                  <c:v>45</c:v>
                </c:pt>
                <c:pt idx="14">
                  <c:v>44.7</c:v>
                </c:pt>
                <c:pt idx="15">
                  <c:v>44.5</c:v>
                </c:pt>
                <c:pt idx="16">
                  <c:v>44.2</c:v>
                </c:pt>
                <c:pt idx="17">
                  <c:v>43.9</c:v>
                </c:pt>
                <c:pt idx="18">
                  <c:v>43.6</c:v>
                </c:pt>
              </c:numCache>
            </c:numRef>
          </c:val>
          <c:smooth val="0"/>
          <c:extLst>
            <c:ext xmlns:c16="http://schemas.microsoft.com/office/drawing/2014/chart" uri="{C3380CC4-5D6E-409C-BE32-E72D297353CC}">
              <c16:uniqueId val="{00000007-3D6F-4C32-B452-72514513C141}"/>
            </c:ext>
          </c:extLst>
        </c:ser>
        <c:ser>
          <c:idx val="8"/>
          <c:order val="8"/>
          <c:tx>
            <c:strRef>
              <c:f>'Gini Solt'!$A$10</c:f>
              <c:strCache>
                <c:ptCount val="1"/>
                <c:pt idx="0">
                  <c:v>Malawi</c:v>
                </c:pt>
              </c:strCache>
            </c:strRef>
          </c:tx>
          <c:spPr>
            <a:ln w="28575" cap="rnd">
              <a:solidFill>
                <a:schemeClr val="accent3">
                  <a:lumMod val="6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Solt'!$B$10:$T$10</c:f>
              <c:numCache>
                <c:formatCode>General</c:formatCode>
                <c:ptCount val="19"/>
                <c:pt idx="0">
                  <c:v>46.6</c:v>
                </c:pt>
                <c:pt idx="1">
                  <c:v>46.8</c:v>
                </c:pt>
                <c:pt idx="2">
                  <c:v>46.9</c:v>
                </c:pt>
                <c:pt idx="3">
                  <c:v>47</c:v>
                </c:pt>
                <c:pt idx="4">
                  <c:v>47.1</c:v>
                </c:pt>
                <c:pt idx="5">
                  <c:v>47.2</c:v>
                </c:pt>
                <c:pt idx="6">
                  <c:v>47.4</c:v>
                </c:pt>
                <c:pt idx="7">
                  <c:v>47.5</c:v>
                </c:pt>
                <c:pt idx="8">
                  <c:v>47.6</c:v>
                </c:pt>
                <c:pt idx="9">
                  <c:v>47.8</c:v>
                </c:pt>
                <c:pt idx="10">
                  <c:v>47.9</c:v>
                </c:pt>
                <c:pt idx="11">
                  <c:v>48.1</c:v>
                </c:pt>
                <c:pt idx="12">
                  <c:v>48.2</c:v>
                </c:pt>
                <c:pt idx="13">
                  <c:v>48.4</c:v>
                </c:pt>
                <c:pt idx="14">
                  <c:v>48.5</c:v>
                </c:pt>
                <c:pt idx="15">
                  <c:v>48.6</c:v>
                </c:pt>
                <c:pt idx="16">
                  <c:v>48.6</c:v>
                </c:pt>
                <c:pt idx="17">
                  <c:v>48.7</c:v>
                </c:pt>
                <c:pt idx="18">
                  <c:v>48.7</c:v>
                </c:pt>
              </c:numCache>
            </c:numRef>
          </c:val>
          <c:smooth val="0"/>
          <c:extLst>
            <c:ext xmlns:c16="http://schemas.microsoft.com/office/drawing/2014/chart" uri="{C3380CC4-5D6E-409C-BE32-E72D297353CC}">
              <c16:uniqueId val="{00000008-3D6F-4C32-B452-72514513C141}"/>
            </c:ext>
          </c:extLst>
        </c:ser>
        <c:ser>
          <c:idx val="9"/>
          <c:order val="9"/>
          <c:tx>
            <c:strRef>
              <c:f>'Gini Solt'!$A$11</c:f>
              <c:strCache>
                <c:ptCount val="1"/>
                <c:pt idx="0">
                  <c:v>Malaysia</c:v>
                </c:pt>
              </c:strCache>
            </c:strRef>
          </c:tx>
          <c:spPr>
            <a:ln w="28575" cap="rnd">
              <a:solidFill>
                <a:schemeClr val="accent4">
                  <a:lumMod val="6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Solt'!$B$11:$T$11</c:f>
              <c:numCache>
                <c:formatCode>General</c:formatCode>
                <c:ptCount val="19"/>
                <c:pt idx="0">
                  <c:v>45.8</c:v>
                </c:pt>
                <c:pt idx="1">
                  <c:v>45.9</c:v>
                </c:pt>
                <c:pt idx="2">
                  <c:v>46</c:v>
                </c:pt>
                <c:pt idx="3">
                  <c:v>46.2</c:v>
                </c:pt>
                <c:pt idx="4">
                  <c:v>46.2</c:v>
                </c:pt>
                <c:pt idx="5">
                  <c:v>46.3</c:v>
                </c:pt>
                <c:pt idx="6">
                  <c:v>46.3</c:v>
                </c:pt>
                <c:pt idx="7">
                  <c:v>46.3</c:v>
                </c:pt>
                <c:pt idx="8">
                  <c:v>46.2</c:v>
                </c:pt>
                <c:pt idx="9">
                  <c:v>46.2</c:v>
                </c:pt>
                <c:pt idx="10">
                  <c:v>45.9</c:v>
                </c:pt>
                <c:pt idx="11">
                  <c:v>45.8</c:v>
                </c:pt>
                <c:pt idx="12">
                  <c:v>45.6</c:v>
                </c:pt>
                <c:pt idx="13">
                  <c:v>45.4</c:v>
                </c:pt>
                <c:pt idx="14">
                  <c:v>45.2</c:v>
                </c:pt>
                <c:pt idx="15">
                  <c:v>44.9</c:v>
                </c:pt>
                <c:pt idx="16">
                  <c:v>44.7</c:v>
                </c:pt>
                <c:pt idx="17">
                  <c:v>44.5</c:v>
                </c:pt>
                <c:pt idx="18">
                  <c:v>44.3</c:v>
                </c:pt>
              </c:numCache>
            </c:numRef>
          </c:val>
          <c:smooth val="0"/>
          <c:extLst>
            <c:ext xmlns:c16="http://schemas.microsoft.com/office/drawing/2014/chart" uri="{C3380CC4-5D6E-409C-BE32-E72D297353CC}">
              <c16:uniqueId val="{00000009-3D6F-4C32-B452-72514513C141}"/>
            </c:ext>
          </c:extLst>
        </c:ser>
        <c:ser>
          <c:idx val="10"/>
          <c:order val="10"/>
          <c:tx>
            <c:strRef>
              <c:f>'Gini Solt'!$A$12</c:f>
              <c:strCache>
                <c:ptCount val="1"/>
                <c:pt idx="0">
                  <c:v>Mexico</c:v>
                </c:pt>
              </c:strCache>
            </c:strRef>
          </c:tx>
          <c:spPr>
            <a:ln w="28575" cap="rnd">
              <a:solidFill>
                <a:schemeClr val="accent5">
                  <a:lumMod val="6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Solt'!$B$12:$T$12</c:f>
              <c:numCache>
                <c:formatCode>General</c:formatCode>
                <c:ptCount val="19"/>
                <c:pt idx="0">
                  <c:v>51.5</c:v>
                </c:pt>
                <c:pt idx="1">
                  <c:v>51.2</c:v>
                </c:pt>
                <c:pt idx="2">
                  <c:v>51</c:v>
                </c:pt>
                <c:pt idx="3">
                  <c:v>50.8</c:v>
                </c:pt>
                <c:pt idx="4">
                  <c:v>50.5</c:v>
                </c:pt>
                <c:pt idx="5">
                  <c:v>50.3</c:v>
                </c:pt>
                <c:pt idx="6">
                  <c:v>50</c:v>
                </c:pt>
                <c:pt idx="7">
                  <c:v>49.6</c:v>
                </c:pt>
                <c:pt idx="8">
                  <c:v>49.3</c:v>
                </c:pt>
                <c:pt idx="9">
                  <c:v>48.9</c:v>
                </c:pt>
                <c:pt idx="10">
                  <c:v>48.6</c:v>
                </c:pt>
                <c:pt idx="11">
                  <c:v>48.2</c:v>
                </c:pt>
                <c:pt idx="12">
                  <c:v>47.8</c:v>
                </c:pt>
                <c:pt idx="13">
                  <c:v>47.5</c:v>
                </c:pt>
                <c:pt idx="14">
                  <c:v>47.2</c:v>
                </c:pt>
                <c:pt idx="15">
                  <c:v>47.3</c:v>
                </c:pt>
                <c:pt idx="16">
                  <c:v>47.4</c:v>
                </c:pt>
                <c:pt idx="17">
                  <c:v>47.6</c:v>
                </c:pt>
                <c:pt idx="18">
                  <c:v>47.8</c:v>
                </c:pt>
              </c:numCache>
            </c:numRef>
          </c:val>
          <c:smooth val="0"/>
          <c:extLst>
            <c:ext xmlns:c16="http://schemas.microsoft.com/office/drawing/2014/chart" uri="{C3380CC4-5D6E-409C-BE32-E72D297353CC}">
              <c16:uniqueId val="{0000000A-3D6F-4C32-B452-72514513C141}"/>
            </c:ext>
          </c:extLst>
        </c:ser>
        <c:ser>
          <c:idx val="11"/>
          <c:order val="11"/>
          <c:tx>
            <c:strRef>
              <c:f>'Gini Solt'!$A$13</c:f>
              <c:strCache>
                <c:ptCount val="1"/>
                <c:pt idx="0">
                  <c:v>Norway</c:v>
                </c:pt>
              </c:strCache>
            </c:strRef>
          </c:tx>
          <c:spPr>
            <a:ln w="28575" cap="rnd">
              <a:solidFill>
                <a:schemeClr val="accent6">
                  <a:lumMod val="6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Solt'!$B$13:$T$13</c:f>
              <c:numCache>
                <c:formatCode>General</c:formatCode>
                <c:ptCount val="19"/>
                <c:pt idx="0">
                  <c:v>26</c:v>
                </c:pt>
                <c:pt idx="1">
                  <c:v>26.1</c:v>
                </c:pt>
                <c:pt idx="2">
                  <c:v>26.1</c:v>
                </c:pt>
                <c:pt idx="3">
                  <c:v>26.1</c:v>
                </c:pt>
                <c:pt idx="4">
                  <c:v>25.8</c:v>
                </c:pt>
                <c:pt idx="5">
                  <c:v>25.5</c:v>
                </c:pt>
                <c:pt idx="6">
                  <c:v>25.1</c:v>
                </c:pt>
                <c:pt idx="7">
                  <c:v>24.5</c:v>
                </c:pt>
                <c:pt idx="8">
                  <c:v>23.9</c:v>
                </c:pt>
                <c:pt idx="9">
                  <c:v>23.3</c:v>
                </c:pt>
                <c:pt idx="10">
                  <c:v>23.6</c:v>
                </c:pt>
                <c:pt idx="11">
                  <c:v>23.8</c:v>
                </c:pt>
                <c:pt idx="12">
                  <c:v>24.2</c:v>
                </c:pt>
                <c:pt idx="13">
                  <c:v>23.8</c:v>
                </c:pt>
                <c:pt idx="14">
                  <c:v>23.6</c:v>
                </c:pt>
                <c:pt idx="15">
                  <c:v>23.2</c:v>
                </c:pt>
                <c:pt idx="16">
                  <c:v>22.9</c:v>
                </c:pt>
                <c:pt idx="17">
                  <c:v>22.1</c:v>
                </c:pt>
                <c:pt idx="18">
                  <c:v>21.8</c:v>
                </c:pt>
              </c:numCache>
            </c:numRef>
          </c:val>
          <c:smooth val="0"/>
          <c:extLst>
            <c:ext xmlns:c16="http://schemas.microsoft.com/office/drawing/2014/chart" uri="{C3380CC4-5D6E-409C-BE32-E72D297353CC}">
              <c16:uniqueId val="{0000000B-3D6F-4C32-B452-72514513C141}"/>
            </c:ext>
          </c:extLst>
        </c:ser>
        <c:ser>
          <c:idx val="12"/>
          <c:order val="12"/>
          <c:tx>
            <c:strRef>
              <c:f>'Gini Solt'!$A$14</c:f>
              <c:strCache>
                <c:ptCount val="1"/>
                <c:pt idx="0">
                  <c:v>Pakistan</c:v>
                </c:pt>
              </c:strCache>
            </c:strRef>
          </c:tx>
          <c:spPr>
            <a:ln w="28575" cap="rnd">
              <a:solidFill>
                <a:schemeClr val="accent1">
                  <a:lumMod val="80000"/>
                  <a:lumOff val="2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Solt'!$B$14:$T$14</c:f>
              <c:numCache>
                <c:formatCode>General</c:formatCode>
                <c:ptCount val="19"/>
                <c:pt idx="0">
                  <c:v>33.4</c:v>
                </c:pt>
                <c:pt idx="1">
                  <c:v>33.299999999999997</c:v>
                </c:pt>
                <c:pt idx="2">
                  <c:v>33.4</c:v>
                </c:pt>
                <c:pt idx="3">
                  <c:v>33.5</c:v>
                </c:pt>
                <c:pt idx="4">
                  <c:v>33.5</c:v>
                </c:pt>
                <c:pt idx="5">
                  <c:v>33.6</c:v>
                </c:pt>
                <c:pt idx="6">
                  <c:v>33.700000000000003</c:v>
                </c:pt>
                <c:pt idx="7">
                  <c:v>33.799999999999997</c:v>
                </c:pt>
                <c:pt idx="8">
                  <c:v>33.9</c:v>
                </c:pt>
                <c:pt idx="9">
                  <c:v>34</c:v>
                </c:pt>
                <c:pt idx="10">
                  <c:v>34.1</c:v>
                </c:pt>
                <c:pt idx="11">
                  <c:v>34.1</c:v>
                </c:pt>
                <c:pt idx="12">
                  <c:v>34.1</c:v>
                </c:pt>
                <c:pt idx="13">
                  <c:v>34.200000000000003</c:v>
                </c:pt>
                <c:pt idx="14">
                  <c:v>34.200000000000003</c:v>
                </c:pt>
                <c:pt idx="15">
                  <c:v>34.200000000000003</c:v>
                </c:pt>
                <c:pt idx="16">
                  <c:v>34.200000000000003</c:v>
                </c:pt>
                <c:pt idx="17">
                  <c:v>34.200000000000003</c:v>
                </c:pt>
                <c:pt idx="18">
                  <c:v>34.200000000000003</c:v>
                </c:pt>
              </c:numCache>
            </c:numRef>
          </c:val>
          <c:smooth val="0"/>
          <c:extLst>
            <c:ext xmlns:c16="http://schemas.microsoft.com/office/drawing/2014/chart" uri="{C3380CC4-5D6E-409C-BE32-E72D297353CC}">
              <c16:uniqueId val="{0000000C-3D6F-4C32-B452-72514513C141}"/>
            </c:ext>
          </c:extLst>
        </c:ser>
        <c:ser>
          <c:idx val="13"/>
          <c:order val="13"/>
          <c:tx>
            <c:strRef>
              <c:f>'Gini Solt'!$A$15</c:f>
              <c:strCache>
                <c:ptCount val="1"/>
                <c:pt idx="0">
                  <c:v>Puerto Rico</c:v>
                </c:pt>
              </c:strCache>
            </c:strRef>
          </c:tx>
          <c:spPr>
            <a:ln w="28575" cap="rnd">
              <a:solidFill>
                <a:schemeClr val="accent2">
                  <a:lumMod val="80000"/>
                  <a:lumOff val="2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Solt'!$B$15:$T$15</c:f>
              <c:numCache>
                <c:formatCode>General</c:formatCode>
                <c:ptCount val="19"/>
                <c:pt idx="0">
                  <c:v>47.4</c:v>
                </c:pt>
                <c:pt idx="1">
                  <c:v>47.5</c:v>
                </c:pt>
                <c:pt idx="2">
                  <c:v>47.6</c:v>
                </c:pt>
                <c:pt idx="3">
                  <c:v>47.6</c:v>
                </c:pt>
                <c:pt idx="4">
                  <c:v>47.7</c:v>
                </c:pt>
                <c:pt idx="5">
                  <c:v>47.8</c:v>
                </c:pt>
                <c:pt idx="6">
                  <c:v>47.9</c:v>
                </c:pt>
                <c:pt idx="7">
                  <c:v>47.9</c:v>
                </c:pt>
                <c:pt idx="8">
                  <c:v>48</c:v>
                </c:pt>
                <c:pt idx="9">
                  <c:v>48.1</c:v>
                </c:pt>
                <c:pt idx="10">
                  <c:v>48.2</c:v>
                </c:pt>
                <c:pt idx="11">
                  <c:v>48.3</c:v>
                </c:pt>
                <c:pt idx="12">
                  <c:v>48.3</c:v>
                </c:pt>
                <c:pt idx="13">
                  <c:v>48.4</c:v>
                </c:pt>
                <c:pt idx="14">
                  <c:v>48.5</c:v>
                </c:pt>
                <c:pt idx="15">
                  <c:v>48.5</c:v>
                </c:pt>
                <c:pt idx="16">
                  <c:v>48.6</c:v>
                </c:pt>
                <c:pt idx="17">
                  <c:v>48.7</c:v>
                </c:pt>
                <c:pt idx="18">
                  <c:v>48.8</c:v>
                </c:pt>
              </c:numCache>
            </c:numRef>
          </c:val>
          <c:smooth val="0"/>
          <c:extLst>
            <c:ext xmlns:c16="http://schemas.microsoft.com/office/drawing/2014/chart" uri="{C3380CC4-5D6E-409C-BE32-E72D297353CC}">
              <c16:uniqueId val="{0000000D-3D6F-4C32-B452-72514513C141}"/>
            </c:ext>
          </c:extLst>
        </c:ser>
        <c:ser>
          <c:idx val="14"/>
          <c:order val="14"/>
          <c:tx>
            <c:strRef>
              <c:f>'Gini Solt'!$A$16</c:f>
              <c:strCache>
                <c:ptCount val="1"/>
                <c:pt idx="0">
                  <c:v>Republic of Korea</c:v>
                </c:pt>
              </c:strCache>
            </c:strRef>
          </c:tx>
          <c:spPr>
            <a:ln w="28575" cap="rnd">
              <a:solidFill>
                <a:schemeClr val="accent3">
                  <a:lumMod val="80000"/>
                  <a:lumOff val="2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Solt'!$B$16:$T$16</c:f>
              <c:numCache>
                <c:formatCode>General</c:formatCode>
                <c:ptCount val="19"/>
                <c:pt idx="0">
                  <c:v>30.2</c:v>
                </c:pt>
                <c:pt idx="1">
                  <c:v>30.3</c:v>
                </c:pt>
                <c:pt idx="2">
                  <c:v>30.4</c:v>
                </c:pt>
                <c:pt idx="3">
                  <c:v>30.6</c:v>
                </c:pt>
                <c:pt idx="4">
                  <c:v>30.7</c:v>
                </c:pt>
                <c:pt idx="5">
                  <c:v>30.8</c:v>
                </c:pt>
                <c:pt idx="6">
                  <c:v>30.9</c:v>
                </c:pt>
                <c:pt idx="7">
                  <c:v>31</c:v>
                </c:pt>
                <c:pt idx="8">
                  <c:v>31</c:v>
                </c:pt>
                <c:pt idx="9">
                  <c:v>31.1</c:v>
                </c:pt>
                <c:pt idx="10">
                  <c:v>31.1</c:v>
                </c:pt>
                <c:pt idx="11">
                  <c:v>31.1</c:v>
                </c:pt>
                <c:pt idx="12">
                  <c:v>31</c:v>
                </c:pt>
                <c:pt idx="13">
                  <c:v>30.9</c:v>
                </c:pt>
                <c:pt idx="14">
                  <c:v>30.9</c:v>
                </c:pt>
                <c:pt idx="15">
                  <c:v>30.8</c:v>
                </c:pt>
                <c:pt idx="16">
                  <c:v>30.7</c:v>
                </c:pt>
                <c:pt idx="17">
                  <c:v>30.6</c:v>
                </c:pt>
                <c:pt idx="18">
                  <c:v>30.4</c:v>
                </c:pt>
              </c:numCache>
            </c:numRef>
          </c:val>
          <c:smooth val="0"/>
          <c:extLst>
            <c:ext xmlns:c16="http://schemas.microsoft.com/office/drawing/2014/chart" uri="{C3380CC4-5D6E-409C-BE32-E72D297353CC}">
              <c16:uniqueId val="{0000000E-3D6F-4C32-B452-72514513C141}"/>
            </c:ext>
          </c:extLst>
        </c:ser>
        <c:ser>
          <c:idx val="15"/>
          <c:order val="15"/>
          <c:tx>
            <c:strRef>
              <c:f>'Gini Solt'!$A$17</c:f>
              <c:strCache>
                <c:ptCount val="1"/>
                <c:pt idx="0">
                  <c:v>Sri Lanka</c:v>
                </c:pt>
              </c:strCache>
            </c:strRef>
          </c:tx>
          <c:spPr>
            <a:ln w="28575" cap="rnd">
              <a:solidFill>
                <a:schemeClr val="accent4">
                  <a:lumMod val="80000"/>
                  <a:lumOff val="2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Solt'!$B$17:$T$17</c:f>
              <c:numCache>
                <c:formatCode>General</c:formatCode>
                <c:ptCount val="19"/>
                <c:pt idx="0">
                  <c:v>38.299999999999997</c:v>
                </c:pt>
                <c:pt idx="1">
                  <c:v>38.5</c:v>
                </c:pt>
                <c:pt idx="2">
                  <c:v>38.700000000000003</c:v>
                </c:pt>
                <c:pt idx="3">
                  <c:v>38.799999999999997</c:v>
                </c:pt>
                <c:pt idx="4">
                  <c:v>39.1</c:v>
                </c:pt>
                <c:pt idx="5">
                  <c:v>39.299999999999997</c:v>
                </c:pt>
                <c:pt idx="6">
                  <c:v>39.6</c:v>
                </c:pt>
                <c:pt idx="7">
                  <c:v>39.9</c:v>
                </c:pt>
                <c:pt idx="8">
                  <c:v>40.1</c:v>
                </c:pt>
                <c:pt idx="9">
                  <c:v>40.4</c:v>
                </c:pt>
                <c:pt idx="10">
                  <c:v>40.700000000000003</c:v>
                </c:pt>
                <c:pt idx="11">
                  <c:v>41</c:v>
                </c:pt>
                <c:pt idx="12">
                  <c:v>41.2</c:v>
                </c:pt>
                <c:pt idx="13">
                  <c:v>41.5</c:v>
                </c:pt>
                <c:pt idx="14">
                  <c:v>41.7</c:v>
                </c:pt>
                <c:pt idx="15">
                  <c:v>41.9</c:v>
                </c:pt>
                <c:pt idx="16">
                  <c:v>42.1</c:v>
                </c:pt>
                <c:pt idx="17">
                  <c:v>42.4</c:v>
                </c:pt>
                <c:pt idx="18">
                  <c:v>42.6</c:v>
                </c:pt>
              </c:numCache>
            </c:numRef>
          </c:val>
          <c:smooth val="0"/>
          <c:extLst>
            <c:ext xmlns:c16="http://schemas.microsoft.com/office/drawing/2014/chart" uri="{C3380CC4-5D6E-409C-BE32-E72D297353CC}">
              <c16:uniqueId val="{0000000F-3D6F-4C32-B452-72514513C141}"/>
            </c:ext>
          </c:extLst>
        </c:ser>
        <c:ser>
          <c:idx val="16"/>
          <c:order val="16"/>
          <c:tx>
            <c:strRef>
              <c:f>'Gini Solt'!$A$18</c:f>
              <c:strCache>
                <c:ptCount val="1"/>
                <c:pt idx="0">
                  <c:v>Sudan</c:v>
                </c:pt>
              </c:strCache>
            </c:strRef>
          </c:tx>
          <c:spPr>
            <a:ln w="28575" cap="rnd">
              <a:solidFill>
                <a:schemeClr val="accent5">
                  <a:lumMod val="80000"/>
                  <a:lumOff val="2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Solt'!$B$18:$T$18</c:f>
              <c:numCache>
                <c:formatCode>General</c:formatCode>
                <c:ptCount val="19"/>
                <c:pt idx="0">
                  <c:v>40.299999999999997</c:v>
                </c:pt>
                <c:pt idx="1">
                  <c:v>40.299999999999997</c:v>
                </c:pt>
                <c:pt idx="2">
                  <c:v>40.4</c:v>
                </c:pt>
                <c:pt idx="3">
                  <c:v>40.299999999999997</c:v>
                </c:pt>
                <c:pt idx="4">
                  <c:v>40.4</c:v>
                </c:pt>
                <c:pt idx="5">
                  <c:v>40.4</c:v>
                </c:pt>
                <c:pt idx="6">
                  <c:v>40.4</c:v>
                </c:pt>
                <c:pt idx="7">
                  <c:v>40.4</c:v>
                </c:pt>
                <c:pt idx="8">
                  <c:v>40.4</c:v>
                </c:pt>
                <c:pt idx="9">
                  <c:v>40.299999999999997</c:v>
                </c:pt>
                <c:pt idx="10">
                  <c:v>40.299999999999997</c:v>
                </c:pt>
                <c:pt idx="11">
                  <c:v>40.299999999999997</c:v>
                </c:pt>
                <c:pt idx="12">
                  <c:v>40.4</c:v>
                </c:pt>
                <c:pt idx="13">
                  <c:v>40.4</c:v>
                </c:pt>
                <c:pt idx="14">
                  <c:v>40.4</c:v>
                </c:pt>
                <c:pt idx="15">
                  <c:v>40.4</c:v>
                </c:pt>
                <c:pt idx="16">
                  <c:v>40.4</c:v>
                </c:pt>
                <c:pt idx="17">
                  <c:v>40.4</c:v>
                </c:pt>
                <c:pt idx="18">
                  <c:v>40.4</c:v>
                </c:pt>
              </c:numCache>
            </c:numRef>
          </c:val>
          <c:smooth val="0"/>
          <c:extLst>
            <c:ext xmlns:c16="http://schemas.microsoft.com/office/drawing/2014/chart" uri="{C3380CC4-5D6E-409C-BE32-E72D297353CC}">
              <c16:uniqueId val="{00000010-3D6F-4C32-B452-72514513C141}"/>
            </c:ext>
          </c:extLst>
        </c:ser>
        <c:ser>
          <c:idx val="17"/>
          <c:order val="17"/>
          <c:tx>
            <c:strRef>
              <c:f>'Gini Solt'!$A$19</c:f>
              <c:strCache>
                <c:ptCount val="1"/>
                <c:pt idx="0">
                  <c:v>Thailand</c:v>
                </c:pt>
              </c:strCache>
            </c:strRef>
          </c:tx>
          <c:spPr>
            <a:ln w="28575" cap="rnd">
              <a:solidFill>
                <a:schemeClr val="accent6">
                  <a:lumMod val="80000"/>
                  <a:lumOff val="2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Solt'!$B$19:$T$19</c:f>
              <c:numCache>
                <c:formatCode>General</c:formatCode>
                <c:ptCount val="19"/>
                <c:pt idx="0">
                  <c:v>41.9</c:v>
                </c:pt>
                <c:pt idx="1">
                  <c:v>42</c:v>
                </c:pt>
                <c:pt idx="2">
                  <c:v>42.1</c:v>
                </c:pt>
                <c:pt idx="3">
                  <c:v>42.1</c:v>
                </c:pt>
                <c:pt idx="4">
                  <c:v>42.2</c:v>
                </c:pt>
                <c:pt idx="5">
                  <c:v>42.3</c:v>
                </c:pt>
                <c:pt idx="6">
                  <c:v>42.5</c:v>
                </c:pt>
                <c:pt idx="7">
                  <c:v>42.6</c:v>
                </c:pt>
                <c:pt idx="8">
                  <c:v>42.8</c:v>
                </c:pt>
                <c:pt idx="9">
                  <c:v>42.9</c:v>
                </c:pt>
                <c:pt idx="10">
                  <c:v>43.1</c:v>
                </c:pt>
                <c:pt idx="11">
                  <c:v>43.3</c:v>
                </c:pt>
                <c:pt idx="12">
                  <c:v>43.4</c:v>
                </c:pt>
                <c:pt idx="13">
                  <c:v>43.6</c:v>
                </c:pt>
                <c:pt idx="14">
                  <c:v>43.8</c:v>
                </c:pt>
                <c:pt idx="15">
                  <c:v>43.9</c:v>
                </c:pt>
                <c:pt idx="16">
                  <c:v>44.1</c:v>
                </c:pt>
                <c:pt idx="17">
                  <c:v>44.2</c:v>
                </c:pt>
                <c:pt idx="18">
                  <c:v>44.3</c:v>
                </c:pt>
              </c:numCache>
            </c:numRef>
          </c:val>
          <c:smooth val="0"/>
          <c:extLst>
            <c:ext xmlns:c16="http://schemas.microsoft.com/office/drawing/2014/chart" uri="{C3380CC4-5D6E-409C-BE32-E72D297353CC}">
              <c16:uniqueId val="{00000011-3D6F-4C32-B452-72514513C141}"/>
            </c:ext>
          </c:extLst>
        </c:ser>
        <c:ser>
          <c:idx val="18"/>
          <c:order val="18"/>
          <c:tx>
            <c:strRef>
              <c:f>'Gini Solt'!$A$20</c:f>
              <c:strCache>
                <c:ptCount val="1"/>
                <c:pt idx="0">
                  <c:v>Venezuela</c:v>
                </c:pt>
              </c:strCache>
            </c:strRef>
          </c:tx>
          <c:spPr>
            <a:ln w="28575" cap="rnd">
              <a:solidFill>
                <a:schemeClr val="accent1">
                  <a:lumMod val="80000"/>
                </a:schemeClr>
              </a:solidFill>
              <a:round/>
            </a:ln>
            <a:effectLst/>
          </c:spPr>
          <c:marker>
            <c:symbol val="none"/>
          </c:marker>
          <c:cat>
            <c:numRef>
              <c:f>'Gini Solt'!$B$1:$T$1</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'Gini Solt'!$B$20:$T$20</c:f>
              <c:numCache>
                <c:formatCode>General</c:formatCode>
                <c:ptCount val="19"/>
                <c:pt idx="0">
                  <c:v>41.2</c:v>
                </c:pt>
                <c:pt idx="1">
                  <c:v>41.2</c:v>
                </c:pt>
                <c:pt idx="2">
                  <c:v>41</c:v>
                </c:pt>
                <c:pt idx="3">
                  <c:v>40.9</c:v>
                </c:pt>
                <c:pt idx="4">
                  <c:v>40.799999999999997</c:v>
                </c:pt>
                <c:pt idx="5">
                  <c:v>40.700000000000003</c:v>
                </c:pt>
                <c:pt idx="6">
                  <c:v>40.6</c:v>
                </c:pt>
                <c:pt idx="7">
                  <c:v>40.4</c:v>
                </c:pt>
                <c:pt idx="8">
                  <c:v>40.299999999999997</c:v>
                </c:pt>
                <c:pt idx="9">
                  <c:v>40.1</c:v>
                </c:pt>
                <c:pt idx="10">
                  <c:v>40</c:v>
                </c:pt>
                <c:pt idx="11">
                  <c:v>39.9</c:v>
                </c:pt>
                <c:pt idx="12">
                  <c:v>39.799999999999997</c:v>
                </c:pt>
                <c:pt idx="13">
                  <c:v>39.799999999999997</c:v>
                </c:pt>
                <c:pt idx="14">
                  <c:v>40</c:v>
                </c:pt>
                <c:pt idx="15">
                  <c:v>40.1</c:v>
                </c:pt>
                <c:pt idx="16">
                  <c:v>40.200000000000003</c:v>
                </c:pt>
                <c:pt idx="17">
                  <c:v>40.200000000000003</c:v>
                </c:pt>
                <c:pt idx="18">
                  <c:v>40.1</c:v>
                </c:pt>
              </c:numCache>
            </c:numRef>
          </c:val>
          <c:smooth val="0"/>
          <c:extLst>
            <c:ext xmlns:c16="http://schemas.microsoft.com/office/drawing/2014/chart" uri="{C3380CC4-5D6E-409C-BE32-E72D297353CC}">
              <c16:uniqueId val="{00000012-3D6F-4C32-B452-72514513C141}"/>
            </c:ext>
          </c:extLst>
        </c:ser>
        <c:dLbls>
          <c:showLegendKey val="0"/>
          <c:showVal val="0"/>
          <c:showCatName val="0"/>
          <c:showSerName val="0"/>
          <c:showPercent val="0"/>
          <c:showBubbleSize val="0"/>
        </c:dLbls>
        <c:smooth val="0"/>
        <c:axId val="1583190640"/>
        <c:axId val="1583182768"/>
      </c:lineChart>
      <c:catAx>
        <c:axId val="158319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1583182768"/>
        <c:crosses val="autoZero"/>
        <c:auto val="1"/>
        <c:lblAlgn val="ctr"/>
        <c:lblOffset val="100"/>
        <c:noMultiLvlLbl val="0"/>
      </c:catAx>
      <c:valAx>
        <c:axId val="158318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crossAx val="158319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de-DE" sz="1200">
                <a:solidFill>
                  <a:sysClr val="windowText" lastClr="000000"/>
                </a:solidFill>
              </a:rPr>
              <a:t>SWIID- Gini Disposable Income </a:t>
            </a:r>
            <a:r>
              <a:rPr lang="de-DE" sz="1200" b="0" i="0" baseline="0">
                <a:effectLst/>
              </a:rPr>
              <a:t>for Iran and countries with non-zero weights in the main SCM analysis</a:t>
            </a:r>
            <a:endParaRPr lang="de-DE">
              <a:solidFill>
                <a:sysClr val="windowText" lastClr="000000"/>
              </a:solidFill>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lineChart>
        <c:grouping val="standard"/>
        <c:varyColors val="0"/>
        <c:ser>
          <c:idx val="0"/>
          <c:order val="0"/>
          <c:tx>
            <c:strRef>
              <c:f>Tabelle1!$A$8</c:f>
              <c:strCache>
                <c:ptCount val="1"/>
                <c:pt idx="0">
                  <c:v>Brazil</c:v>
                </c:pt>
              </c:strCache>
            </c:strRef>
          </c:tx>
          <c:spPr>
            <a:ln w="28575" cap="rnd">
              <a:solidFill>
                <a:schemeClr val="accent1"/>
              </a:solidFill>
              <a:round/>
            </a:ln>
            <a:effectLst/>
          </c:spPr>
          <c:marker>
            <c:symbol val="none"/>
          </c:marker>
          <c:cat>
            <c:numRef>
              <c:f>Tabelle1!$B$7:$T$7</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Tabelle1!$B$8:$T$8</c:f>
              <c:numCache>
                <c:formatCode>General</c:formatCode>
                <c:ptCount val="19"/>
                <c:pt idx="0">
                  <c:v>50.6</c:v>
                </c:pt>
                <c:pt idx="1">
                  <c:v>50.6</c:v>
                </c:pt>
                <c:pt idx="2">
                  <c:v>50.5</c:v>
                </c:pt>
                <c:pt idx="3">
                  <c:v>50.6</c:v>
                </c:pt>
                <c:pt idx="4">
                  <c:v>50.6</c:v>
                </c:pt>
                <c:pt idx="5">
                  <c:v>51.1</c:v>
                </c:pt>
                <c:pt idx="6">
                  <c:v>51.5</c:v>
                </c:pt>
                <c:pt idx="7">
                  <c:v>51.7</c:v>
                </c:pt>
                <c:pt idx="8">
                  <c:v>51.8</c:v>
                </c:pt>
                <c:pt idx="9">
                  <c:v>51.9</c:v>
                </c:pt>
                <c:pt idx="10">
                  <c:v>52</c:v>
                </c:pt>
                <c:pt idx="11">
                  <c:v>52.1</c:v>
                </c:pt>
                <c:pt idx="12">
                  <c:v>52.3</c:v>
                </c:pt>
                <c:pt idx="13">
                  <c:v>52.3</c:v>
                </c:pt>
                <c:pt idx="14">
                  <c:v>52.3</c:v>
                </c:pt>
                <c:pt idx="15">
                  <c:v>52.2</c:v>
                </c:pt>
                <c:pt idx="16">
                  <c:v>52.9</c:v>
                </c:pt>
                <c:pt idx="17">
                  <c:v>53.6</c:v>
                </c:pt>
                <c:pt idx="18">
                  <c:v>54.5</c:v>
                </c:pt>
              </c:numCache>
            </c:numRef>
          </c:val>
          <c:smooth val="0"/>
          <c:extLst>
            <c:ext xmlns:c16="http://schemas.microsoft.com/office/drawing/2014/chart" uri="{C3380CC4-5D6E-409C-BE32-E72D297353CC}">
              <c16:uniqueId val="{00000000-0D56-4841-A391-D8D6E48575A0}"/>
            </c:ext>
          </c:extLst>
        </c:ser>
        <c:ser>
          <c:idx val="1"/>
          <c:order val="1"/>
          <c:tx>
            <c:strRef>
              <c:f>Tabelle1!$A$9</c:f>
              <c:strCache>
                <c:ptCount val="1"/>
                <c:pt idx="0">
                  <c:v>Chile</c:v>
                </c:pt>
              </c:strCache>
            </c:strRef>
          </c:tx>
          <c:spPr>
            <a:ln w="28575" cap="sq">
              <a:solidFill>
                <a:schemeClr val="accent2"/>
              </a:solidFill>
              <a:prstDash val="lgDashDotDot"/>
              <a:round/>
            </a:ln>
            <a:effectLst/>
          </c:spPr>
          <c:marker>
            <c:symbol val="none"/>
          </c:marker>
          <c:cat>
            <c:numRef>
              <c:f>Tabelle1!$B$7:$T$7</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Tabelle1!$B$9:$T$9</c:f>
              <c:numCache>
                <c:formatCode>General</c:formatCode>
                <c:ptCount val="19"/>
                <c:pt idx="0">
                  <c:v>45.7</c:v>
                </c:pt>
                <c:pt idx="1">
                  <c:v>45.8</c:v>
                </c:pt>
                <c:pt idx="2">
                  <c:v>46</c:v>
                </c:pt>
                <c:pt idx="3">
                  <c:v>46.1</c:v>
                </c:pt>
                <c:pt idx="4">
                  <c:v>46.3</c:v>
                </c:pt>
                <c:pt idx="5">
                  <c:v>46.4</c:v>
                </c:pt>
                <c:pt idx="6">
                  <c:v>46.6</c:v>
                </c:pt>
                <c:pt idx="7">
                  <c:v>46.7</c:v>
                </c:pt>
                <c:pt idx="8">
                  <c:v>46.9</c:v>
                </c:pt>
                <c:pt idx="9">
                  <c:v>47</c:v>
                </c:pt>
                <c:pt idx="10">
                  <c:v>47.2</c:v>
                </c:pt>
                <c:pt idx="11">
                  <c:v>47.4</c:v>
                </c:pt>
                <c:pt idx="12">
                  <c:v>47.5</c:v>
                </c:pt>
                <c:pt idx="13">
                  <c:v>47.7</c:v>
                </c:pt>
                <c:pt idx="14">
                  <c:v>48.1</c:v>
                </c:pt>
                <c:pt idx="15">
                  <c:v>48.4</c:v>
                </c:pt>
                <c:pt idx="16">
                  <c:v>49.2</c:v>
                </c:pt>
                <c:pt idx="17">
                  <c:v>50</c:v>
                </c:pt>
                <c:pt idx="18">
                  <c:v>50.2</c:v>
                </c:pt>
              </c:numCache>
            </c:numRef>
          </c:val>
          <c:smooth val="0"/>
          <c:extLst>
            <c:ext xmlns:c16="http://schemas.microsoft.com/office/drawing/2014/chart" uri="{C3380CC4-5D6E-409C-BE32-E72D297353CC}">
              <c16:uniqueId val="{00000001-0D56-4841-A391-D8D6E48575A0}"/>
            </c:ext>
          </c:extLst>
        </c:ser>
        <c:ser>
          <c:idx val="2"/>
          <c:order val="2"/>
          <c:tx>
            <c:strRef>
              <c:f>Tabelle1!$A$10</c:f>
              <c:strCache>
                <c:ptCount val="1"/>
                <c:pt idx="0">
                  <c:v>Iran</c:v>
                </c:pt>
              </c:strCache>
            </c:strRef>
          </c:tx>
          <c:spPr>
            <a:ln w="28575" cap="rnd">
              <a:solidFill>
                <a:schemeClr val="tx1"/>
              </a:solidFill>
              <a:prstDash val="dash"/>
              <a:round/>
            </a:ln>
            <a:effectLst/>
          </c:spPr>
          <c:marker>
            <c:symbol val="none"/>
          </c:marker>
          <c:cat>
            <c:numRef>
              <c:f>Tabelle1!$B$7:$T$7</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Tabelle1!$B$10:$T$10</c:f>
              <c:numCache>
                <c:formatCode>General</c:formatCode>
                <c:ptCount val="19"/>
                <c:pt idx="0">
                  <c:v>45</c:v>
                </c:pt>
                <c:pt idx="1">
                  <c:v>45.1</c:v>
                </c:pt>
                <c:pt idx="2">
                  <c:v>45.3</c:v>
                </c:pt>
                <c:pt idx="3">
                  <c:v>45.5</c:v>
                </c:pt>
                <c:pt idx="4">
                  <c:v>45.7</c:v>
                </c:pt>
                <c:pt idx="5">
                  <c:v>45.9</c:v>
                </c:pt>
                <c:pt idx="6">
                  <c:v>46</c:v>
                </c:pt>
                <c:pt idx="7">
                  <c:v>46.1</c:v>
                </c:pt>
                <c:pt idx="8">
                  <c:v>46.3</c:v>
                </c:pt>
                <c:pt idx="9">
                  <c:v>46.3</c:v>
                </c:pt>
                <c:pt idx="10">
                  <c:v>46.1</c:v>
                </c:pt>
                <c:pt idx="11">
                  <c:v>45.8</c:v>
                </c:pt>
                <c:pt idx="12">
                  <c:v>45.4</c:v>
                </c:pt>
                <c:pt idx="13">
                  <c:v>45</c:v>
                </c:pt>
                <c:pt idx="14">
                  <c:v>44.7</c:v>
                </c:pt>
                <c:pt idx="15">
                  <c:v>44.5</c:v>
                </c:pt>
                <c:pt idx="16">
                  <c:v>44.2</c:v>
                </c:pt>
                <c:pt idx="17">
                  <c:v>43.9</c:v>
                </c:pt>
                <c:pt idx="18">
                  <c:v>43.6</c:v>
                </c:pt>
              </c:numCache>
            </c:numRef>
          </c:val>
          <c:smooth val="0"/>
          <c:extLst>
            <c:ext xmlns:c16="http://schemas.microsoft.com/office/drawing/2014/chart" uri="{C3380CC4-5D6E-409C-BE32-E72D297353CC}">
              <c16:uniqueId val="{00000002-0D56-4841-A391-D8D6E48575A0}"/>
            </c:ext>
          </c:extLst>
        </c:ser>
        <c:ser>
          <c:idx val="3"/>
          <c:order val="3"/>
          <c:tx>
            <c:strRef>
              <c:f>Tabelle1!$A$11</c:f>
              <c:strCache>
                <c:ptCount val="1"/>
                <c:pt idx="0">
                  <c:v>Sri Lanka</c:v>
                </c:pt>
              </c:strCache>
            </c:strRef>
          </c:tx>
          <c:spPr>
            <a:ln w="28575" cap="rnd">
              <a:solidFill>
                <a:schemeClr val="accent4"/>
              </a:solidFill>
              <a:round/>
            </a:ln>
            <a:effectLst/>
          </c:spPr>
          <c:marker>
            <c:symbol val="none"/>
          </c:marker>
          <c:cat>
            <c:numRef>
              <c:f>Tabelle1!$B$7:$T$7</c:f>
              <c:numCache>
                <c:formatCode>General</c:formatCode>
                <c:ptCount val="19"/>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numCache>
            </c:numRef>
          </c:cat>
          <c:val>
            <c:numRef>
              <c:f>Tabelle1!$B$11:$T$11</c:f>
              <c:numCache>
                <c:formatCode>General</c:formatCode>
                <c:ptCount val="19"/>
                <c:pt idx="0">
                  <c:v>38.299999999999997</c:v>
                </c:pt>
                <c:pt idx="1">
                  <c:v>38.5</c:v>
                </c:pt>
                <c:pt idx="2">
                  <c:v>38.700000000000003</c:v>
                </c:pt>
                <c:pt idx="3">
                  <c:v>38.799999999999997</c:v>
                </c:pt>
                <c:pt idx="4">
                  <c:v>39.1</c:v>
                </c:pt>
                <c:pt idx="5">
                  <c:v>39.299999999999997</c:v>
                </c:pt>
                <c:pt idx="6">
                  <c:v>39.6</c:v>
                </c:pt>
                <c:pt idx="7">
                  <c:v>39.9</c:v>
                </c:pt>
                <c:pt idx="8">
                  <c:v>40.1</c:v>
                </c:pt>
                <c:pt idx="9">
                  <c:v>40.4</c:v>
                </c:pt>
                <c:pt idx="10">
                  <c:v>40.700000000000003</c:v>
                </c:pt>
                <c:pt idx="11">
                  <c:v>41</c:v>
                </c:pt>
                <c:pt idx="12">
                  <c:v>41.2</c:v>
                </c:pt>
                <c:pt idx="13">
                  <c:v>41.5</c:v>
                </c:pt>
                <c:pt idx="14">
                  <c:v>41.7</c:v>
                </c:pt>
                <c:pt idx="15">
                  <c:v>41.9</c:v>
                </c:pt>
                <c:pt idx="16">
                  <c:v>42.1</c:v>
                </c:pt>
                <c:pt idx="17">
                  <c:v>42.4</c:v>
                </c:pt>
                <c:pt idx="18">
                  <c:v>42.6</c:v>
                </c:pt>
              </c:numCache>
            </c:numRef>
          </c:val>
          <c:smooth val="0"/>
          <c:extLst>
            <c:ext xmlns:c16="http://schemas.microsoft.com/office/drawing/2014/chart" uri="{C3380CC4-5D6E-409C-BE32-E72D297353CC}">
              <c16:uniqueId val="{00000003-0D56-4841-A391-D8D6E48575A0}"/>
            </c:ext>
          </c:extLst>
        </c:ser>
        <c:dLbls>
          <c:showLegendKey val="0"/>
          <c:showVal val="0"/>
          <c:showCatName val="0"/>
          <c:showSerName val="0"/>
          <c:showPercent val="0"/>
          <c:showBubbleSize val="0"/>
        </c:dLbls>
        <c:smooth val="0"/>
        <c:axId val="428036400"/>
        <c:axId val="428048208"/>
      </c:lineChart>
      <c:catAx>
        <c:axId val="42803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428048208"/>
        <c:crosses val="autoZero"/>
        <c:auto val="1"/>
        <c:lblAlgn val="ctr"/>
        <c:lblOffset val="100"/>
        <c:noMultiLvlLbl val="0"/>
      </c:catAx>
      <c:valAx>
        <c:axId val="428048208"/>
        <c:scaling>
          <c:orientation val="minMax"/>
          <c:min val="0"/>
        </c:scaling>
        <c:delete val="0"/>
        <c:axPos val="l"/>
        <c:majorGridlines>
          <c:spPr>
            <a:ln w="9525" cap="flat" cmpd="sng" algn="ctr">
              <a:solidFill>
                <a:schemeClr val="tx1">
                  <a:lumMod val="15000"/>
                  <a:lumOff val="85000"/>
                </a:schemeClr>
              </a:solidFill>
              <a:prstDash val="lgDash"/>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crossAx val="428036400"/>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21</Pages>
  <Words>3478</Words>
  <Characters>21917</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mfn</dc:creator>
  <cp:keywords/>
  <dc:description/>
  <cp:lastModifiedBy>mfn</cp:lastModifiedBy>
  <cp:revision>2</cp:revision>
  <dcterms:created xsi:type="dcterms:W3CDTF">2022-12-18T19:27:00Z</dcterms:created>
  <dcterms:modified xsi:type="dcterms:W3CDTF">2022-12-18T19:27:00Z</dcterms:modified>
</cp:coreProperties>
</file>