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2EA91" w14:textId="450F1B7F" w:rsidR="007B5497" w:rsidRPr="0056315F" w:rsidRDefault="007B5497" w:rsidP="007B5497">
      <w:pPr>
        <w:pStyle w:val="Heading1"/>
      </w:pPr>
      <w:r>
        <w:t xml:space="preserve">Appendix : </w:t>
      </w:r>
      <w:r w:rsidR="00B45661" w:rsidRPr="00B45661">
        <w:t xml:space="preserve">Detailed </w:t>
      </w:r>
      <w:r w:rsidR="008D48EE">
        <w:t>sectoral subdivision</w:t>
      </w:r>
      <w:r w:rsidR="00B45661" w:rsidRPr="00B45661">
        <w:t xml:space="preserve"> </w:t>
      </w:r>
    </w:p>
    <w:p w14:paraId="67B9BB8F" w14:textId="77777777" w:rsidR="008F3223" w:rsidRDefault="007B5497" w:rsidP="007B5497">
      <w:pPr>
        <w:jc w:val="both"/>
        <w:rPr>
          <w:rFonts w:ascii="Garamond" w:hAnsi="Garamond"/>
          <w:sz w:val="24"/>
          <w:szCs w:val="24"/>
        </w:rPr>
      </w:pPr>
      <w:r w:rsidRPr="008F3223">
        <w:rPr>
          <w:rFonts w:ascii="Garamond" w:hAnsi="Garamond"/>
          <w:sz w:val="24"/>
          <w:szCs w:val="24"/>
        </w:rPr>
        <w:t xml:space="preserve">We present here a more detailed description of our sectoral subdivision of the firms patenting in the technology class A61. </w:t>
      </w:r>
    </w:p>
    <w:p w14:paraId="4D3F3BE4" w14:textId="77777777" w:rsidR="008F3223" w:rsidRDefault="008F3223" w:rsidP="008F3223">
      <w:pPr>
        <w:jc w:val="both"/>
        <w:rPr>
          <w:rFonts w:ascii="Garamond" w:hAnsi="Garamond"/>
          <w:sz w:val="24"/>
          <w:szCs w:val="24"/>
        </w:rPr>
      </w:pPr>
      <w:r w:rsidRPr="008F3223">
        <w:rPr>
          <w:rFonts w:ascii="Garamond" w:hAnsi="Garamond"/>
          <w:sz w:val="24"/>
          <w:szCs w:val="24"/>
        </w:rPr>
        <w:t xml:space="preserve">As mentioned in the paper, </w:t>
      </w:r>
      <w:r w:rsidRPr="008F3223">
        <w:rPr>
          <w:rFonts w:ascii="Garamond" w:hAnsi="Garamond"/>
          <w:sz w:val="24"/>
          <w:szCs w:val="24"/>
        </w:rPr>
        <w:t>sectoral subdivision is essentially based on the NACE classification</w:t>
      </w:r>
      <w:r w:rsidRPr="008F3223">
        <w:rPr>
          <w:rFonts w:ascii="Garamond" w:hAnsi="Garamond"/>
          <w:sz w:val="24"/>
          <w:szCs w:val="24"/>
        </w:rPr>
        <w:t xml:space="preserve">. More precisely, we </w:t>
      </w:r>
      <w:r w:rsidRPr="008F3223">
        <w:rPr>
          <w:rFonts w:ascii="Garamond" w:hAnsi="Garamond"/>
          <w:sz w:val="24"/>
          <w:szCs w:val="24"/>
        </w:rPr>
        <w:t xml:space="preserve">group together NACE codes related to the same subfield or range of </w:t>
      </w:r>
      <w:r w:rsidRPr="008F3223">
        <w:rPr>
          <w:rFonts w:ascii="Garamond" w:hAnsi="Garamond"/>
          <w:sz w:val="24"/>
          <w:szCs w:val="24"/>
        </w:rPr>
        <w:t>activities</w:t>
      </w:r>
      <w:r>
        <w:rPr>
          <w:rFonts w:ascii="Garamond" w:hAnsi="Garamond"/>
          <w:sz w:val="24"/>
          <w:szCs w:val="24"/>
        </w:rPr>
        <w:t xml:space="preserve">. For instance, the </w:t>
      </w:r>
      <w:r w:rsidRPr="008F3223">
        <w:rPr>
          <w:rFonts w:ascii="Garamond" w:hAnsi="Garamond"/>
          <w:sz w:val="24"/>
          <w:szCs w:val="24"/>
        </w:rPr>
        <w:t>“Pharma” subdivision is primarily based on the NACE section C, division 21, entitled (“Manufacture of basic pharmaceutical products and pharmaceutical preparations”), to which we added establishments involved in the wholesale of pharmaceutical products (NACE code 46.46). The “Chemistry &amp; Cosmetic” modality follows the same logic, regrouping essentially firms operating in the manufacture of chemical products (NACE section C, division 20 “Manufacture of chemicals and chemical products”), the wholesale of these products (NACE code 46.85, “Wholesale of chemical products”), as well as the wholesale of cosmetic products (NACE code 46.45 “Wholesale of perfume and cosmetics”). The “Instrumentation” subfield regroups firms generally involved in the manufacture of medical instruments and devices, primarily under the NACE code 32.50 (“Manufacture of medical and dental instruments and supplies”); while “RD Sciences” is designed to bring together companies with explicit NACE codes related to Research &amp; Development activities, primarily based on NACE section N, division 72 (“Scientific research and development”). Finally, the “Other” subdivision is more heterogeneous, encompassing firms operating in plastic-related products (section C, division 22 “Manufacture of rubber and plastic products”), and firms manufacturing food products (division 10 “Manufacture of food products”) alongside firms operating in the wholesale of various products (section G, division)</w:t>
      </w:r>
      <w:r>
        <w:rPr>
          <w:rFonts w:ascii="Garamond" w:hAnsi="Garamond"/>
          <w:sz w:val="24"/>
          <w:szCs w:val="24"/>
        </w:rPr>
        <w:t xml:space="preserve">. </w:t>
      </w:r>
    </w:p>
    <w:p w14:paraId="07EE2847" w14:textId="50CBE40F" w:rsidR="008F3223" w:rsidRPr="008F3223" w:rsidRDefault="008F3223" w:rsidP="008F3223">
      <w:pPr>
        <w:jc w:val="both"/>
        <w:rPr>
          <w:rFonts w:ascii="Garamond" w:hAnsi="Garamond"/>
          <w:sz w:val="24"/>
          <w:szCs w:val="24"/>
        </w:rPr>
      </w:pPr>
      <w:r w:rsidRPr="008F3223">
        <w:rPr>
          <w:rFonts w:ascii="Garamond" w:hAnsi="Garamond"/>
          <w:sz w:val="24"/>
          <w:szCs w:val="24"/>
        </w:rPr>
        <w:t>The goal of this custom classification is</w:t>
      </w:r>
      <w:r w:rsidR="00D154C6" w:rsidRPr="008F3223">
        <w:rPr>
          <w:rFonts w:ascii="Garamond" w:hAnsi="Garamond"/>
          <w:sz w:val="24"/>
          <w:szCs w:val="24"/>
        </w:rPr>
        <w:t xml:space="preserve"> </w:t>
      </w:r>
      <w:r w:rsidRPr="008F3223">
        <w:rPr>
          <w:rFonts w:ascii="Garamond" w:hAnsi="Garamond"/>
          <w:sz w:val="24"/>
          <w:szCs w:val="24"/>
        </w:rPr>
        <w:t>to group firms into more functionally homogenous categories, according to their main activity, often going beyond the granularity of standard NACE divisions where necessary, to capture specialized activities more accurately. This notably involved a manual reclassification process for firms whose NACE codes primarily indicated central corporate functions (e.g., 70.10 for headquarters, 64.20 for holding companies, or 77.40 for intellectual property management), ensuring they were assigned to their core industrial sector, based on their main economic activity</w:t>
      </w:r>
      <w:r w:rsidRPr="008F3223">
        <w:rPr>
          <w:rStyle w:val="FootnoteReference"/>
          <w:rFonts w:ascii="Garamond" w:hAnsi="Garamond"/>
          <w:sz w:val="24"/>
          <w:szCs w:val="24"/>
        </w:rPr>
        <w:footnoteReference w:id="1"/>
      </w:r>
    </w:p>
    <w:p w14:paraId="7D7ADECE" w14:textId="1F72DBF6" w:rsidR="008F3223" w:rsidRPr="00B013C5" w:rsidRDefault="00D154C6" w:rsidP="007B5497">
      <w:pPr>
        <w:jc w:val="both"/>
        <w:rPr>
          <w:rFonts w:ascii="Garamond" w:hAnsi="Garamond"/>
          <w:sz w:val="24"/>
          <w:szCs w:val="24"/>
        </w:rPr>
      </w:pPr>
      <w:r>
        <w:rPr>
          <w:rFonts w:ascii="Garamond" w:hAnsi="Garamond"/>
          <w:sz w:val="24"/>
          <w:szCs w:val="24"/>
        </w:rPr>
        <w:t xml:space="preserve">The manual reclassification process also resulted in a particular attention to those firms associated with NACE codes indicating </w:t>
      </w:r>
      <w:r w:rsidRPr="008F3223">
        <w:rPr>
          <w:rFonts w:ascii="Garamond" w:hAnsi="Garamond"/>
          <w:sz w:val="24"/>
          <w:szCs w:val="24"/>
        </w:rPr>
        <w:t>central corporate functions</w:t>
      </w:r>
      <w:r>
        <w:rPr>
          <w:rFonts w:ascii="Garamond" w:hAnsi="Garamond"/>
          <w:sz w:val="24"/>
          <w:szCs w:val="24"/>
        </w:rPr>
        <w:t xml:space="preserve">. </w:t>
      </w:r>
      <w:r w:rsidRPr="00D154C6">
        <w:rPr>
          <w:rFonts w:ascii="Garamond" w:hAnsi="Garamond"/>
          <w:sz w:val="24"/>
          <w:szCs w:val="24"/>
        </w:rPr>
        <w:t>Indeed, any measure of geographical proximity is likely to be irrelevant for these types of firm units, as the location of a firm's headquarters may not always coincide with the primary site of invention or R&amp;D activities</w:t>
      </w:r>
      <w:r>
        <w:rPr>
          <w:rFonts w:ascii="Garamond" w:hAnsi="Garamond"/>
          <w:sz w:val="24"/>
          <w:szCs w:val="24"/>
        </w:rPr>
        <w:t xml:space="preserve">. </w:t>
      </w:r>
      <w:r w:rsidRPr="00D154C6">
        <w:rPr>
          <w:rFonts w:ascii="Garamond" w:hAnsi="Garamond"/>
          <w:sz w:val="24"/>
          <w:szCs w:val="24"/>
        </w:rPr>
        <w:t>The central functions are often dissociated from the specific physical locations where the actual inventive work takes place. This potential geographical mismatch between the strategic decision center (the headquarters) and the operational locus of invention suggests that a straightforward geographical proximity measure applied solely to the patenting entity might not be able to capture the intended effects in some cases</w:t>
      </w:r>
      <w:r>
        <w:rPr>
          <w:rFonts w:ascii="Garamond" w:hAnsi="Garamond"/>
          <w:sz w:val="24"/>
          <w:szCs w:val="24"/>
        </w:rPr>
        <w:t xml:space="preserve">. </w:t>
      </w:r>
      <w:r w:rsidRPr="00D154C6">
        <w:rPr>
          <w:rFonts w:ascii="Garamond" w:hAnsi="Garamond"/>
          <w:sz w:val="24"/>
          <w:szCs w:val="24"/>
        </w:rPr>
        <w:t>Controlling for headquarters status helps to better isolate the influence of local embeddedness at the level of the inventive unit, rather than at a potentially distant overarching corporate decision center</w:t>
      </w:r>
      <w:r>
        <w:rPr>
          <w:rFonts w:ascii="Garamond" w:hAnsi="Garamond"/>
          <w:sz w:val="24"/>
          <w:szCs w:val="24"/>
        </w:rPr>
        <w:t xml:space="preserve">. </w:t>
      </w:r>
    </w:p>
    <w:sectPr w:rsidR="008F3223" w:rsidRPr="00B013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A0A49" w14:textId="77777777" w:rsidR="00855B04" w:rsidRDefault="00855B04" w:rsidP="008F3223">
      <w:pPr>
        <w:spacing w:after="0" w:line="240" w:lineRule="auto"/>
      </w:pPr>
      <w:r>
        <w:separator/>
      </w:r>
    </w:p>
  </w:endnote>
  <w:endnote w:type="continuationSeparator" w:id="0">
    <w:p w14:paraId="3DC1153A" w14:textId="77777777" w:rsidR="00855B04" w:rsidRDefault="00855B04" w:rsidP="008F3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D0E19" w14:textId="77777777" w:rsidR="00855B04" w:rsidRDefault="00855B04" w:rsidP="008F3223">
      <w:pPr>
        <w:spacing w:after="0" w:line="240" w:lineRule="auto"/>
      </w:pPr>
      <w:r>
        <w:separator/>
      </w:r>
    </w:p>
  </w:footnote>
  <w:footnote w:type="continuationSeparator" w:id="0">
    <w:p w14:paraId="2099F89B" w14:textId="77777777" w:rsidR="00855B04" w:rsidRDefault="00855B04" w:rsidP="008F3223">
      <w:pPr>
        <w:spacing w:after="0" w:line="240" w:lineRule="auto"/>
      </w:pPr>
      <w:r>
        <w:continuationSeparator/>
      </w:r>
    </w:p>
  </w:footnote>
  <w:footnote w:id="1">
    <w:p w14:paraId="568BDDC5" w14:textId="77777777" w:rsidR="008F3223" w:rsidRPr="00A27EDC" w:rsidRDefault="008F3223" w:rsidP="008F3223">
      <w:pPr>
        <w:pStyle w:val="FootnoteText"/>
        <w:jc w:val="both"/>
        <w:rPr>
          <w:rFonts w:ascii="Garamond" w:hAnsi="Garamond"/>
          <w:sz w:val="22"/>
          <w:szCs w:val="22"/>
        </w:rPr>
      </w:pPr>
      <w:r>
        <w:rPr>
          <w:rStyle w:val="FootnoteReference"/>
        </w:rPr>
        <w:footnoteRef/>
      </w:r>
      <w:r>
        <w:t xml:space="preserve"> </w:t>
      </w:r>
      <w:r w:rsidRPr="00CF71F7">
        <w:rPr>
          <w:rFonts w:ascii="Garamond" w:hAnsi="Garamond"/>
          <w:sz w:val="22"/>
          <w:szCs w:val="22"/>
        </w:rPr>
        <w:t>For example, thorough web searches allowed us to reclassify firms such as Sanofi SA and AstraZeneca Holding France into the Pharma sector, and Rhodia Chimie SA into the Chemistry &amp; Cosmetics sector, in line with their primary industrial operation</w:t>
      </w:r>
      <w:r>
        <w:rPr>
          <w:rFonts w:ascii="Garamond" w:hAnsi="Garamond"/>
          <w:sz w:val="22"/>
          <w:szCs w:val="22"/>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497"/>
    <w:rsid w:val="00135CB2"/>
    <w:rsid w:val="00402B50"/>
    <w:rsid w:val="004C62CE"/>
    <w:rsid w:val="007B5497"/>
    <w:rsid w:val="00855B04"/>
    <w:rsid w:val="008D48EE"/>
    <w:rsid w:val="008F3223"/>
    <w:rsid w:val="00B013C5"/>
    <w:rsid w:val="00B45661"/>
    <w:rsid w:val="00BC5B98"/>
    <w:rsid w:val="00D154C6"/>
    <w:rsid w:val="00EE0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9DC4F"/>
  <w15:chartTrackingRefBased/>
  <w15:docId w15:val="{8947F602-6714-4CC9-8EBE-30CC1EC75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497"/>
    <w:pPr>
      <w:spacing w:line="259" w:lineRule="auto"/>
    </w:pPr>
    <w:rPr>
      <w:rFonts w:ascii="Calibri" w:eastAsia="Calibri" w:hAnsi="Calibri" w:cs="Calibri"/>
      <w:kern w:val="0"/>
      <w:sz w:val="22"/>
      <w:szCs w:val="22"/>
      <w:lang w:eastAsia="fr-FR"/>
    </w:rPr>
  </w:style>
  <w:style w:type="paragraph" w:styleId="Heading1">
    <w:name w:val="heading 1"/>
    <w:basedOn w:val="Normal"/>
    <w:next w:val="Normal"/>
    <w:link w:val="Heading1Char"/>
    <w:uiPriority w:val="9"/>
    <w:qFormat/>
    <w:rsid w:val="007B54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54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54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54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54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54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4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4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4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4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54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54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54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54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54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4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4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497"/>
    <w:rPr>
      <w:rFonts w:eastAsiaTheme="majorEastAsia" w:cstheme="majorBidi"/>
      <w:color w:val="272727" w:themeColor="text1" w:themeTint="D8"/>
    </w:rPr>
  </w:style>
  <w:style w:type="paragraph" w:styleId="Title">
    <w:name w:val="Title"/>
    <w:basedOn w:val="Normal"/>
    <w:next w:val="Normal"/>
    <w:link w:val="TitleChar"/>
    <w:uiPriority w:val="10"/>
    <w:qFormat/>
    <w:rsid w:val="007B5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4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4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4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497"/>
    <w:pPr>
      <w:spacing w:before="160"/>
      <w:jc w:val="center"/>
    </w:pPr>
    <w:rPr>
      <w:i/>
      <w:iCs/>
      <w:color w:val="404040" w:themeColor="text1" w:themeTint="BF"/>
    </w:rPr>
  </w:style>
  <w:style w:type="character" w:customStyle="1" w:styleId="QuoteChar">
    <w:name w:val="Quote Char"/>
    <w:basedOn w:val="DefaultParagraphFont"/>
    <w:link w:val="Quote"/>
    <w:uiPriority w:val="29"/>
    <w:rsid w:val="007B5497"/>
    <w:rPr>
      <w:i/>
      <w:iCs/>
      <w:color w:val="404040" w:themeColor="text1" w:themeTint="BF"/>
    </w:rPr>
  </w:style>
  <w:style w:type="paragraph" w:styleId="ListParagraph">
    <w:name w:val="List Paragraph"/>
    <w:basedOn w:val="Normal"/>
    <w:uiPriority w:val="34"/>
    <w:qFormat/>
    <w:rsid w:val="007B5497"/>
    <w:pPr>
      <w:ind w:left="720"/>
      <w:contextualSpacing/>
    </w:pPr>
  </w:style>
  <w:style w:type="character" w:styleId="IntenseEmphasis">
    <w:name w:val="Intense Emphasis"/>
    <w:basedOn w:val="DefaultParagraphFont"/>
    <w:uiPriority w:val="21"/>
    <w:qFormat/>
    <w:rsid w:val="007B5497"/>
    <w:rPr>
      <w:i/>
      <w:iCs/>
      <w:color w:val="0F4761" w:themeColor="accent1" w:themeShade="BF"/>
    </w:rPr>
  </w:style>
  <w:style w:type="paragraph" w:styleId="IntenseQuote">
    <w:name w:val="Intense Quote"/>
    <w:basedOn w:val="Normal"/>
    <w:next w:val="Normal"/>
    <w:link w:val="IntenseQuoteChar"/>
    <w:uiPriority w:val="30"/>
    <w:qFormat/>
    <w:rsid w:val="007B5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5497"/>
    <w:rPr>
      <w:i/>
      <w:iCs/>
      <w:color w:val="0F4761" w:themeColor="accent1" w:themeShade="BF"/>
    </w:rPr>
  </w:style>
  <w:style w:type="character" w:styleId="IntenseReference">
    <w:name w:val="Intense Reference"/>
    <w:basedOn w:val="DefaultParagraphFont"/>
    <w:uiPriority w:val="32"/>
    <w:qFormat/>
    <w:rsid w:val="007B5497"/>
    <w:rPr>
      <w:b/>
      <w:bCs/>
      <w:smallCaps/>
      <w:color w:val="0F4761" w:themeColor="accent1" w:themeShade="BF"/>
      <w:spacing w:val="5"/>
    </w:rPr>
  </w:style>
  <w:style w:type="character" w:styleId="CommentReference">
    <w:name w:val="annotation reference"/>
    <w:basedOn w:val="DefaultParagraphFont"/>
    <w:uiPriority w:val="99"/>
    <w:semiHidden/>
    <w:unhideWhenUsed/>
    <w:rsid w:val="007B5497"/>
    <w:rPr>
      <w:sz w:val="16"/>
      <w:szCs w:val="16"/>
    </w:rPr>
  </w:style>
  <w:style w:type="paragraph" w:styleId="FootnoteText">
    <w:name w:val="footnote text"/>
    <w:basedOn w:val="Normal"/>
    <w:link w:val="FootnoteTextChar"/>
    <w:uiPriority w:val="99"/>
    <w:unhideWhenUsed/>
    <w:rsid w:val="008F3223"/>
    <w:pPr>
      <w:spacing w:after="0" w:line="240" w:lineRule="auto"/>
    </w:pPr>
    <w:rPr>
      <w:sz w:val="20"/>
      <w:szCs w:val="20"/>
    </w:rPr>
  </w:style>
  <w:style w:type="character" w:customStyle="1" w:styleId="FootnoteTextChar">
    <w:name w:val="Footnote Text Char"/>
    <w:basedOn w:val="DefaultParagraphFont"/>
    <w:link w:val="FootnoteText"/>
    <w:uiPriority w:val="99"/>
    <w:rsid w:val="008F3223"/>
    <w:rPr>
      <w:rFonts w:ascii="Calibri" w:eastAsia="Calibri" w:hAnsi="Calibri" w:cs="Calibri"/>
      <w:kern w:val="0"/>
      <w:sz w:val="20"/>
      <w:szCs w:val="20"/>
      <w:lang w:eastAsia="fr-FR"/>
    </w:rPr>
  </w:style>
  <w:style w:type="character" w:styleId="FootnoteReference">
    <w:name w:val="footnote reference"/>
    <w:basedOn w:val="DefaultParagraphFont"/>
    <w:uiPriority w:val="99"/>
    <w:semiHidden/>
    <w:unhideWhenUsed/>
    <w:rsid w:val="008F32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Heman Khouilla</dc:creator>
  <cp:keywords/>
  <dc:description/>
  <cp:lastModifiedBy>Heman Khouilla</cp:lastModifiedBy>
  <cp:revision>6</cp:revision>
  <dcterms:created xsi:type="dcterms:W3CDTF">2025-06-18T22:30:00Z</dcterms:created>
  <dcterms:modified xsi:type="dcterms:W3CDTF">2025-06-19T00:53:00Z</dcterms:modified>
</cp:coreProperties>
</file>