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Text"/>
        <w:bidi w:val="0"/>
        <w:spacing w:line="480" w:lineRule="auto"/>
        <w:ind w:left="0" w:right="0" w:firstLine="0"/>
        <w:jc w:val="both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Cambria" w:hAnsi="Arial" w:eastAsia="Cambria"/>
          <w:sz w:val="24"/>
          <w:szCs w:val="24"/>
          <w:u w:color="000000"/>
          <w:rtl w:val="0"/>
          <w:lang w:val="en-US"/>
        </w:rPr>
        <w:t xml:space="preserve">Supplementary material: </w:t>
      </w:r>
    </w:p>
    <w:p>
      <w:pPr>
        <w:pStyle w:val="Text"/>
        <w:bidi w:val="0"/>
        <w:spacing w:line="480" w:lineRule="auto"/>
        <w:ind w:left="0" w:right="0" w:firstLine="0"/>
        <w:jc w:val="both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Cambria" w:hAnsi="Arial" w:eastAsia="Cambria"/>
          <w:sz w:val="24"/>
          <w:szCs w:val="24"/>
          <w:u w:color="000000"/>
          <w:rtl w:val="0"/>
          <w:lang w:val="en-US"/>
        </w:rPr>
        <w:t xml:space="preserve">Suppl. mat.1. The Interclass correlation (ICC), 95% confidential coefficient and the Kappa coefficient for the measure of agreement for the initial 55 cases evaluated by all observers. </w:t>
      </w:r>
    </w:p>
    <w:tbl>
      <w:tblPr>
        <w:tblW w:w="96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34"/>
        <w:gridCol w:w="2555"/>
        <w:gridCol w:w="2549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parametr</w:t>
            </w:r>
          </w:p>
        </w:tc>
        <w:tc>
          <w:tcPr>
            <w:tcW w:type="dxa" w:w="2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ICC</w:t>
            </w:r>
          </w:p>
        </w:tc>
        <w:tc>
          <w:tcPr>
            <w:tcW w:type="dxa" w:w="2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95%CI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tabs>
                <w:tab w:val="center" w:pos="4320"/>
                <w:tab w:val="right" w:pos="8280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cs="Cambria" w:hAnsi="Arial" w:eastAsia="Cambria"/>
                <w:sz w:val="24"/>
                <w:szCs w:val="24"/>
                <w:u w:color="000000"/>
                <w:rtl w:val="0"/>
                <w:lang w:val="en-US"/>
              </w:rPr>
              <w:t>Urogenital hiatus on relaxation</w:t>
            </w:r>
          </w:p>
        </w:tc>
        <w:tc>
          <w:tcPr>
            <w:tcW w:type="dxa" w:w="2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0.68</w:t>
            </w:r>
          </w:p>
        </w:tc>
        <w:tc>
          <w:tcPr>
            <w:tcW w:type="dxa" w:w="2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0.52-0.80</w:t>
            </w:r>
          </w:p>
        </w:tc>
      </w:tr>
      <w:tr>
        <w:tblPrEx>
          <w:shd w:val="clear" w:color="auto" w:fill="ced7e7"/>
        </w:tblPrEx>
        <w:trPr>
          <w:trHeight w:val="708" w:hRule="atLeast"/>
        </w:trPr>
        <w:tc>
          <w:tcPr>
            <w:tcW w:type="dxa" w:w="4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tabs>
                <w:tab w:val="center" w:pos="4320"/>
                <w:tab w:val="right" w:pos="8280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cs="Cambria" w:hAnsi="Arial" w:eastAsia="Cambria"/>
                <w:sz w:val="24"/>
                <w:szCs w:val="24"/>
                <w:u w:color="000000"/>
                <w:rtl w:val="0"/>
                <w:lang w:val="en-US"/>
              </w:rPr>
              <w:t>Urogenital hiatus during contraction</w:t>
            </w:r>
          </w:p>
        </w:tc>
        <w:tc>
          <w:tcPr>
            <w:tcW w:type="dxa" w:w="2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0.78</w:t>
            </w:r>
          </w:p>
        </w:tc>
        <w:tc>
          <w:tcPr>
            <w:tcW w:type="dxa" w:w="2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0.65-0.87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tabs>
                <w:tab w:val="center" w:pos="4320"/>
                <w:tab w:val="right" w:pos="8280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cs="Cambria" w:hAnsi="Arial" w:eastAsia="Cambria"/>
                <w:sz w:val="24"/>
                <w:szCs w:val="24"/>
                <w:u w:color="000000"/>
                <w:rtl w:val="0"/>
                <w:lang w:val="en-US"/>
              </w:rPr>
              <w:t xml:space="preserve">Urogenital hiatus on Valsalva </w:t>
            </w:r>
          </w:p>
        </w:tc>
        <w:tc>
          <w:tcPr>
            <w:tcW w:type="dxa" w:w="2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0.77</w:t>
            </w:r>
          </w:p>
        </w:tc>
        <w:tc>
          <w:tcPr>
            <w:tcW w:type="dxa" w:w="2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0.65-0.86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tabs>
                <w:tab w:val="center" w:pos="4320"/>
                <w:tab w:val="right" w:pos="8280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cs="Cambria" w:hAnsi="Arial" w:eastAsia="Cambria"/>
                <w:sz w:val="24"/>
                <w:szCs w:val="24"/>
                <w:u w:color="000000"/>
                <w:rtl w:val="0"/>
                <w:lang w:val="en-US"/>
              </w:rPr>
              <w:t>Urethral gap (right)</w:t>
            </w:r>
          </w:p>
        </w:tc>
        <w:tc>
          <w:tcPr>
            <w:tcW w:type="dxa" w:w="2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0.69</w:t>
            </w:r>
          </w:p>
        </w:tc>
        <w:tc>
          <w:tcPr>
            <w:tcW w:type="dxa" w:w="2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0.53-0.81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tabs>
                <w:tab w:val="center" w:pos="4320"/>
                <w:tab w:val="right" w:pos="8280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cs="Cambria" w:hAnsi="Arial" w:eastAsia="Cambria"/>
                <w:sz w:val="24"/>
                <w:szCs w:val="24"/>
                <w:u w:color="000000"/>
                <w:rtl w:val="0"/>
                <w:lang w:val="en-US"/>
              </w:rPr>
              <w:t>Urethral gap (left)</w:t>
            </w:r>
          </w:p>
        </w:tc>
        <w:tc>
          <w:tcPr>
            <w:tcW w:type="dxa" w:w="2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0.64</w:t>
            </w:r>
          </w:p>
        </w:tc>
        <w:tc>
          <w:tcPr>
            <w:tcW w:type="dxa" w:w="2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cs="Cambria" w:hAnsi="Helvetica" w:eastAsia="Cambria"/>
                <w:sz w:val="24"/>
                <w:szCs w:val="24"/>
                <w:u w:color="000000"/>
                <w:rtl w:val="0"/>
                <w:lang w:val="en-US"/>
              </w:rPr>
              <w:t>0.46-0.77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hAnsi="Helvetica"/>
                <w:sz w:val="24"/>
                <w:szCs w:val="24"/>
                <w:u w:color="000000"/>
                <w:rtl w:val="0"/>
                <w:lang w:val="en-US"/>
              </w:rPr>
              <w:t xml:space="preserve">kappa </w:t>
            </w:r>
          </w:p>
        </w:tc>
        <w:tc>
          <w:tcPr>
            <w:tcW w:type="dxa" w:w="2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tabs>
                <w:tab w:val="center" w:pos="4320"/>
                <w:tab w:val="right" w:pos="8280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cs="Cambria" w:hAnsi="Arial" w:eastAsia="Cambria"/>
                <w:sz w:val="24"/>
                <w:szCs w:val="24"/>
                <w:u w:color="000000"/>
                <w:rtl w:val="0"/>
                <w:lang w:val="en-US"/>
              </w:rPr>
              <w:t>MLA avulsion</w:t>
            </w:r>
          </w:p>
        </w:tc>
        <w:tc>
          <w:tcPr>
            <w:tcW w:type="dxa" w:w="2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hAnsi="Helvetica"/>
                <w:sz w:val="24"/>
                <w:szCs w:val="24"/>
                <w:u w:color="000000"/>
                <w:rtl w:val="0"/>
                <w:lang w:val="en-US"/>
              </w:rPr>
              <w:t>0,827</w:t>
            </w:r>
          </w:p>
        </w:tc>
        <w:tc>
          <w:tcPr>
            <w:tcW w:type="dxa" w:w="2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xt"/>
        <w:widowControl w:val="0"/>
        <w:bidi w:val="0"/>
        <w:ind w:left="108" w:right="0" w:hanging="108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Text"/>
        <w:bidi w:val="0"/>
        <w:spacing w:line="480" w:lineRule="auto"/>
        <w:ind w:left="0" w:right="0" w:firstLine="0"/>
        <w:jc w:val="both"/>
        <w:rPr>
          <w:rtl w:val="0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