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D327B" w14:textId="77777777" w:rsidR="00D543D4" w:rsidRPr="00343A35" w:rsidRDefault="00343A35" w:rsidP="00343A35">
      <w:pPr>
        <w:rPr>
          <w:b/>
        </w:rPr>
      </w:pPr>
      <w:r w:rsidRPr="00343A35">
        <w:rPr>
          <w:b/>
        </w:rPr>
        <w:t xml:space="preserve">S.2 Outcomes, themes and domains </w:t>
      </w:r>
    </w:p>
    <w:p w14:paraId="3A168900" w14:textId="77777777" w:rsidR="00343A35" w:rsidRDefault="00343A35" w:rsidP="00343A35"/>
    <w:p w14:paraId="0D92A9A2" w14:textId="55DF08C4" w:rsidR="00343A35" w:rsidRPr="00343A35" w:rsidRDefault="00343A35" w:rsidP="00343A35">
      <w:pPr>
        <w:rPr>
          <w:i/>
          <w:sz w:val="22"/>
        </w:rPr>
      </w:pPr>
      <w:r w:rsidRPr="00343A35">
        <w:rPr>
          <w:i/>
          <w:sz w:val="22"/>
        </w:rPr>
        <w:t xml:space="preserve">Table </w:t>
      </w:r>
      <w:r w:rsidR="002B2495">
        <w:rPr>
          <w:i/>
          <w:sz w:val="22"/>
        </w:rPr>
        <w:t>1</w:t>
      </w:r>
      <w:bookmarkStart w:id="0" w:name="_GoBack"/>
      <w:bookmarkEnd w:id="0"/>
      <w:r w:rsidRPr="00343A35">
        <w:rPr>
          <w:i/>
          <w:sz w:val="22"/>
        </w:rPr>
        <w:t xml:space="preserve"> showing outcomes grouped into themes and domains  </w:t>
      </w:r>
    </w:p>
    <w:tbl>
      <w:tblPr>
        <w:tblStyle w:val="TableGrid"/>
        <w:tblpPr w:leftFromText="180" w:rightFromText="180" w:vertAnchor="text" w:tblpY="-1439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1413"/>
        <w:gridCol w:w="1814"/>
        <w:gridCol w:w="3260"/>
        <w:gridCol w:w="2410"/>
      </w:tblGrid>
      <w:tr w:rsidR="00343A35" w:rsidRPr="003758DE" w14:paraId="61668893" w14:textId="77777777" w:rsidTr="00343A35">
        <w:trPr>
          <w:trHeight w:val="20"/>
          <w:tblHeader/>
        </w:trPr>
        <w:tc>
          <w:tcPr>
            <w:tcW w:w="1413" w:type="dxa"/>
            <w:tcBorders>
              <w:top w:val="single" w:sz="18" w:space="0" w:color="auto"/>
              <w:bottom w:val="single" w:sz="12" w:space="0" w:color="auto"/>
            </w:tcBorders>
          </w:tcPr>
          <w:p w14:paraId="4E825D27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lastRenderedPageBreak/>
              <w:t xml:space="preserve">Theme </w:t>
            </w:r>
          </w:p>
        </w:tc>
        <w:tc>
          <w:tcPr>
            <w:tcW w:w="1814" w:type="dxa"/>
            <w:tcBorders>
              <w:top w:val="single" w:sz="18" w:space="0" w:color="auto"/>
              <w:bottom w:val="single" w:sz="12" w:space="0" w:color="auto"/>
            </w:tcBorders>
          </w:tcPr>
          <w:p w14:paraId="7A3C8EEF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Outcome domain </w:t>
            </w:r>
          </w:p>
        </w:tc>
        <w:tc>
          <w:tcPr>
            <w:tcW w:w="3260" w:type="dxa"/>
            <w:tcBorders>
              <w:top w:val="single" w:sz="18" w:space="0" w:color="auto"/>
              <w:bottom w:val="single" w:sz="12" w:space="0" w:color="auto"/>
            </w:tcBorders>
          </w:tcPr>
          <w:p w14:paraId="00446B00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Outcome 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2" w:space="0" w:color="auto"/>
            </w:tcBorders>
          </w:tcPr>
          <w:p w14:paraId="5BC9A25C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Frequency of outcomes reported in each domain </w:t>
            </w:r>
          </w:p>
        </w:tc>
      </w:tr>
      <w:tr w:rsidR="00343A35" w:rsidRPr="003758DE" w14:paraId="20B81DC1" w14:textId="77777777" w:rsidTr="00343A35">
        <w:trPr>
          <w:trHeight w:val="20"/>
        </w:trPr>
        <w:tc>
          <w:tcPr>
            <w:tcW w:w="1413" w:type="dxa"/>
            <w:tcBorders>
              <w:top w:val="single" w:sz="12" w:space="0" w:color="auto"/>
            </w:tcBorders>
          </w:tcPr>
          <w:p w14:paraId="35925FDF" w14:textId="77777777" w:rsidR="00343A35" w:rsidRPr="0044281A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Clinical effectiveness </w:t>
            </w:r>
          </w:p>
        </w:tc>
        <w:tc>
          <w:tcPr>
            <w:tcW w:w="1814" w:type="dxa"/>
            <w:tcBorders>
              <w:top w:val="single" w:sz="12" w:space="0" w:color="auto"/>
            </w:tcBorders>
          </w:tcPr>
          <w:p w14:paraId="4B74BA23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Achieving continence </w:t>
            </w:r>
          </w:p>
        </w:tc>
        <w:tc>
          <w:tcPr>
            <w:tcW w:w="3260" w:type="dxa"/>
            <w:tcBorders>
              <w:top w:val="single" w:sz="12" w:space="0" w:color="auto"/>
            </w:tcBorders>
          </w:tcPr>
          <w:p w14:paraId="5815BF88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5561B70C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3E8F0EFE" w14:textId="77777777" w:rsidTr="00343A35">
        <w:trPr>
          <w:trHeight w:val="20"/>
        </w:trPr>
        <w:tc>
          <w:tcPr>
            <w:tcW w:w="1413" w:type="dxa"/>
            <w:vMerge w:val="restart"/>
          </w:tcPr>
          <w:p w14:paraId="525A3926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 w:val="restart"/>
          </w:tcPr>
          <w:p w14:paraId="6A4F3DF2" w14:textId="77777777" w:rsidR="00343A35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44281A">
              <w:rPr>
                <w:rFonts w:ascii="Cambria" w:hAnsi="Cambria" w:cs="Arial"/>
                <w:sz w:val="20"/>
                <w:szCs w:val="20"/>
              </w:rPr>
              <w:t xml:space="preserve">Improvement in OAB symptoms </w:t>
            </w:r>
          </w:p>
          <w:p w14:paraId="7D085044" w14:textId="77777777" w:rsidR="00020EAB" w:rsidRPr="003758DE" w:rsidRDefault="00020EAB" w:rsidP="00343A35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2FC3B5C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3758DE">
              <w:rPr>
                <w:rFonts w:ascii="Cambria" w:hAnsi="Cambria" w:cs="Arial"/>
                <w:sz w:val="20"/>
                <w:szCs w:val="20"/>
              </w:rPr>
              <w:t>Nocturia</w:t>
            </w:r>
            <w:proofErr w:type="spellEnd"/>
            <w:r w:rsidRPr="003758DE">
              <w:rPr>
                <w:rFonts w:ascii="Cambria" w:hAnsi="Cambria" w:cs="Arial"/>
                <w:sz w:val="20"/>
                <w:szCs w:val="20"/>
              </w:rPr>
              <w:t xml:space="preserve"> episodes </w:t>
            </w:r>
          </w:p>
        </w:tc>
        <w:tc>
          <w:tcPr>
            <w:tcW w:w="2410" w:type="dxa"/>
          </w:tcPr>
          <w:p w14:paraId="617E1F99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  <w:r>
              <w:rPr>
                <w:rFonts w:ascii="Cambria" w:hAnsi="Cambria" w:cs="Arial"/>
                <w:sz w:val="20"/>
                <w:szCs w:val="20"/>
              </w:rPr>
              <w:t>7</w:t>
            </w:r>
          </w:p>
        </w:tc>
      </w:tr>
      <w:tr w:rsidR="00343A35" w:rsidRPr="003758DE" w14:paraId="1535DC49" w14:textId="77777777" w:rsidTr="00343A35">
        <w:trPr>
          <w:trHeight w:val="20"/>
        </w:trPr>
        <w:tc>
          <w:tcPr>
            <w:tcW w:w="1413" w:type="dxa"/>
            <w:vMerge/>
          </w:tcPr>
          <w:p w14:paraId="113EFB05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3830B301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F4FEC14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Time for first nocturnal void </w:t>
            </w:r>
          </w:p>
        </w:tc>
        <w:tc>
          <w:tcPr>
            <w:tcW w:w="2410" w:type="dxa"/>
          </w:tcPr>
          <w:p w14:paraId="78209660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0E3021E1" w14:textId="77777777" w:rsidTr="00343A35">
        <w:trPr>
          <w:trHeight w:val="20"/>
        </w:trPr>
        <w:tc>
          <w:tcPr>
            <w:tcW w:w="1413" w:type="dxa"/>
            <w:vMerge/>
          </w:tcPr>
          <w:p w14:paraId="4E50964A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04A27073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6C09DE7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Mean nocturnal void volume</w:t>
            </w:r>
          </w:p>
        </w:tc>
        <w:tc>
          <w:tcPr>
            <w:tcW w:w="2410" w:type="dxa"/>
          </w:tcPr>
          <w:p w14:paraId="0676949E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7B48241E" w14:textId="77777777" w:rsidTr="00343A35">
        <w:trPr>
          <w:trHeight w:val="20"/>
        </w:trPr>
        <w:tc>
          <w:tcPr>
            <w:tcW w:w="1413" w:type="dxa"/>
            <w:vMerge/>
          </w:tcPr>
          <w:p w14:paraId="67907C38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CFA5520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AA06BDE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Mean voiding interval </w:t>
            </w:r>
          </w:p>
        </w:tc>
        <w:tc>
          <w:tcPr>
            <w:tcW w:w="2410" w:type="dxa"/>
          </w:tcPr>
          <w:p w14:paraId="1756E2D1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49A972AB" w14:textId="77777777" w:rsidTr="00343A35">
        <w:trPr>
          <w:trHeight w:val="20"/>
        </w:trPr>
        <w:tc>
          <w:tcPr>
            <w:tcW w:w="1413" w:type="dxa"/>
            <w:vMerge/>
          </w:tcPr>
          <w:p w14:paraId="199E9BF2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74D14EE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CCDED42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First desire to void </w:t>
            </w:r>
          </w:p>
        </w:tc>
        <w:tc>
          <w:tcPr>
            <w:tcW w:w="2410" w:type="dxa"/>
          </w:tcPr>
          <w:p w14:paraId="2313CCED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2</w:t>
            </w:r>
          </w:p>
        </w:tc>
      </w:tr>
      <w:tr w:rsidR="00343A35" w:rsidRPr="003758DE" w14:paraId="672EBE44" w14:textId="77777777" w:rsidTr="00343A35">
        <w:trPr>
          <w:trHeight w:val="20"/>
        </w:trPr>
        <w:tc>
          <w:tcPr>
            <w:tcW w:w="1413" w:type="dxa"/>
            <w:vMerge/>
          </w:tcPr>
          <w:p w14:paraId="04A0EA68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C4D5AEB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EA5B99F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[Daytime] frequency </w:t>
            </w:r>
          </w:p>
        </w:tc>
        <w:tc>
          <w:tcPr>
            <w:tcW w:w="2410" w:type="dxa"/>
          </w:tcPr>
          <w:p w14:paraId="26CED0D8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13</w:t>
            </w:r>
          </w:p>
        </w:tc>
      </w:tr>
      <w:tr w:rsidR="00343A35" w:rsidRPr="003758DE" w14:paraId="0DF064C2" w14:textId="77777777" w:rsidTr="00343A35">
        <w:trPr>
          <w:trHeight w:val="20"/>
        </w:trPr>
        <w:tc>
          <w:tcPr>
            <w:tcW w:w="1413" w:type="dxa"/>
            <w:vMerge/>
          </w:tcPr>
          <w:p w14:paraId="074621B4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887B88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9BFE1F8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Diurnal frequency </w:t>
            </w:r>
          </w:p>
        </w:tc>
        <w:tc>
          <w:tcPr>
            <w:tcW w:w="2410" w:type="dxa"/>
          </w:tcPr>
          <w:p w14:paraId="514CE4BF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42641C53" w14:textId="77777777" w:rsidTr="00343A35">
        <w:trPr>
          <w:trHeight w:val="20"/>
        </w:trPr>
        <w:tc>
          <w:tcPr>
            <w:tcW w:w="1413" w:type="dxa"/>
            <w:vMerge/>
          </w:tcPr>
          <w:p w14:paraId="5A561322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3328E315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29C6D67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Micturition episodes</w:t>
            </w:r>
          </w:p>
        </w:tc>
        <w:tc>
          <w:tcPr>
            <w:tcW w:w="2410" w:type="dxa"/>
          </w:tcPr>
          <w:p w14:paraId="061DDAEB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15</w:t>
            </w:r>
          </w:p>
        </w:tc>
      </w:tr>
      <w:tr w:rsidR="00343A35" w:rsidRPr="003758DE" w14:paraId="12EC318F" w14:textId="77777777" w:rsidTr="00343A35">
        <w:trPr>
          <w:trHeight w:val="20"/>
        </w:trPr>
        <w:tc>
          <w:tcPr>
            <w:tcW w:w="1413" w:type="dxa"/>
            <w:vMerge/>
          </w:tcPr>
          <w:p w14:paraId="159F636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1EB58305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470226C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Mean voided volume </w:t>
            </w:r>
          </w:p>
        </w:tc>
        <w:tc>
          <w:tcPr>
            <w:tcW w:w="2410" w:type="dxa"/>
          </w:tcPr>
          <w:p w14:paraId="4CE54746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11</w:t>
            </w:r>
          </w:p>
        </w:tc>
      </w:tr>
      <w:tr w:rsidR="00343A35" w:rsidRPr="003758DE" w14:paraId="4C85ABCC" w14:textId="77777777" w:rsidTr="00343A35">
        <w:trPr>
          <w:trHeight w:val="20"/>
        </w:trPr>
        <w:tc>
          <w:tcPr>
            <w:tcW w:w="1413" w:type="dxa"/>
            <w:vMerge/>
          </w:tcPr>
          <w:p w14:paraId="0A35E85C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511FC7BF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B3EB850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Total voided volume </w:t>
            </w:r>
          </w:p>
        </w:tc>
        <w:tc>
          <w:tcPr>
            <w:tcW w:w="2410" w:type="dxa"/>
          </w:tcPr>
          <w:p w14:paraId="4031AB4E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6</w:t>
            </w:r>
          </w:p>
        </w:tc>
      </w:tr>
      <w:tr w:rsidR="00343A35" w:rsidRPr="003758DE" w14:paraId="2CE7C564" w14:textId="77777777" w:rsidTr="00343A35">
        <w:trPr>
          <w:trHeight w:val="20"/>
        </w:trPr>
        <w:tc>
          <w:tcPr>
            <w:tcW w:w="1413" w:type="dxa"/>
            <w:vMerge/>
          </w:tcPr>
          <w:p w14:paraId="3F1C907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45E01461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07AA893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Mean number of daily voids </w:t>
            </w:r>
          </w:p>
        </w:tc>
        <w:tc>
          <w:tcPr>
            <w:tcW w:w="2410" w:type="dxa"/>
          </w:tcPr>
          <w:p w14:paraId="3CA1F95A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2</w:t>
            </w:r>
          </w:p>
        </w:tc>
      </w:tr>
      <w:tr w:rsidR="00343A35" w:rsidRPr="003758DE" w14:paraId="18CE5054" w14:textId="77777777" w:rsidTr="00343A35">
        <w:trPr>
          <w:trHeight w:val="20"/>
        </w:trPr>
        <w:tc>
          <w:tcPr>
            <w:tcW w:w="1413" w:type="dxa"/>
            <w:vMerge/>
          </w:tcPr>
          <w:p w14:paraId="528C630C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6EC09567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D308CA6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Mean volume of first nocturnal void </w:t>
            </w:r>
          </w:p>
        </w:tc>
        <w:tc>
          <w:tcPr>
            <w:tcW w:w="2410" w:type="dxa"/>
          </w:tcPr>
          <w:p w14:paraId="7A909C6F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4CFEE91C" w14:textId="77777777" w:rsidTr="00343A35">
        <w:trPr>
          <w:trHeight w:val="20"/>
        </w:trPr>
        <w:tc>
          <w:tcPr>
            <w:tcW w:w="1413" w:type="dxa"/>
            <w:vMerge/>
          </w:tcPr>
          <w:p w14:paraId="3DEC5FB0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301FAD1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A412AFE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Urgency incontinence episodes </w:t>
            </w:r>
          </w:p>
        </w:tc>
        <w:tc>
          <w:tcPr>
            <w:tcW w:w="2410" w:type="dxa"/>
          </w:tcPr>
          <w:p w14:paraId="411B3CF9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20</w:t>
            </w:r>
          </w:p>
        </w:tc>
      </w:tr>
      <w:tr w:rsidR="00343A35" w:rsidRPr="003758DE" w14:paraId="400EBA7C" w14:textId="77777777" w:rsidTr="00343A35">
        <w:trPr>
          <w:trHeight w:val="20"/>
        </w:trPr>
        <w:tc>
          <w:tcPr>
            <w:tcW w:w="1413" w:type="dxa"/>
            <w:vMerge/>
          </w:tcPr>
          <w:p w14:paraId="6A41AA0A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74253DC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3C04766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Urgency urinary incontinence episodes </w:t>
            </w:r>
          </w:p>
        </w:tc>
        <w:tc>
          <w:tcPr>
            <w:tcW w:w="2410" w:type="dxa"/>
          </w:tcPr>
          <w:p w14:paraId="127FE5CE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5</w:t>
            </w:r>
          </w:p>
          <w:p w14:paraId="4F9FC9D4" w14:textId="77777777" w:rsidR="00343A35" w:rsidRPr="003758DE" w:rsidRDefault="00343A35" w:rsidP="00343A35">
            <w:pPr>
              <w:ind w:left="720"/>
              <w:contextualSpacing/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343A35" w:rsidRPr="003758DE" w14:paraId="4DBB687F" w14:textId="77777777" w:rsidTr="00343A35">
        <w:trPr>
          <w:trHeight w:val="20"/>
        </w:trPr>
        <w:tc>
          <w:tcPr>
            <w:tcW w:w="1413" w:type="dxa"/>
            <w:vMerge/>
          </w:tcPr>
          <w:p w14:paraId="1014F32D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0EC1CDCF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C01241D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Urgency episodes </w:t>
            </w:r>
          </w:p>
        </w:tc>
        <w:tc>
          <w:tcPr>
            <w:tcW w:w="2410" w:type="dxa"/>
          </w:tcPr>
          <w:p w14:paraId="12D342EE" w14:textId="77777777" w:rsidR="00343A35" w:rsidRPr="003758DE" w:rsidRDefault="00343A35" w:rsidP="00343A35">
            <w:pPr>
              <w:tabs>
                <w:tab w:val="center" w:pos="831"/>
              </w:tabs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16</w:t>
            </w:r>
          </w:p>
        </w:tc>
      </w:tr>
      <w:tr w:rsidR="00343A35" w:rsidRPr="003758DE" w14:paraId="1DC86085" w14:textId="77777777" w:rsidTr="00343A35">
        <w:trPr>
          <w:trHeight w:val="20"/>
        </w:trPr>
        <w:tc>
          <w:tcPr>
            <w:tcW w:w="1413" w:type="dxa"/>
            <w:vMerge/>
          </w:tcPr>
          <w:p w14:paraId="29A4A748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CB23226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B3AB019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Urgency severity </w:t>
            </w:r>
          </w:p>
        </w:tc>
        <w:tc>
          <w:tcPr>
            <w:tcW w:w="2410" w:type="dxa"/>
          </w:tcPr>
          <w:p w14:paraId="2582962F" w14:textId="77777777" w:rsidR="00343A35" w:rsidRPr="003758DE" w:rsidRDefault="00343A35" w:rsidP="00343A35">
            <w:pPr>
              <w:tabs>
                <w:tab w:val="center" w:pos="831"/>
              </w:tabs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2</w:t>
            </w:r>
          </w:p>
        </w:tc>
      </w:tr>
      <w:tr w:rsidR="00343A35" w:rsidRPr="003758DE" w14:paraId="30C702A2" w14:textId="77777777" w:rsidTr="00343A35">
        <w:trPr>
          <w:trHeight w:val="20"/>
        </w:trPr>
        <w:tc>
          <w:tcPr>
            <w:tcW w:w="1413" w:type="dxa"/>
            <w:vMerge/>
          </w:tcPr>
          <w:p w14:paraId="2B2B80D2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3EF9BC1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DB1F3AF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Diary-dry rate </w:t>
            </w:r>
          </w:p>
        </w:tc>
        <w:tc>
          <w:tcPr>
            <w:tcW w:w="2410" w:type="dxa"/>
          </w:tcPr>
          <w:p w14:paraId="7EDE49ED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717E895A" w14:textId="77777777" w:rsidTr="00343A35">
        <w:trPr>
          <w:trHeight w:val="20"/>
        </w:trPr>
        <w:tc>
          <w:tcPr>
            <w:tcW w:w="1413" w:type="dxa"/>
            <w:vMerge/>
          </w:tcPr>
          <w:p w14:paraId="5DBCCC4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EF6A2C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6D083D7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Number of continence pads used</w:t>
            </w:r>
          </w:p>
        </w:tc>
        <w:tc>
          <w:tcPr>
            <w:tcW w:w="2410" w:type="dxa"/>
          </w:tcPr>
          <w:p w14:paraId="485EA220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0A487A3B" w14:textId="77777777" w:rsidTr="00343A35">
        <w:trPr>
          <w:trHeight w:val="20"/>
        </w:trPr>
        <w:tc>
          <w:tcPr>
            <w:tcW w:w="1413" w:type="dxa"/>
            <w:vMerge/>
          </w:tcPr>
          <w:p w14:paraId="1E6838D5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1F591607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7AECB6F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Post void dribble </w:t>
            </w:r>
          </w:p>
        </w:tc>
        <w:tc>
          <w:tcPr>
            <w:tcW w:w="2410" w:type="dxa"/>
          </w:tcPr>
          <w:p w14:paraId="47BF2057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235F380E" w14:textId="77777777" w:rsidTr="00343A35">
        <w:trPr>
          <w:trHeight w:val="20"/>
        </w:trPr>
        <w:tc>
          <w:tcPr>
            <w:tcW w:w="1413" w:type="dxa"/>
            <w:vMerge/>
          </w:tcPr>
          <w:p w14:paraId="1985EDFF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42080AD5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99453E3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Not specified </w:t>
            </w:r>
          </w:p>
        </w:tc>
        <w:tc>
          <w:tcPr>
            <w:tcW w:w="2410" w:type="dxa"/>
          </w:tcPr>
          <w:p w14:paraId="5A630261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4</w:t>
            </w:r>
          </w:p>
        </w:tc>
      </w:tr>
      <w:tr w:rsidR="00343A35" w:rsidRPr="003758DE" w14:paraId="1D2AA6D7" w14:textId="77777777" w:rsidTr="00343A35">
        <w:trPr>
          <w:trHeight w:val="20"/>
        </w:trPr>
        <w:tc>
          <w:tcPr>
            <w:tcW w:w="1413" w:type="dxa"/>
            <w:vMerge/>
          </w:tcPr>
          <w:p w14:paraId="16F62B62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7CEB0E36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08D35FC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Effect of combined therapy</w:t>
            </w:r>
          </w:p>
        </w:tc>
        <w:tc>
          <w:tcPr>
            <w:tcW w:w="2410" w:type="dxa"/>
          </w:tcPr>
          <w:p w14:paraId="245CF4DE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57555E40" w14:textId="77777777" w:rsidTr="00343A35">
        <w:trPr>
          <w:trHeight w:val="20"/>
        </w:trPr>
        <w:tc>
          <w:tcPr>
            <w:tcW w:w="1413" w:type="dxa"/>
            <w:vMerge/>
          </w:tcPr>
          <w:p w14:paraId="084F56CF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66C1E85D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Cost effectiveness </w:t>
            </w:r>
          </w:p>
        </w:tc>
        <w:tc>
          <w:tcPr>
            <w:tcW w:w="3260" w:type="dxa"/>
          </w:tcPr>
          <w:p w14:paraId="37FC153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C6F296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3FB79106" w14:textId="77777777" w:rsidTr="00343A35">
        <w:trPr>
          <w:trHeight w:val="20"/>
        </w:trPr>
        <w:tc>
          <w:tcPr>
            <w:tcW w:w="1413" w:type="dxa"/>
            <w:vMerge/>
          </w:tcPr>
          <w:p w14:paraId="010D9D76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025E740A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Responder status </w:t>
            </w:r>
          </w:p>
        </w:tc>
        <w:tc>
          <w:tcPr>
            <w:tcW w:w="3260" w:type="dxa"/>
          </w:tcPr>
          <w:p w14:paraId="7C9651A3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DC6D3C9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3A58AB5F" w14:textId="77777777" w:rsidTr="00343A35">
        <w:trPr>
          <w:trHeight w:val="20"/>
        </w:trPr>
        <w:tc>
          <w:tcPr>
            <w:tcW w:w="1413" w:type="dxa"/>
            <w:vMerge/>
          </w:tcPr>
          <w:p w14:paraId="00436634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 w:val="restart"/>
          </w:tcPr>
          <w:p w14:paraId="34B49642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Vaginal </w:t>
            </w:r>
            <w:r>
              <w:rPr>
                <w:rFonts w:ascii="Cambria" w:hAnsi="Cambria" w:cs="Arial"/>
                <w:sz w:val="20"/>
                <w:szCs w:val="20"/>
              </w:rPr>
              <w:t>parameters</w:t>
            </w:r>
            <w:r w:rsidRPr="003758DE"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0EF532C1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pH</w:t>
            </w:r>
          </w:p>
        </w:tc>
        <w:tc>
          <w:tcPr>
            <w:tcW w:w="2410" w:type="dxa"/>
          </w:tcPr>
          <w:p w14:paraId="6FA8D0A1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29D86EF9" w14:textId="77777777" w:rsidTr="00343A35">
        <w:trPr>
          <w:trHeight w:val="20"/>
        </w:trPr>
        <w:tc>
          <w:tcPr>
            <w:tcW w:w="1413" w:type="dxa"/>
            <w:vMerge/>
          </w:tcPr>
          <w:p w14:paraId="76B33127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5371969C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7ABB8CF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Maturation index </w:t>
            </w:r>
          </w:p>
        </w:tc>
        <w:tc>
          <w:tcPr>
            <w:tcW w:w="2410" w:type="dxa"/>
          </w:tcPr>
          <w:p w14:paraId="21DDCABF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  <w:p w14:paraId="54B7CA4A" w14:textId="77777777" w:rsidR="00343A35" w:rsidRPr="003758DE" w:rsidRDefault="00343A35" w:rsidP="00343A35">
            <w:pPr>
              <w:ind w:left="720"/>
              <w:contextualSpacing/>
              <w:jc w:val="right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343A35" w:rsidRPr="003758DE" w14:paraId="2543C1C9" w14:textId="77777777" w:rsidTr="00343A35">
        <w:trPr>
          <w:trHeight w:val="20"/>
        </w:trPr>
        <w:tc>
          <w:tcPr>
            <w:tcW w:w="1413" w:type="dxa"/>
            <w:vMerge/>
          </w:tcPr>
          <w:p w14:paraId="6F26041F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07905E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DE47DCE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Discharge </w:t>
            </w:r>
          </w:p>
        </w:tc>
        <w:tc>
          <w:tcPr>
            <w:tcW w:w="2410" w:type="dxa"/>
          </w:tcPr>
          <w:p w14:paraId="21BB3096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0A7840E1" w14:textId="77777777" w:rsidTr="00343A35">
        <w:trPr>
          <w:trHeight w:val="20"/>
        </w:trPr>
        <w:tc>
          <w:tcPr>
            <w:tcW w:w="1413" w:type="dxa"/>
            <w:vMerge/>
          </w:tcPr>
          <w:p w14:paraId="336E06F3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1F0D6455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FCED25D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With or without hypertension </w:t>
            </w:r>
          </w:p>
        </w:tc>
        <w:tc>
          <w:tcPr>
            <w:tcW w:w="2410" w:type="dxa"/>
          </w:tcPr>
          <w:p w14:paraId="1C69308D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1971AE7E" w14:textId="77777777" w:rsidTr="00343A35">
        <w:trPr>
          <w:trHeight w:val="20"/>
        </w:trPr>
        <w:tc>
          <w:tcPr>
            <w:tcW w:w="1413" w:type="dxa"/>
            <w:vMerge/>
          </w:tcPr>
          <w:p w14:paraId="425DBF4C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1808BFF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B8770C1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Temperature and improvement in symptoms </w:t>
            </w:r>
          </w:p>
        </w:tc>
        <w:tc>
          <w:tcPr>
            <w:tcW w:w="2410" w:type="dxa"/>
          </w:tcPr>
          <w:p w14:paraId="75FD8203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1 </w:t>
            </w:r>
          </w:p>
        </w:tc>
      </w:tr>
      <w:tr w:rsidR="00343A35" w:rsidRPr="003758DE" w14:paraId="47DB7D4F" w14:textId="77777777" w:rsidTr="00343A35">
        <w:trPr>
          <w:trHeight w:val="20"/>
        </w:trPr>
        <w:tc>
          <w:tcPr>
            <w:tcW w:w="1413" w:type="dxa"/>
            <w:vMerge/>
          </w:tcPr>
          <w:p w14:paraId="393FE5ED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636479E1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0A4A334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Effect of age on efficacy </w:t>
            </w:r>
          </w:p>
        </w:tc>
        <w:tc>
          <w:tcPr>
            <w:tcW w:w="2410" w:type="dxa"/>
          </w:tcPr>
          <w:p w14:paraId="6715BC08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4C5AEC3F" w14:textId="77777777" w:rsidTr="00343A35">
        <w:trPr>
          <w:trHeight w:val="20"/>
        </w:trPr>
        <w:tc>
          <w:tcPr>
            <w:tcW w:w="1413" w:type="dxa"/>
            <w:vMerge/>
          </w:tcPr>
          <w:p w14:paraId="4A6329F2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594D187B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DB11247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Patient selected goal achievement</w:t>
            </w:r>
          </w:p>
        </w:tc>
        <w:tc>
          <w:tcPr>
            <w:tcW w:w="2410" w:type="dxa"/>
          </w:tcPr>
          <w:p w14:paraId="0D1727B4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4787EC14" w14:textId="77777777" w:rsidTr="00343A35">
        <w:trPr>
          <w:trHeight w:val="20"/>
        </w:trPr>
        <w:tc>
          <w:tcPr>
            <w:tcW w:w="1413" w:type="dxa"/>
            <w:vMerge/>
          </w:tcPr>
          <w:p w14:paraId="57260E24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 w:val="restart"/>
          </w:tcPr>
          <w:p w14:paraId="69F97270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Clinical testing/urodynamic studies</w:t>
            </w:r>
          </w:p>
        </w:tc>
        <w:tc>
          <w:tcPr>
            <w:tcW w:w="3260" w:type="dxa"/>
          </w:tcPr>
          <w:p w14:paraId="21A81A17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Post void residual</w:t>
            </w:r>
          </w:p>
        </w:tc>
        <w:tc>
          <w:tcPr>
            <w:tcW w:w="2410" w:type="dxa"/>
          </w:tcPr>
          <w:p w14:paraId="48FDB14E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3</w:t>
            </w:r>
          </w:p>
        </w:tc>
      </w:tr>
      <w:tr w:rsidR="00343A35" w:rsidRPr="003758DE" w14:paraId="6D2C208F" w14:textId="77777777" w:rsidTr="00343A35">
        <w:trPr>
          <w:trHeight w:val="20"/>
        </w:trPr>
        <w:tc>
          <w:tcPr>
            <w:tcW w:w="1413" w:type="dxa"/>
            <w:vMerge/>
          </w:tcPr>
          <w:p w14:paraId="4478A6F0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63A91FB3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A32000C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Haematology</w:t>
            </w:r>
          </w:p>
        </w:tc>
        <w:tc>
          <w:tcPr>
            <w:tcW w:w="2410" w:type="dxa"/>
          </w:tcPr>
          <w:p w14:paraId="1B38CD63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4B484402" w14:textId="77777777" w:rsidTr="00343A35">
        <w:trPr>
          <w:trHeight w:val="20"/>
        </w:trPr>
        <w:tc>
          <w:tcPr>
            <w:tcW w:w="1413" w:type="dxa"/>
            <w:vMerge/>
          </w:tcPr>
          <w:p w14:paraId="50EA06BC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3D112CA5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6EA8151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Maximal flow rate/detrusor pressure </w:t>
            </w:r>
          </w:p>
        </w:tc>
        <w:tc>
          <w:tcPr>
            <w:tcW w:w="2410" w:type="dxa"/>
          </w:tcPr>
          <w:p w14:paraId="7D6FF649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2</w:t>
            </w:r>
          </w:p>
        </w:tc>
      </w:tr>
      <w:tr w:rsidR="00343A35" w:rsidRPr="003758DE" w14:paraId="32BB52A8" w14:textId="77777777" w:rsidTr="00343A35">
        <w:trPr>
          <w:trHeight w:val="20"/>
        </w:trPr>
        <w:tc>
          <w:tcPr>
            <w:tcW w:w="1413" w:type="dxa"/>
            <w:vMerge/>
          </w:tcPr>
          <w:p w14:paraId="2E65D360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136ACAC4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2F18039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Urodynamic variables </w:t>
            </w:r>
          </w:p>
        </w:tc>
        <w:tc>
          <w:tcPr>
            <w:tcW w:w="2410" w:type="dxa"/>
          </w:tcPr>
          <w:p w14:paraId="05D0B4F8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10C9622C" w14:textId="77777777" w:rsidTr="00343A35">
        <w:trPr>
          <w:trHeight w:val="20"/>
        </w:trPr>
        <w:tc>
          <w:tcPr>
            <w:tcW w:w="1413" w:type="dxa"/>
            <w:vMerge/>
          </w:tcPr>
          <w:p w14:paraId="575EC938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6A5A3DE6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3058CE7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Change in HVLT-R* score </w:t>
            </w:r>
          </w:p>
        </w:tc>
        <w:tc>
          <w:tcPr>
            <w:tcW w:w="2410" w:type="dxa"/>
          </w:tcPr>
          <w:p w14:paraId="26FB466C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35C83AB3" w14:textId="77777777" w:rsidTr="00343A35">
        <w:trPr>
          <w:trHeight w:val="20"/>
        </w:trPr>
        <w:tc>
          <w:tcPr>
            <w:tcW w:w="1413" w:type="dxa"/>
            <w:vMerge/>
          </w:tcPr>
          <w:p w14:paraId="18C7E9A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485BAA4C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FA0FE65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3758DE">
              <w:rPr>
                <w:rFonts w:ascii="Cambria" w:hAnsi="Cambria" w:cs="Arial"/>
                <w:sz w:val="20"/>
                <w:szCs w:val="20"/>
              </w:rPr>
              <w:t>Overactivity</w:t>
            </w:r>
            <w:proofErr w:type="spellEnd"/>
            <w:r w:rsidRPr="003758DE">
              <w:rPr>
                <w:rFonts w:ascii="Cambria" w:hAnsi="Cambria" w:cs="Arial"/>
                <w:sz w:val="20"/>
                <w:szCs w:val="20"/>
              </w:rPr>
              <w:t xml:space="preserve"> index </w:t>
            </w:r>
          </w:p>
        </w:tc>
        <w:tc>
          <w:tcPr>
            <w:tcW w:w="2410" w:type="dxa"/>
          </w:tcPr>
          <w:p w14:paraId="5E4C7242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0A9E29EB" w14:textId="77777777" w:rsidTr="00343A35">
        <w:trPr>
          <w:trHeight w:val="20"/>
        </w:trPr>
        <w:tc>
          <w:tcPr>
            <w:tcW w:w="1413" w:type="dxa"/>
            <w:vMerge/>
          </w:tcPr>
          <w:p w14:paraId="5D80AE02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CA0596C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E933DC8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Mean </w:t>
            </w:r>
            <w:proofErr w:type="spellStart"/>
            <w:r w:rsidRPr="003758DE">
              <w:rPr>
                <w:rFonts w:ascii="Cambria" w:hAnsi="Cambria" w:cs="Arial"/>
                <w:sz w:val="20"/>
                <w:szCs w:val="20"/>
              </w:rPr>
              <w:t>cystometric</w:t>
            </w:r>
            <w:proofErr w:type="spellEnd"/>
            <w:r w:rsidRPr="003758DE">
              <w:rPr>
                <w:rFonts w:ascii="Cambria" w:hAnsi="Cambria" w:cs="Arial"/>
                <w:sz w:val="20"/>
                <w:szCs w:val="20"/>
              </w:rPr>
              <w:t xml:space="preserve"> capacity </w:t>
            </w:r>
          </w:p>
        </w:tc>
        <w:tc>
          <w:tcPr>
            <w:tcW w:w="2410" w:type="dxa"/>
          </w:tcPr>
          <w:p w14:paraId="11B5E851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0B2AA01C" w14:textId="77777777" w:rsidTr="00343A35">
        <w:trPr>
          <w:trHeight w:val="20"/>
        </w:trPr>
        <w:tc>
          <w:tcPr>
            <w:tcW w:w="1413" w:type="dxa"/>
            <w:vMerge/>
          </w:tcPr>
          <w:p w14:paraId="70BAE294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4C93292C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49F5BEB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Mean VFOC**</w:t>
            </w:r>
          </w:p>
        </w:tc>
        <w:tc>
          <w:tcPr>
            <w:tcW w:w="2410" w:type="dxa"/>
          </w:tcPr>
          <w:p w14:paraId="30962588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39BDC260" w14:textId="77777777" w:rsidTr="00343A35">
        <w:trPr>
          <w:trHeight w:val="20"/>
        </w:trPr>
        <w:tc>
          <w:tcPr>
            <w:tcW w:w="1413" w:type="dxa"/>
            <w:vMerge/>
          </w:tcPr>
          <w:p w14:paraId="7D4D1382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10F24B0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A36100F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Mean PFOC***</w:t>
            </w:r>
          </w:p>
        </w:tc>
        <w:tc>
          <w:tcPr>
            <w:tcW w:w="2410" w:type="dxa"/>
          </w:tcPr>
          <w:p w14:paraId="4712DD3A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3D9D179B" w14:textId="77777777" w:rsidTr="00343A35">
        <w:trPr>
          <w:trHeight w:val="20"/>
        </w:trPr>
        <w:tc>
          <w:tcPr>
            <w:tcW w:w="1413" w:type="dxa"/>
            <w:vMerge/>
          </w:tcPr>
          <w:p w14:paraId="3FD6C194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CCD2967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5BA17B4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Detrusor pressure on rising </w:t>
            </w:r>
          </w:p>
        </w:tc>
        <w:tc>
          <w:tcPr>
            <w:tcW w:w="2410" w:type="dxa"/>
          </w:tcPr>
          <w:p w14:paraId="5F2C3293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480E04F7" w14:textId="77777777" w:rsidTr="00343A35">
        <w:trPr>
          <w:trHeight w:val="20"/>
        </w:trPr>
        <w:tc>
          <w:tcPr>
            <w:tcW w:w="1413" w:type="dxa"/>
            <w:vMerge/>
          </w:tcPr>
          <w:p w14:paraId="4E9F65DB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54136683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7509545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Conversion to detrusor instability</w:t>
            </w:r>
          </w:p>
        </w:tc>
        <w:tc>
          <w:tcPr>
            <w:tcW w:w="2410" w:type="dxa"/>
          </w:tcPr>
          <w:p w14:paraId="397B3E33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76A11F47" w14:textId="77777777" w:rsidTr="00343A35">
        <w:trPr>
          <w:trHeight w:val="20"/>
        </w:trPr>
        <w:tc>
          <w:tcPr>
            <w:tcW w:w="1413" w:type="dxa"/>
            <w:vMerge/>
          </w:tcPr>
          <w:p w14:paraId="5CE15AC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4C64AFC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DB9430F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Unstable contraction height and pressure rise during </w:t>
            </w:r>
            <w:proofErr w:type="spellStart"/>
            <w:r w:rsidRPr="003758DE">
              <w:rPr>
                <w:rFonts w:ascii="Cambria" w:hAnsi="Cambria" w:cs="Arial"/>
                <w:sz w:val="20"/>
                <w:szCs w:val="20"/>
              </w:rPr>
              <w:t>cystometry</w:t>
            </w:r>
            <w:proofErr w:type="spellEnd"/>
            <w:r w:rsidRPr="003758DE">
              <w:rPr>
                <w:rFonts w:ascii="Cambria" w:hAnsi="Cambria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574E6C64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3F3F67A5" w14:textId="77777777" w:rsidTr="00343A35">
        <w:trPr>
          <w:trHeight w:val="20"/>
        </w:trPr>
        <w:tc>
          <w:tcPr>
            <w:tcW w:w="1413" w:type="dxa"/>
            <w:vMerge/>
          </w:tcPr>
          <w:p w14:paraId="1E39D6AA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BECF294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C22E1CC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Perception threshold of urethra and bladder</w:t>
            </w:r>
          </w:p>
        </w:tc>
        <w:tc>
          <w:tcPr>
            <w:tcW w:w="2410" w:type="dxa"/>
          </w:tcPr>
          <w:p w14:paraId="213D1445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53F14D58" w14:textId="77777777" w:rsidTr="00343A35">
        <w:trPr>
          <w:trHeight w:val="20"/>
        </w:trPr>
        <w:tc>
          <w:tcPr>
            <w:tcW w:w="1413" w:type="dxa"/>
            <w:vMerge/>
          </w:tcPr>
          <w:p w14:paraId="7E77F0D7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5A5F6862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934503F" w14:textId="77777777" w:rsidR="00343A35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Current perception threshold value</w:t>
            </w:r>
          </w:p>
        </w:tc>
        <w:tc>
          <w:tcPr>
            <w:tcW w:w="2410" w:type="dxa"/>
          </w:tcPr>
          <w:p w14:paraId="06F72FCC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1F2855CC" w14:textId="77777777" w:rsidTr="00343A35">
        <w:trPr>
          <w:trHeight w:val="20"/>
        </w:trPr>
        <w:tc>
          <w:tcPr>
            <w:tcW w:w="1413" w:type="dxa"/>
            <w:vMerge/>
          </w:tcPr>
          <w:p w14:paraId="6B311790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5561CD0C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Refusal of urodynamic studies after treatment </w:t>
            </w:r>
          </w:p>
        </w:tc>
        <w:tc>
          <w:tcPr>
            <w:tcW w:w="3260" w:type="dxa"/>
          </w:tcPr>
          <w:p w14:paraId="24042831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E86A9AE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07C0885E" w14:textId="77777777" w:rsidTr="00343A35">
        <w:trPr>
          <w:trHeight w:val="20"/>
        </w:trPr>
        <w:tc>
          <w:tcPr>
            <w:tcW w:w="1413" w:type="dxa"/>
            <w:vMerge/>
          </w:tcPr>
          <w:p w14:paraId="697047ED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1384409E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Probability of retreatment </w:t>
            </w:r>
          </w:p>
        </w:tc>
        <w:tc>
          <w:tcPr>
            <w:tcW w:w="3260" w:type="dxa"/>
          </w:tcPr>
          <w:p w14:paraId="53AFA7F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4CC96C4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16F692A6" w14:textId="77777777" w:rsidTr="00343A35">
        <w:trPr>
          <w:trHeight w:val="20"/>
        </w:trPr>
        <w:tc>
          <w:tcPr>
            <w:tcW w:w="1413" w:type="dxa"/>
            <w:vMerge/>
          </w:tcPr>
          <w:p w14:paraId="003C233E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1E20B1A1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44281A">
              <w:rPr>
                <w:rFonts w:ascii="Cambria" w:hAnsi="Cambria" w:cs="Arial"/>
                <w:sz w:val="20"/>
                <w:szCs w:val="20"/>
              </w:rPr>
              <w:t>Urinary nerve growth factor</w:t>
            </w:r>
          </w:p>
        </w:tc>
        <w:tc>
          <w:tcPr>
            <w:tcW w:w="3260" w:type="dxa"/>
          </w:tcPr>
          <w:p w14:paraId="674B387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C31B2E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2</w:t>
            </w:r>
          </w:p>
        </w:tc>
      </w:tr>
      <w:tr w:rsidR="00343A35" w:rsidRPr="003758DE" w14:paraId="6D90522D" w14:textId="77777777" w:rsidTr="00343A35">
        <w:trPr>
          <w:trHeight w:val="20"/>
        </w:trPr>
        <w:tc>
          <w:tcPr>
            <w:tcW w:w="1413" w:type="dxa"/>
            <w:vMerge/>
          </w:tcPr>
          <w:p w14:paraId="0C64A31B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0BD1EA26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44281A">
              <w:rPr>
                <w:rFonts w:ascii="Cambria" w:hAnsi="Cambria" w:cs="Arial"/>
                <w:sz w:val="20"/>
                <w:szCs w:val="20"/>
              </w:rPr>
              <w:t>uBDNF</w:t>
            </w:r>
            <w:proofErr w:type="spellEnd"/>
            <w:r w:rsidRPr="00016BA5">
              <w:rPr>
                <w:rFonts w:ascii="Cambria" w:hAnsi="Cambria" w:cs="Arial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3260" w:type="dxa"/>
          </w:tcPr>
          <w:p w14:paraId="0F107525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56ACEE8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13C8254B" w14:textId="77777777" w:rsidTr="00343A35">
        <w:trPr>
          <w:trHeight w:val="20"/>
        </w:trPr>
        <w:tc>
          <w:tcPr>
            <w:tcW w:w="1413" w:type="dxa"/>
            <w:vMerge w:val="restart"/>
          </w:tcPr>
          <w:p w14:paraId="54AD7584" w14:textId="77777777" w:rsidR="00343A35" w:rsidRPr="0044281A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Quality of life </w:t>
            </w:r>
            <w:r w:rsidRPr="003758DE">
              <w:rPr>
                <w:rFonts w:ascii="Cambria" w:hAnsi="Cambria" w:cs="Arial"/>
                <w:sz w:val="20"/>
                <w:szCs w:val="20"/>
              </w:rPr>
              <w:lastRenderedPageBreak/>
              <w:t xml:space="preserve">of patient </w:t>
            </w:r>
          </w:p>
        </w:tc>
        <w:tc>
          <w:tcPr>
            <w:tcW w:w="1814" w:type="dxa"/>
          </w:tcPr>
          <w:p w14:paraId="1D823BD2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lastRenderedPageBreak/>
              <w:t xml:space="preserve">Not specified </w:t>
            </w:r>
          </w:p>
        </w:tc>
        <w:tc>
          <w:tcPr>
            <w:tcW w:w="3260" w:type="dxa"/>
          </w:tcPr>
          <w:p w14:paraId="283DAC3A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104E4BE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9</w:t>
            </w:r>
          </w:p>
        </w:tc>
      </w:tr>
      <w:tr w:rsidR="00343A35" w:rsidRPr="003758DE" w14:paraId="432CA5BD" w14:textId="77777777" w:rsidTr="00343A35">
        <w:trPr>
          <w:trHeight w:val="20"/>
        </w:trPr>
        <w:tc>
          <w:tcPr>
            <w:tcW w:w="1413" w:type="dxa"/>
            <w:vMerge/>
          </w:tcPr>
          <w:p w14:paraId="004B60AD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66C889B0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Sleep </w:t>
            </w:r>
          </w:p>
        </w:tc>
        <w:tc>
          <w:tcPr>
            <w:tcW w:w="3260" w:type="dxa"/>
          </w:tcPr>
          <w:p w14:paraId="365711A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54D57C3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5</w:t>
            </w:r>
          </w:p>
        </w:tc>
      </w:tr>
      <w:tr w:rsidR="00343A35" w:rsidRPr="003758DE" w14:paraId="1D30D316" w14:textId="77777777" w:rsidTr="00343A35">
        <w:trPr>
          <w:trHeight w:val="20"/>
        </w:trPr>
        <w:tc>
          <w:tcPr>
            <w:tcW w:w="1413" w:type="dxa"/>
            <w:vMerge/>
          </w:tcPr>
          <w:p w14:paraId="22DF0B98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61CC8814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Work productivity </w:t>
            </w:r>
          </w:p>
        </w:tc>
        <w:tc>
          <w:tcPr>
            <w:tcW w:w="3260" w:type="dxa"/>
          </w:tcPr>
          <w:p w14:paraId="7E8D5A80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FD5EEA4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4F8C8359" w14:textId="77777777" w:rsidTr="00343A35">
        <w:trPr>
          <w:trHeight w:val="20"/>
        </w:trPr>
        <w:tc>
          <w:tcPr>
            <w:tcW w:w="1413" w:type="dxa"/>
            <w:vMerge/>
          </w:tcPr>
          <w:p w14:paraId="751EADBC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34FBEEB9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Patient reported outcomes </w:t>
            </w:r>
          </w:p>
        </w:tc>
        <w:tc>
          <w:tcPr>
            <w:tcW w:w="3260" w:type="dxa"/>
          </w:tcPr>
          <w:p w14:paraId="4001F890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Validated questionnaire scores </w:t>
            </w:r>
          </w:p>
        </w:tc>
        <w:tc>
          <w:tcPr>
            <w:tcW w:w="2410" w:type="dxa"/>
          </w:tcPr>
          <w:p w14:paraId="26A97F7C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14</w:t>
            </w:r>
          </w:p>
        </w:tc>
      </w:tr>
      <w:tr w:rsidR="00343A35" w:rsidRPr="003758DE" w14:paraId="2B6D044F" w14:textId="77777777" w:rsidTr="00343A35">
        <w:trPr>
          <w:trHeight w:val="20"/>
        </w:trPr>
        <w:tc>
          <w:tcPr>
            <w:tcW w:w="1413" w:type="dxa"/>
            <w:vMerge/>
          </w:tcPr>
          <w:p w14:paraId="5C97DC3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48E87051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Patient satisfaction with treatment</w:t>
            </w:r>
          </w:p>
        </w:tc>
        <w:tc>
          <w:tcPr>
            <w:tcW w:w="3260" w:type="dxa"/>
          </w:tcPr>
          <w:p w14:paraId="1829A5B3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0C68871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1AA426C1" w14:textId="77777777" w:rsidTr="00343A35">
        <w:trPr>
          <w:trHeight w:val="20"/>
        </w:trPr>
        <w:tc>
          <w:tcPr>
            <w:tcW w:w="1413" w:type="dxa"/>
            <w:vMerge/>
          </w:tcPr>
          <w:p w14:paraId="104B1974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2C1C26F2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Patient perspective of disease </w:t>
            </w:r>
          </w:p>
        </w:tc>
        <w:tc>
          <w:tcPr>
            <w:tcW w:w="3260" w:type="dxa"/>
          </w:tcPr>
          <w:p w14:paraId="4F0EE768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9D0644A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38DCE5B3" w14:textId="77777777" w:rsidTr="00343A35">
        <w:trPr>
          <w:trHeight w:val="20"/>
        </w:trPr>
        <w:tc>
          <w:tcPr>
            <w:tcW w:w="1413" w:type="dxa"/>
            <w:vMerge w:val="restart"/>
          </w:tcPr>
          <w:p w14:paraId="266F729C" w14:textId="77777777" w:rsidR="00343A35" w:rsidRPr="0044281A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Adverse events </w:t>
            </w:r>
          </w:p>
        </w:tc>
        <w:tc>
          <w:tcPr>
            <w:tcW w:w="1814" w:type="dxa"/>
            <w:vMerge w:val="restart"/>
          </w:tcPr>
          <w:p w14:paraId="1C8CA2DD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Pharmacological adverse events </w:t>
            </w:r>
          </w:p>
        </w:tc>
        <w:tc>
          <w:tcPr>
            <w:tcW w:w="3260" w:type="dxa"/>
          </w:tcPr>
          <w:p w14:paraId="5A50CA1B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3758DE">
              <w:rPr>
                <w:rFonts w:ascii="Cambria" w:hAnsi="Cambria" w:cs="Arial"/>
                <w:sz w:val="20"/>
                <w:szCs w:val="20"/>
              </w:rPr>
              <w:t>Antimuscarinic</w:t>
            </w:r>
            <w:proofErr w:type="spellEnd"/>
            <w:r w:rsidRPr="003758DE">
              <w:rPr>
                <w:rFonts w:ascii="Cambria" w:hAnsi="Cambria" w:cs="Arial"/>
                <w:sz w:val="20"/>
                <w:szCs w:val="20"/>
              </w:rPr>
              <w:t xml:space="preserve">-related adverse events </w:t>
            </w:r>
          </w:p>
        </w:tc>
        <w:tc>
          <w:tcPr>
            <w:tcW w:w="2410" w:type="dxa"/>
          </w:tcPr>
          <w:p w14:paraId="68665522" w14:textId="77777777" w:rsidR="00343A35" w:rsidRPr="003758DE" w:rsidRDefault="00343A35" w:rsidP="00343A35">
            <w:pPr>
              <w:tabs>
                <w:tab w:val="center" w:pos="831"/>
              </w:tabs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29</w:t>
            </w:r>
          </w:p>
        </w:tc>
      </w:tr>
      <w:tr w:rsidR="00343A35" w:rsidRPr="003758DE" w14:paraId="03DEE322" w14:textId="77777777" w:rsidTr="00343A35">
        <w:trPr>
          <w:trHeight w:val="20"/>
        </w:trPr>
        <w:tc>
          <w:tcPr>
            <w:tcW w:w="1413" w:type="dxa"/>
            <w:vMerge/>
          </w:tcPr>
          <w:p w14:paraId="0D64D088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6FA0B656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38005A5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Headaches  </w:t>
            </w:r>
          </w:p>
        </w:tc>
        <w:tc>
          <w:tcPr>
            <w:tcW w:w="2410" w:type="dxa"/>
          </w:tcPr>
          <w:p w14:paraId="61653CEB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4</w:t>
            </w:r>
          </w:p>
        </w:tc>
      </w:tr>
      <w:tr w:rsidR="00343A35" w:rsidRPr="003758DE" w14:paraId="05650D9C" w14:textId="77777777" w:rsidTr="00343A35">
        <w:trPr>
          <w:trHeight w:val="20"/>
        </w:trPr>
        <w:tc>
          <w:tcPr>
            <w:tcW w:w="1413" w:type="dxa"/>
            <w:vMerge/>
          </w:tcPr>
          <w:p w14:paraId="18BC4813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0A25C7A3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6687DAC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Cognitive function </w:t>
            </w:r>
          </w:p>
        </w:tc>
        <w:tc>
          <w:tcPr>
            <w:tcW w:w="2410" w:type="dxa"/>
          </w:tcPr>
          <w:p w14:paraId="51AA17EF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09EEBF79" w14:textId="77777777" w:rsidTr="00343A35">
        <w:trPr>
          <w:trHeight w:val="20"/>
        </w:trPr>
        <w:tc>
          <w:tcPr>
            <w:tcW w:w="1413" w:type="dxa"/>
            <w:vMerge/>
          </w:tcPr>
          <w:p w14:paraId="10C7CEB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5C5259C2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E4A5D6A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Prolonged QT interval</w:t>
            </w:r>
          </w:p>
        </w:tc>
        <w:tc>
          <w:tcPr>
            <w:tcW w:w="2410" w:type="dxa"/>
          </w:tcPr>
          <w:p w14:paraId="65EE8199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15A5D638" w14:textId="77777777" w:rsidTr="00343A35">
        <w:trPr>
          <w:trHeight w:val="20"/>
        </w:trPr>
        <w:tc>
          <w:tcPr>
            <w:tcW w:w="1413" w:type="dxa"/>
            <w:vMerge/>
          </w:tcPr>
          <w:p w14:paraId="2734463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1B76B434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3EBEAE9" w14:textId="77777777" w:rsidR="00343A35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Hepatotoxicity </w:t>
            </w:r>
          </w:p>
        </w:tc>
        <w:tc>
          <w:tcPr>
            <w:tcW w:w="2410" w:type="dxa"/>
          </w:tcPr>
          <w:p w14:paraId="7C9FB313" w14:textId="77777777" w:rsidR="00343A35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17C099B9" w14:textId="77777777" w:rsidTr="00343A35">
        <w:trPr>
          <w:trHeight w:val="20"/>
        </w:trPr>
        <w:tc>
          <w:tcPr>
            <w:tcW w:w="1413" w:type="dxa"/>
            <w:vMerge/>
          </w:tcPr>
          <w:p w14:paraId="1617CEA1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A5EB761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EADC342" w14:textId="77777777" w:rsidR="00343A35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Nephrotoxicity </w:t>
            </w:r>
          </w:p>
        </w:tc>
        <w:tc>
          <w:tcPr>
            <w:tcW w:w="2410" w:type="dxa"/>
          </w:tcPr>
          <w:p w14:paraId="3B28653D" w14:textId="77777777" w:rsidR="00343A35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7BCFBE92" w14:textId="77777777" w:rsidTr="00343A35">
        <w:trPr>
          <w:trHeight w:val="20"/>
        </w:trPr>
        <w:tc>
          <w:tcPr>
            <w:tcW w:w="1413" w:type="dxa"/>
            <w:vMerge/>
          </w:tcPr>
          <w:p w14:paraId="52D60966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78337AEC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9FFAD03" w14:textId="77777777" w:rsidR="00343A35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Hypertensive event</w:t>
            </w:r>
          </w:p>
        </w:tc>
        <w:tc>
          <w:tcPr>
            <w:tcW w:w="2410" w:type="dxa"/>
          </w:tcPr>
          <w:p w14:paraId="109D40E8" w14:textId="77777777" w:rsidR="00343A35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5D66EE0E" w14:textId="77777777" w:rsidTr="00343A35">
        <w:trPr>
          <w:trHeight w:val="20"/>
        </w:trPr>
        <w:tc>
          <w:tcPr>
            <w:tcW w:w="1413" w:type="dxa"/>
            <w:vMerge/>
          </w:tcPr>
          <w:p w14:paraId="6BCEF361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7D5BB251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1D4C4C9" w14:textId="77777777" w:rsidR="00343A35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Back pain</w:t>
            </w:r>
          </w:p>
        </w:tc>
        <w:tc>
          <w:tcPr>
            <w:tcW w:w="2410" w:type="dxa"/>
          </w:tcPr>
          <w:p w14:paraId="1A8E3A80" w14:textId="77777777" w:rsidR="00343A35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6734C5D7" w14:textId="77777777" w:rsidTr="00343A35">
        <w:trPr>
          <w:trHeight w:val="20"/>
        </w:trPr>
        <w:tc>
          <w:tcPr>
            <w:tcW w:w="1413" w:type="dxa"/>
            <w:vMerge/>
          </w:tcPr>
          <w:p w14:paraId="50C779B5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0F9500C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24C8F76" w14:textId="77777777" w:rsidR="00343A35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Sinusitis </w:t>
            </w:r>
          </w:p>
        </w:tc>
        <w:tc>
          <w:tcPr>
            <w:tcW w:w="2410" w:type="dxa"/>
          </w:tcPr>
          <w:p w14:paraId="2E289DA6" w14:textId="77777777" w:rsidR="00343A35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4D519CC8" w14:textId="77777777" w:rsidTr="00343A35">
        <w:trPr>
          <w:trHeight w:val="20"/>
        </w:trPr>
        <w:tc>
          <w:tcPr>
            <w:tcW w:w="1413" w:type="dxa"/>
            <w:vMerge/>
          </w:tcPr>
          <w:p w14:paraId="6E96AF74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5D5F9FE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CE43AB3" w14:textId="77777777" w:rsidR="00343A35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Arthralgia</w:t>
            </w:r>
          </w:p>
        </w:tc>
        <w:tc>
          <w:tcPr>
            <w:tcW w:w="2410" w:type="dxa"/>
          </w:tcPr>
          <w:p w14:paraId="7AACAC0E" w14:textId="77777777" w:rsidR="00343A35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6C647C86" w14:textId="77777777" w:rsidTr="00343A35">
        <w:trPr>
          <w:trHeight w:val="20"/>
        </w:trPr>
        <w:tc>
          <w:tcPr>
            <w:tcW w:w="1413" w:type="dxa"/>
            <w:vMerge/>
          </w:tcPr>
          <w:p w14:paraId="4EF87CB2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DD4A2EA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17AB436" w14:textId="77777777" w:rsidR="00343A35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Dyspepsia</w:t>
            </w:r>
          </w:p>
        </w:tc>
        <w:tc>
          <w:tcPr>
            <w:tcW w:w="2410" w:type="dxa"/>
          </w:tcPr>
          <w:p w14:paraId="6B606736" w14:textId="77777777" w:rsidR="00343A35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0B967CEE" w14:textId="77777777" w:rsidTr="00343A35">
        <w:trPr>
          <w:trHeight w:val="20"/>
        </w:trPr>
        <w:tc>
          <w:tcPr>
            <w:tcW w:w="1413" w:type="dxa"/>
            <w:vMerge/>
          </w:tcPr>
          <w:p w14:paraId="660A0EE6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AEA6EE3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EACD26D" w14:textId="77777777" w:rsidR="00343A35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Abdominal pain</w:t>
            </w:r>
          </w:p>
        </w:tc>
        <w:tc>
          <w:tcPr>
            <w:tcW w:w="2410" w:type="dxa"/>
          </w:tcPr>
          <w:p w14:paraId="4711A93E" w14:textId="77777777" w:rsidR="00343A35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2C8009A2" w14:textId="77777777" w:rsidTr="00343A35">
        <w:trPr>
          <w:trHeight w:val="20"/>
        </w:trPr>
        <w:tc>
          <w:tcPr>
            <w:tcW w:w="1413" w:type="dxa"/>
            <w:vMerge/>
          </w:tcPr>
          <w:p w14:paraId="27435BED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5E2A660B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B9990C3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Death </w:t>
            </w:r>
          </w:p>
        </w:tc>
        <w:tc>
          <w:tcPr>
            <w:tcW w:w="2410" w:type="dxa"/>
          </w:tcPr>
          <w:p w14:paraId="6D53375E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2</w:t>
            </w:r>
          </w:p>
        </w:tc>
      </w:tr>
      <w:tr w:rsidR="00343A35" w:rsidRPr="003758DE" w14:paraId="20B131F7" w14:textId="77777777" w:rsidTr="00343A35">
        <w:trPr>
          <w:trHeight w:val="20"/>
        </w:trPr>
        <w:tc>
          <w:tcPr>
            <w:tcW w:w="1413" w:type="dxa"/>
            <w:vMerge/>
          </w:tcPr>
          <w:p w14:paraId="46FE68B0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290303CD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3B59D78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Severity of TEAEs </w:t>
            </w:r>
            <w:r w:rsidRPr="003758DE">
              <w:rPr>
                <w:rFonts w:ascii="Cambria" w:hAnsi="Cambria" w:cs="Arial"/>
                <w:sz w:val="20"/>
                <w:szCs w:val="20"/>
                <w:vertAlign w:val="superscript"/>
              </w:rPr>
              <w:t>++</w:t>
            </w:r>
          </w:p>
        </w:tc>
        <w:tc>
          <w:tcPr>
            <w:tcW w:w="2410" w:type="dxa"/>
          </w:tcPr>
          <w:p w14:paraId="1967082C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2</w:t>
            </w:r>
          </w:p>
        </w:tc>
      </w:tr>
      <w:tr w:rsidR="00343A35" w:rsidRPr="003758DE" w14:paraId="0B6A071F" w14:textId="77777777" w:rsidTr="00343A35">
        <w:trPr>
          <w:trHeight w:val="20"/>
        </w:trPr>
        <w:tc>
          <w:tcPr>
            <w:tcW w:w="1413" w:type="dxa"/>
            <w:vMerge/>
          </w:tcPr>
          <w:p w14:paraId="48D68A20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14:paraId="697DCCB5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Discontinuation rate </w:t>
            </w:r>
          </w:p>
        </w:tc>
        <w:tc>
          <w:tcPr>
            <w:tcW w:w="3260" w:type="dxa"/>
          </w:tcPr>
          <w:p w14:paraId="1A2328DA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1E2F8A7" w14:textId="77777777" w:rsidR="00343A35" w:rsidRPr="003758DE" w:rsidRDefault="00343A35" w:rsidP="00343A35">
            <w:pPr>
              <w:tabs>
                <w:tab w:val="center" w:pos="831"/>
              </w:tabs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16 </w:t>
            </w:r>
          </w:p>
        </w:tc>
      </w:tr>
      <w:tr w:rsidR="00343A35" w:rsidRPr="003758DE" w14:paraId="513A53FB" w14:textId="77777777" w:rsidTr="00343A35">
        <w:trPr>
          <w:trHeight w:val="20"/>
        </w:trPr>
        <w:tc>
          <w:tcPr>
            <w:tcW w:w="1413" w:type="dxa"/>
            <w:vMerge/>
          </w:tcPr>
          <w:p w14:paraId="7D9FEBAD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 w:val="restart"/>
          </w:tcPr>
          <w:p w14:paraId="7B214D9F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Tolerability </w:t>
            </w:r>
          </w:p>
        </w:tc>
        <w:tc>
          <w:tcPr>
            <w:tcW w:w="3260" w:type="dxa"/>
          </w:tcPr>
          <w:p w14:paraId="47ABBDAE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3758DE">
              <w:rPr>
                <w:rFonts w:ascii="Cambria" w:hAnsi="Cambria" w:cs="Arial"/>
                <w:sz w:val="20"/>
                <w:szCs w:val="20"/>
              </w:rPr>
              <w:t>Comfortability</w:t>
            </w:r>
            <w:proofErr w:type="spellEnd"/>
            <w:r w:rsidRPr="003758DE">
              <w:rPr>
                <w:rFonts w:ascii="Cambria" w:hAnsi="Cambria" w:cs="Arial"/>
                <w:sz w:val="20"/>
                <w:szCs w:val="20"/>
              </w:rPr>
              <w:t xml:space="preserve"> with continuing medication </w:t>
            </w:r>
          </w:p>
        </w:tc>
        <w:tc>
          <w:tcPr>
            <w:tcW w:w="2410" w:type="dxa"/>
          </w:tcPr>
          <w:p w14:paraId="22988BDD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3</w:t>
            </w:r>
          </w:p>
        </w:tc>
      </w:tr>
      <w:tr w:rsidR="00343A35" w:rsidRPr="003758DE" w14:paraId="745F2A82" w14:textId="77777777" w:rsidTr="00343A35">
        <w:trPr>
          <w:trHeight w:val="20"/>
        </w:trPr>
        <w:tc>
          <w:tcPr>
            <w:tcW w:w="1413" w:type="dxa"/>
            <w:vMerge/>
          </w:tcPr>
          <w:p w14:paraId="45B4B4F3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408EB647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DF3A021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Dose changes </w:t>
            </w:r>
          </w:p>
        </w:tc>
        <w:tc>
          <w:tcPr>
            <w:tcW w:w="2410" w:type="dxa"/>
          </w:tcPr>
          <w:p w14:paraId="4652DFC4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</w:tr>
      <w:tr w:rsidR="00343A35" w:rsidRPr="003758DE" w14:paraId="7A11EF60" w14:textId="77777777" w:rsidTr="00343A35">
        <w:trPr>
          <w:trHeight w:val="20"/>
        </w:trPr>
        <w:tc>
          <w:tcPr>
            <w:tcW w:w="1413" w:type="dxa"/>
            <w:vMerge/>
          </w:tcPr>
          <w:p w14:paraId="01EEA1EF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3AC70619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041B060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Compliance </w:t>
            </w:r>
          </w:p>
        </w:tc>
        <w:tc>
          <w:tcPr>
            <w:tcW w:w="2410" w:type="dxa"/>
          </w:tcPr>
          <w:p w14:paraId="7317FB55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2</w:t>
            </w:r>
          </w:p>
        </w:tc>
      </w:tr>
      <w:tr w:rsidR="00343A35" w:rsidRPr="003758DE" w14:paraId="48C0DE90" w14:textId="77777777" w:rsidTr="00343A35">
        <w:trPr>
          <w:trHeight w:val="20"/>
        </w:trPr>
        <w:tc>
          <w:tcPr>
            <w:tcW w:w="1413" w:type="dxa"/>
            <w:vMerge/>
          </w:tcPr>
          <w:p w14:paraId="1D193C13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14:paraId="6C2264AA" w14:textId="77777777" w:rsidR="00343A35" w:rsidRPr="003758DE" w:rsidRDefault="00343A35" w:rsidP="00343A35">
            <w:pPr>
              <w:ind w:left="720"/>
              <w:contextualSpacing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E7CBDB2" w14:textId="77777777" w:rsidR="00343A35" w:rsidRPr="003758DE" w:rsidRDefault="00343A35" w:rsidP="00343A35">
            <w:pPr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 xml:space="preserve">Not specified </w:t>
            </w:r>
          </w:p>
        </w:tc>
        <w:tc>
          <w:tcPr>
            <w:tcW w:w="2410" w:type="dxa"/>
          </w:tcPr>
          <w:p w14:paraId="12866441" w14:textId="77777777" w:rsidR="00343A35" w:rsidRPr="003758DE" w:rsidRDefault="00343A35" w:rsidP="00343A35">
            <w:pPr>
              <w:jc w:val="right"/>
              <w:rPr>
                <w:rFonts w:ascii="Cambria" w:hAnsi="Cambria" w:cs="Arial"/>
                <w:sz w:val="20"/>
                <w:szCs w:val="20"/>
              </w:rPr>
            </w:pPr>
            <w:r w:rsidRPr="003758DE">
              <w:rPr>
                <w:rFonts w:ascii="Cambria" w:hAnsi="Cambria" w:cs="Arial"/>
                <w:sz w:val="20"/>
                <w:szCs w:val="20"/>
              </w:rPr>
              <w:t>2</w:t>
            </w:r>
          </w:p>
        </w:tc>
      </w:tr>
    </w:tbl>
    <w:p w14:paraId="2A27290F" w14:textId="77777777" w:rsidR="00343A35" w:rsidRDefault="00343A35" w:rsidP="00343A35"/>
    <w:p w14:paraId="3B5EE9C2" w14:textId="77777777" w:rsidR="00343A35" w:rsidRPr="003758DE" w:rsidRDefault="00343A35" w:rsidP="00343A35">
      <w:pPr>
        <w:spacing w:line="480" w:lineRule="auto"/>
        <w:rPr>
          <w:rFonts w:ascii="Cambria" w:hAnsi="Cambria"/>
        </w:rPr>
      </w:pPr>
      <w:r w:rsidRPr="003758DE">
        <w:rPr>
          <w:rFonts w:ascii="Cambria" w:hAnsi="Cambria"/>
          <w:i/>
          <w:sz w:val="20"/>
        </w:rPr>
        <w:t>Key: HVLT-R</w:t>
      </w:r>
      <w:r w:rsidRPr="0044281A">
        <w:rPr>
          <w:rFonts w:ascii="Cambria" w:hAnsi="Cambria"/>
          <w:i/>
          <w:sz w:val="20"/>
        </w:rPr>
        <w:t xml:space="preserve">* (Hopkins verbal learning test – revised) </w:t>
      </w:r>
      <w:r w:rsidRPr="00016BA5">
        <w:rPr>
          <w:rFonts w:ascii="Cambria" w:hAnsi="Cambria"/>
          <w:i/>
          <w:sz w:val="20"/>
        </w:rPr>
        <w:t xml:space="preserve">VFOC** (volume in first overactive contraction) PFOC*** (pressure in first overactive contraction) </w:t>
      </w:r>
      <w:proofErr w:type="spellStart"/>
      <w:r w:rsidRPr="00016BA5">
        <w:rPr>
          <w:rFonts w:ascii="Cambria" w:hAnsi="Cambria"/>
          <w:i/>
          <w:sz w:val="20"/>
        </w:rPr>
        <w:t>uBDNF</w:t>
      </w:r>
      <w:proofErr w:type="spellEnd"/>
      <w:r w:rsidRPr="003758DE">
        <w:rPr>
          <w:rFonts w:ascii="Cambria" w:hAnsi="Cambria"/>
          <w:i/>
          <w:sz w:val="20"/>
          <w:vertAlign w:val="superscript"/>
        </w:rPr>
        <w:t>+</w:t>
      </w:r>
      <w:r w:rsidRPr="003758DE">
        <w:rPr>
          <w:rFonts w:ascii="Cambria" w:hAnsi="Cambria"/>
          <w:i/>
          <w:sz w:val="20"/>
        </w:rPr>
        <w:t xml:space="preserve"> (urinary brain-derived </w:t>
      </w:r>
      <w:proofErr w:type="spellStart"/>
      <w:r w:rsidRPr="003758DE">
        <w:rPr>
          <w:rFonts w:ascii="Cambria" w:hAnsi="Cambria"/>
          <w:i/>
          <w:sz w:val="20"/>
        </w:rPr>
        <w:t>neurotrophic</w:t>
      </w:r>
      <w:proofErr w:type="spellEnd"/>
      <w:r w:rsidRPr="003758DE">
        <w:rPr>
          <w:rFonts w:ascii="Cambria" w:hAnsi="Cambria"/>
          <w:i/>
          <w:sz w:val="20"/>
        </w:rPr>
        <w:t xml:space="preserve"> factor) TEAEs</w:t>
      </w:r>
      <w:r w:rsidRPr="003758DE">
        <w:rPr>
          <w:rFonts w:ascii="Cambria" w:hAnsi="Cambria"/>
          <w:i/>
          <w:sz w:val="20"/>
          <w:vertAlign w:val="superscript"/>
        </w:rPr>
        <w:t>++</w:t>
      </w:r>
      <w:r w:rsidRPr="003758DE">
        <w:rPr>
          <w:rFonts w:ascii="Cambria" w:hAnsi="Cambria"/>
          <w:i/>
          <w:sz w:val="20"/>
        </w:rPr>
        <w:t xml:space="preserve"> (treatment emergent adverse events)</w:t>
      </w:r>
    </w:p>
    <w:p w14:paraId="433A91FD" w14:textId="77777777" w:rsidR="00343A35" w:rsidRPr="00343A35" w:rsidRDefault="00343A35" w:rsidP="00343A35"/>
    <w:sectPr w:rsidR="00343A35" w:rsidRPr="00343A35" w:rsidSect="00D543D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A35"/>
    <w:rsid w:val="00020EAB"/>
    <w:rsid w:val="002B2495"/>
    <w:rsid w:val="00343A35"/>
    <w:rsid w:val="0039682B"/>
    <w:rsid w:val="005A0A64"/>
    <w:rsid w:val="00A8752A"/>
    <w:rsid w:val="00D5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022B7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3A35"/>
    <w:rPr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43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3A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3A3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A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A3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3A35"/>
    <w:rPr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43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3A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3A3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A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A3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407</Words>
  <Characters>2326</Characters>
  <Application>Microsoft Office Word</Application>
  <DocSecurity>0</DocSecurity>
  <Lines>19</Lines>
  <Paragraphs>5</Paragraphs>
  <ScaleCrop>false</ScaleCrop>
  <Company>Personal</Company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Moussa</dc:creator>
  <cp:keywords/>
  <dc:description/>
  <cp:lastModifiedBy>Roderick Sayre</cp:lastModifiedBy>
  <cp:revision>3</cp:revision>
  <dcterms:created xsi:type="dcterms:W3CDTF">2021-05-12T18:54:00Z</dcterms:created>
  <dcterms:modified xsi:type="dcterms:W3CDTF">2021-12-23T01:28:00Z</dcterms:modified>
</cp:coreProperties>
</file>