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E46F" w14:textId="11ECA872" w:rsidR="00566235" w:rsidRPr="00D60EEA" w:rsidRDefault="00A27ACA" w:rsidP="00D60EEA">
      <w:pPr>
        <w:rPr>
          <w:b/>
          <w:color w:val="49C5B1"/>
        </w:rPr>
      </w:pPr>
      <w:r w:rsidRPr="00D60EEA">
        <w:rPr>
          <w:noProof/>
          <w:lang w:eastAsia="en-GB"/>
        </w:rPr>
        <mc:AlternateContent>
          <mc:Choice Requires="wps">
            <w:drawing>
              <wp:anchor distT="0" distB="0" distL="114300" distR="114300" simplePos="0" relativeHeight="251659264" behindDoc="0" locked="0" layoutInCell="1" allowOverlap="1" wp14:anchorId="4EF42B4A" wp14:editId="0774EA7C">
                <wp:simplePos x="0" y="0"/>
                <wp:positionH relativeFrom="column">
                  <wp:posOffset>3437890</wp:posOffset>
                </wp:positionH>
                <wp:positionV relativeFrom="paragraph">
                  <wp:posOffset>79375</wp:posOffset>
                </wp:positionV>
                <wp:extent cx="3048635" cy="140398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635" cy="1403985"/>
                        </a:xfrm>
                        <a:prstGeom prst="rect">
                          <a:avLst/>
                        </a:prstGeom>
                        <a:solidFill>
                          <a:srgbClr val="FFFFFF"/>
                        </a:solidFill>
                        <a:ln w="9525">
                          <a:noFill/>
                          <a:miter lim="800000"/>
                          <a:headEnd/>
                          <a:tailEnd/>
                        </a:ln>
                      </wps:spPr>
                      <wps:txbx>
                        <w:txbxContent>
                          <w:p w14:paraId="0DB819A4" w14:textId="2F748474" w:rsidR="00566235" w:rsidRPr="00DB4A3D" w:rsidRDefault="00345F5F" w:rsidP="00A27ACA">
                            <w:pPr>
                              <w:jc w:val="right"/>
                            </w:pPr>
                            <w:r w:rsidRPr="006D0B78">
                              <w:rPr>
                                <w:b/>
                                <w:color w:val="068375"/>
                              </w:rPr>
                              <w:t>Library and Archives Team</w:t>
                            </w:r>
                            <w:r w:rsidRPr="008D1754">
                              <w:br/>
                              <w:t xml:space="preserve">The Royal College </w:t>
                            </w:r>
                            <w:r w:rsidRPr="008D1754">
                              <w:rPr>
                                <w:i/>
                              </w:rPr>
                              <w:t>of</w:t>
                            </w:r>
                            <w:r w:rsidRPr="008D1754">
                              <w:t xml:space="preserve"> Surgeons </w:t>
                            </w:r>
                            <w:r w:rsidRPr="008D1754">
                              <w:rPr>
                                <w:i/>
                              </w:rPr>
                              <w:t>of</w:t>
                            </w:r>
                            <w:r w:rsidRPr="008D1754">
                              <w:t xml:space="preserve"> England</w:t>
                            </w:r>
                            <w:r w:rsidRPr="008D1754">
                              <w:br/>
                              <w:t>38-43 Lincoln’s Inn Fields, London, WC2A 3PE</w:t>
                            </w:r>
                            <w:r>
                              <w:br/>
                            </w:r>
                            <w:hyperlink r:id="rId8" w:history="1">
                              <w:r w:rsidRPr="004C538B">
                                <w:rPr>
                                  <w:rStyle w:val="Hyperlink"/>
                                </w:rPr>
                                <w:t>evidencesupport@rcseng.ac.uk</w:t>
                              </w:r>
                            </w:hyperlink>
                            <w:r>
                              <w:br/>
                            </w:r>
                            <w:r w:rsidRPr="008D1754">
                              <w:t>Tel. 020 7869 6555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4EF42B4A" id="_x0000_t202" coordsize="21600,21600" o:spt="202" path="m,l,21600r21600,l21600,xe">
                <v:stroke joinstyle="miter"/>
                <v:path gradientshapeok="t" o:connecttype="rect"/>
              </v:shapetype>
              <v:shape id="Text Box 3" o:spid="_x0000_s1026" type="#_x0000_t202" style="position:absolute;margin-left:270.7pt;margin-top:6.25pt;width:240.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" stroked="f">
                <v:textbox style="mso-fit-shape-to-text:t">
                  <w:txbxContent>
                    <w:p w14:paraId="0DB819A4" w14:textId="2F748474" w:rsidR="00566235" w:rsidRPr="00DB4A3D" w:rsidRDefault="00345F5F" w:rsidP="00A27ACA">
                      <w:pPr>
                        <w:jc w:val="right"/>
                      </w:pPr>
                      <w:r w:rsidRPr="006D0B78">
                        <w:rPr>
                          <w:b/>
                          <w:color w:val="068375"/>
                        </w:rPr>
                        <w:t>Library and Archives Team</w:t>
                      </w:r>
                      <w:r w:rsidRPr="008D1754">
                        <w:br/>
                        <w:t xml:space="preserve">The Royal College </w:t>
                      </w:r>
                      <w:r w:rsidRPr="008D1754">
                        <w:rPr>
                          <w:i/>
                        </w:rPr>
                        <w:t>of</w:t>
                      </w:r>
                      <w:r w:rsidRPr="008D1754">
                        <w:t xml:space="preserve"> Surgeons </w:t>
                      </w:r>
                      <w:r w:rsidRPr="008D1754">
                        <w:rPr>
                          <w:i/>
                        </w:rPr>
                        <w:t>of</w:t>
                      </w:r>
                      <w:r w:rsidRPr="008D1754">
                        <w:t xml:space="preserve"> England</w:t>
                      </w:r>
                      <w:r w:rsidRPr="008D1754">
                        <w:br/>
                        <w:t>38-43 Lincoln’s Inn Fields, London, WC2A 3PE</w:t>
                      </w:r>
                      <w:r>
                        <w:br/>
                      </w:r>
                      <w:hyperlink r:id="rId9" w:history="1">
                        <w:r w:rsidRPr="004C538B">
                          <w:rPr>
                            <w:rStyle w:val="Hyperlink"/>
                          </w:rPr>
                          <w:t>evidencesupport@rcseng.ac.uk</w:t>
                        </w:r>
                      </w:hyperlink>
                      <w:r>
                        <w:br/>
                      </w:r>
                      <w:r w:rsidRPr="008D1754">
                        <w:t>Tel. 020 7869 6555</w:t>
                      </w:r>
                    </w:p>
                  </w:txbxContent>
                </v:textbox>
              </v:shape>
            </w:pict>
          </mc:Fallback>
        </mc:AlternateContent>
      </w:r>
      <w:r w:rsidR="00EF0DF2" w:rsidRPr="00D60EEA">
        <w:rPr>
          <w:noProof/>
          <w:lang w:eastAsia="en-GB"/>
        </w:rPr>
        <w:drawing>
          <wp:inline distT="0" distB="0" distL="0" distR="0" wp14:anchorId="1FCDC71B" wp14:editId="5262E925">
            <wp:extent cx="2813050" cy="1362710"/>
            <wp:effectExtent l="0" t="0" r="0" b="0"/>
            <wp:docPr id="4" name="Picture 4" descr="Logo for the Royal College of Surgeons of England with the slogan &quot;Advancing Surgical Care&quot;. To the left of the text is the image of an eagle wearing a crown and holding a sceptre in one 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for the Royal College of Surgeons of England with the slogan &quot;Advancing Surgical Care&quot;. To the left of the text is the image of an eagle wearing a crown and holding a sceptre in one foo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13050" cy="1362710"/>
                    </a:xfrm>
                    <a:prstGeom prst="rect">
                      <a:avLst/>
                    </a:prstGeom>
                    <a:noFill/>
                    <a:ln>
                      <a:noFill/>
                    </a:ln>
                  </pic:spPr>
                </pic:pic>
              </a:graphicData>
            </a:graphic>
          </wp:inline>
        </w:drawing>
      </w:r>
    </w:p>
    <w:p w14:paraId="78EC3449" w14:textId="77777777" w:rsidR="00566235" w:rsidRPr="00D60EEA" w:rsidRDefault="00566235" w:rsidP="00D60EEA"/>
    <w:p w14:paraId="189EDD0B" w14:textId="77777777" w:rsidR="00566235" w:rsidRPr="00D60EEA" w:rsidRDefault="00566235" w:rsidP="00D60EEA"/>
    <w:p w14:paraId="2192A0AD" w14:textId="77777777" w:rsidR="00566235" w:rsidRPr="00D60EEA" w:rsidRDefault="00566235" w:rsidP="00D60EEA"/>
    <w:p w14:paraId="112AD0BC" w14:textId="77777777" w:rsidR="00566235" w:rsidRPr="00D60EEA" w:rsidRDefault="00566235" w:rsidP="00D60EEA"/>
    <w:p w14:paraId="32968581" w14:textId="77777777" w:rsidR="00566235" w:rsidRPr="00D60EEA" w:rsidRDefault="00566235" w:rsidP="00D60EEA"/>
    <w:p w14:paraId="538C6B19" w14:textId="77777777" w:rsidR="00566235" w:rsidRPr="00D60EEA" w:rsidRDefault="00566235" w:rsidP="00D60EEA"/>
    <w:p w14:paraId="4CF571A0" w14:textId="77777777" w:rsidR="00566235" w:rsidRPr="00D60EEA" w:rsidRDefault="00566235" w:rsidP="00D60EEA"/>
    <w:p w14:paraId="7F14F544" w14:textId="77777777" w:rsidR="00566235" w:rsidRPr="00D60EEA" w:rsidRDefault="00566235" w:rsidP="00D60EEA"/>
    <w:p w14:paraId="1EB75F3F" w14:textId="0EAD181C" w:rsidR="00566235" w:rsidRPr="00D60EEA" w:rsidRDefault="00566235" w:rsidP="00D60EEA"/>
    <w:p w14:paraId="7BCDC03C" w14:textId="77777777" w:rsidR="00566235" w:rsidRPr="00D60EEA" w:rsidRDefault="00566235" w:rsidP="00D60EEA"/>
    <w:p w14:paraId="345FA86E" w14:textId="156B56AA" w:rsidR="00AF1173" w:rsidRPr="00AF1173" w:rsidRDefault="00AF1173" w:rsidP="00AF1173">
      <w:pPr>
        <w:pStyle w:val="Heading1"/>
      </w:pPr>
      <w:bookmarkStart w:id="0" w:name="_Toc130305353"/>
      <w:bookmarkStart w:id="1" w:name="_Toc131071379"/>
      <w:r>
        <w:t>Systematic</w:t>
      </w:r>
      <w:r w:rsidR="002F56C4">
        <w:t xml:space="preserve"> search</w:t>
      </w:r>
      <w:r w:rsidR="00340EA2" w:rsidRPr="006D0B78">
        <w:t>:</w:t>
      </w:r>
      <w:r w:rsidR="008D2D57" w:rsidRPr="006D0B78">
        <w:t xml:space="preserve"> </w:t>
      </w:r>
      <w:bookmarkEnd w:id="0"/>
      <w:bookmarkEnd w:id="1"/>
      <w:r w:rsidR="000A2C57">
        <w:t>Re-run of a</w:t>
      </w:r>
      <w:r w:rsidRPr="00AF1173">
        <w:t xml:space="preserve"> review of the impact of obstetric related</w:t>
      </w:r>
    </w:p>
    <w:p w14:paraId="54CD42C0" w14:textId="77777777" w:rsidR="00AF1173" w:rsidRPr="00AF1173" w:rsidRDefault="00AF1173" w:rsidP="00AF1173">
      <w:pPr>
        <w:pStyle w:val="Heading1"/>
      </w:pPr>
      <w:r w:rsidRPr="00AF1173">
        <w:t>severe perineal trauma on sexual function: an</w:t>
      </w:r>
    </w:p>
    <w:p w14:paraId="38D47EEA" w14:textId="6186A1D4" w:rsidR="00566235" w:rsidRPr="006D0B78" w:rsidRDefault="00AF1173" w:rsidP="00AF1173">
      <w:pPr>
        <w:pStyle w:val="Heading1"/>
      </w:pPr>
      <w:r w:rsidRPr="00AF1173">
        <w:t>unspoken maternal morbidity</w:t>
      </w:r>
    </w:p>
    <w:p w14:paraId="4B159772" w14:textId="77777777" w:rsidR="00566235" w:rsidRPr="00DB4A3D" w:rsidRDefault="00566235" w:rsidP="00FD4335">
      <w:pPr>
        <w:pStyle w:val="NoSpacing"/>
        <w:contextualSpacing/>
        <w:rPr>
          <w:rFonts w:asciiTheme="minorHAnsi" w:hAnsiTheme="minorHAnsi" w:cstheme="minorHAnsi"/>
          <w:b/>
          <w:sz w:val="28"/>
        </w:rPr>
      </w:pPr>
    </w:p>
    <w:p w14:paraId="006A953D" w14:textId="7C6BE281" w:rsidR="002F56C4" w:rsidRPr="00D22586" w:rsidRDefault="00566235" w:rsidP="00FD4335">
      <w:pPr>
        <w:pStyle w:val="NoSpacing"/>
        <w:contextualSpacing/>
        <w:rPr>
          <w:rFonts w:asciiTheme="minorHAnsi" w:hAnsiTheme="minorHAnsi" w:cstheme="minorHAnsi"/>
          <w:sz w:val="28"/>
        </w:rPr>
      </w:pPr>
      <w:r w:rsidRPr="00DB4A3D">
        <w:rPr>
          <w:rFonts w:asciiTheme="minorHAnsi" w:hAnsiTheme="minorHAnsi" w:cstheme="minorHAnsi"/>
          <w:b/>
          <w:sz w:val="28"/>
        </w:rPr>
        <w:t xml:space="preserve">Date: </w:t>
      </w:r>
      <w:r w:rsidR="000A2C57">
        <w:rPr>
          <w:rFonts w:asciiTheme="minorHAnsi" w:hAnsiTheme="minorHAnsi" w:cstheme="minorHAnsi"/>
          <w:b/>
          <w:sz w:val="28"/>
        </w:rPr>
        <w:t>12/07/2024</w:t>
      </w:r>
    </w:p>
    <w:p w14:paraId="11FA0AF3" w14:textId="77777777" w:rsidR="00566235" w:rsidRPr="00D60EEA" w:rsidRDefault="00566235" w:rsidP="00D60EEA">
      <w:r w:rsidRPr="00D60EEA">
        <w:br w:type="page"/>
      </w:r>
    </w:p>
    <w:bookmarkStart w:id="2" w:name="_Toc138947460" w:displacedByCustomXml="next"/>
    <w:bookmarkStart w:id="3" w:name="_Toc130305354" w:displacedByCustomXml="next"/>
    <w:bookmarkStart w:id="4" w:name="_Toc131071380" w:displacedByCustomXml="next"/>
    <w:bookmarkStart w:id="5" w:name="_Toc171689206" w:displacedByCustomXml="next"/>
    <w:sdt>
      <w:sdtPr>
        <w:rPr>
          <w:rFonts w:eastAsia="Calibri" w:cstheme="minorHAnsi"/>
          <w:b/>
          <w:bCs w:val="0"/>
          <w:iCs/>
          <w:color w:val="323232"/>
          <w:sz w:val="24"/>
          <w:szCs w:val="24"/>
        </w:rPr>
        <w:id w:val="122433747"/>
        <w:docPartObj>
          <w:docPartGallery w:val="Table of Contents"/>
          <w:docPartUnique/>
        </w:docPartObj>
      </w:sdtPr>
      <w:sdtEndPr>
        <w:rPr>
          <w:rFonts w:eastAsiaTheme="minorHAnsi"/>
          <w:b w:val="0"/>
          <w:iCs w:val="0"/>
          <w:noProof/>
        </w:rPr>
      </w:sdtEndPr>
      <w:sdtContent>
        <w:p w14:paraId="1693A978" w14:textId="77777777" w:rsidR="00D345C0" w:rsidRDefault="00566235" w:rsidP="0037486D">
          <w:pPr>
            <w:pStyle w:val="Heading2"/>
            <w:spacing w:before="48" w:after="48"/>
            <w:rPr>
              <w:noProof/>
            </w:rPr>
          </w:pPr>
          <w:r w:rsidRPr="00D60EEA">
            <w:t>Contents</w:t>
          </w:r>
          <w:bookmarkEnd w:id="5"/>
          <w:bookmarkEnd w:id="4"/>
          <w:bookmarkEnd w:id="3"/>
          <w:bookmarkEnd w:id="2"/>
          <w:r w:rsidR="0037486D">
            <w:rPr>
              <w:sz w:val="24"/>
            </w:rPr>
            <w:fldChar w:fldCharType="begin"/>
          </w:r>
          <w:r w:rsidR="0037486D">
            <w:rPr>
              <w:sz w:val="24"/>
            </w:rPr>
            <w:instrText xml:space="preserve"> TOC \o "2-3" \h \z \u </w:instrText>
          </w:r>
          <w:r w:rsidR="0037486D">
            <w:rPr>
              <w:sz w:val="24"/>
            </w:rPr>
            <w:fldChar w:fldCharType="separate"/>
          </w:r>
        </w:p>
        <w:p w14:paraId="5B57B071" w14:textId="5B008CC1" w:rsidR="00D345C0" w:rsidRDefault="008458F2">
          <w:pPr>
            <w:pStyle w:val="TOC2"/>
            <w:tabs>
              <w:tab w:val="right" w:leader="dot" w:pos="9180"/>
            </w:tabs>
            <w:spacing w:after="48"/>
            <w:rPr>
              <w:rFonts w:eastAsiaTheme="minorEastAsia" w:cstheme="minorBidi"/>
              <w:noProof/>
              <w:color w:val="auto"/>
              <w:kern w:val="2"/>
              <w:lang w:eastAsia="en-GB"/>
              <w14:ligatures w14:val="standardContextual"/>
            </w:rPr>
          </w:pPr>
          <w:hyperlink w:anchor="_Toc171689207" w:history="1">
            <w:r w:rsidR="00D345C0" w:rsidRPr="00B64DD8">
              <w:rPr>
                <w:rStyle w:val="Hyperlink"/>
                <w:noProof/>
              </w:rPr>
              <w:t>PICO and search notes</w:t>
            </w:r>
            <w:r w:rsidR="00D345C0">
              <w:rPr>
                <w:noProof/>
                <w:webHidden/>
              </w:rPr>
              <w:tab/>
            </w:r>
            <w:r w:rsidR="00D345C0">
              <w:rPr>
                <w:noProof/>
                <w:webHidden/>
              </w:rPr>
              <w:fldChar w:fldCharType="begin"/>
            </w:r>
            <w:r w:rsidR="00D345C0">
              <w:rPr>
                <w:noProof/>
                <w:webHidden/>
              </w:rPr>
              <w:instrText xml:space="preserve"> PAGEREF _Toc171689207 \h </w:instrText>
            </w:r>
            <w:r w:rsidR="00D345C0">
              <w:rPr>
                <w:noProof/>
                <w:webHidden/>
              </w:rPr>
            </w:r>
            <w:r w:rsidR="00D345C0">
              <w:rPr>
                <w:noProof/>
                <w:webHidden/>
              </w:rPr>
              <w:fldChar w:fldCharType="separate"/>
            </w:r>
            <w:r w:rsidR="00D345C0">
              <w:rPr>
                <w:noProof/>
                <w:webHidden/>
              </w:rPr>
              <w:t>3</w:t>
            </w:r>
            <w:r w:rsidR="00D345C0">
              <w:rPr>
                <w:noProof/>
                <w:webHidden/>
              </w:rPr>
              <w:fldChar w:fldCharType="end"/>
            </w:r>
          </w:hyperlink>
        </w:p>
        <w:p w14:paraId="4E18CA59" w14:textId="101BBD85" w:rsidR="00D345C0" w:rsidRDefault="008458F2">
          <w:pPr>
            <w:pStyle w:val="TOC2"/>
            <w:tabs>
              <w:tab w:val="right" w:leader="dot" w:pos="9180"/>
            </w:tabs>
            <w:spacing w:after="48"/>
            <w:rPr>
              <w:rFonts w:eastAsiaTheme="minorEastAsia" w:cstheme="minorBidi"/>
              <w:noProof/>
              <w:color w:val="auto"/>
              <w:kern w:val="2"/>
              <w:lang w:eastAsia="en-GB"/>
              <w14:ligatures w14:val="standardContextual"/>
            </w:rPr>
          </w:pPr>
          <w:hyperlink w:anchor="_Toc171689208" w:history="1">
            <w:r w:rsidR="00D345C0" w:rsidRPr="00B64DD8">
              <w:rPr>
                <w:rStyle w:val="Hyperlink"/>
                <w:noProof/>
              </w:rPr>
              <w:t>Search strategies</w:t>
            </w:r>
            <w:r w:rsidR="00D345C0">
              <w:rPr>
                <w:noProof/>
                <w:webHidden/>
              </w:rPr>
              <w:tab/>
            </w:r>
            <w:r w:rsidR="00D345C0">
              <w:rPr>
                <w:noProof/>
                <w:webHidden/>
              </w:rPr>
              <w:fldChar w:fldCharType="begin"/>
            </w:r>
            <w:r w:rsidR="00D345C0">
              <w:rPr>
                <w:noProof/>
                <w:webHidden/>
              </w:rPr>
              <w:instrText xml:space="preserve"> PAGEREF _Toc171689208 \h </w:instrText>
            </w:r>
            <w:r w:rsidR="00D345C0">
              <w:rPr>
                <w:noProof/>
                <w:webHidden/>
              </w:rPr>
            </w:r>
            <w:r w:rsidR="00D345C0">
              <w:rPr>
                <w:noProof/>
                <w:webHidden/>
              </w:rPr>
              <w:fldChar w:fldCharType="separate"/>
            </w:r>
            <w:r w:rsidR="00D345C0">
              <w:rPr>
                <w:noProof/>
                <w:webHidden/>
              </w:rPr>
              <w:t>4</w:t>
            </w:r>
            <w:r w:rsidR="00D345C0">
              <w:rPr>
                <w:noProof/>
                <w:webHidden/>
              </w:rPr>
              <w:fldChar w:fldCharType="end"/>
            </w:r>
          </w:hyperlink>
        </w:p>
        <w:p w14:paraId="2817965E" w14:textId="5DB4E66B" w:rsidR="00D345C0" w:rsidRDefault="008458F2">
          <w:pPr>
            <w:pStyle w:val="TOC2"/>
            <w:tabs>
              <w:tab w:val="right" w:leader="dot" w:pos="9180"/>
            </w:tabs>
            <w:spacing w:after="48"/>
            <w:rPr>
              <w:rFonts w:eastAsiaTheme="minorEastAsia" w:cstheme="minorBidi"/>
              <w:noProof/>
              <w:color w:val="auto"/>
              <w:kern w:val="2"/>
              <w:lang w:eastAsia="en-GB"/>
              <w14:ligatures w14:val="standardContextual"/>
            </w:rPr>
          </w:pPr>
          <w:hyperlink w:anchor="_Toc171689209" w:history="1">
            <w:r w:rsidR="00D345C0" w:rsidRPr="00B64DD8">
              <w:rPr>
                <w:rStyle w:val="Hyperlink"/>
                <w:rFonts w:eastAsiaTheme="majorEastAsia" w:cstheme="majorBidi"/>
                <w:bCs/>
                <w:noProof/>
              </w:rPr>
              <w:t>Search results</w:t>
            </w:r>
            <w:r w:rsidR="00D345C0">
              <w:rPr>
                <w:noProof/>
                <w:webHidden/>
              </w:rPr>
              <w:tab/>
            </w:r>
            <w:r w:rsidR="00D345C0">
              <w:rPr>
                <w:noProof/>
                <w:webHidden/>
              </w:rPr>
              <w:fldChar w:fldCharType="begin"/>
            </w:r>
            <w:r w:rsidR="00D345C0">
              <w:rPr>
                <w:noProof/>
                <w:webHidden/>
              </w:rPr>
              <w:instrText xml:space="preserve"> PAGEREF _Toc171689209 \h </w:instrText>
            </w:r>
            <w:r w:rsidR="00D345C0">
              <w:rPr>
                <w:noProof/>
                <w:webHidden/>
              </w:rPr>
            </w:r>
            <w:r w:rsidR="00D345C0">
              <w:rPr>
                <w:noProof/>
                <w:webHidden/>
              </w:rPr>
              <w:fldChar w:fldCharType="separate"/>
            </w:r>
            <w:r w:rsidR="00D345C0">
              <w:rPr>
                <w:noProof/>
                <w:webHidden/>
              </w:rPr>
              <w:t>10</w:t>
            </w:r>
            <w:r w:rsidR="00D345C0">
              <w:rPr>
                <w:noProof/>
                <w:webHidden/>
              </w:rPr>
              <w:fldChar w:fldCharType="end"/>
            </w:r>
          </w:hyperlink>
        </w:p>
        <w:p w14:paraId="3C7071D6" w14:textId="34B3DEAF" w:rsidR="00566235" w:rsidRPr="003F3840" w:rsidRDefault="0037486D" w:rsidP="00D60EEA">
          <w:pPr>
            <w:pStyle w:val="TOC1"/>
            <w:spacing w:before="48" w:after="48"/>
            <w:rPr>
              <w:sz w:val="24"/>
            </w:rPr>
          </w:pPr>
          <w:r>
            <w:rPr>
              <w:sz w:val="24"/>
            </w:rPr>
            <w:fldChar w:fldCharType="end"/>
          </w:r>
          <w:r w:rsidR="00566235" w:rsidRPr="003F3840">
            <w:rPr>
              <w:sz w:val="24"/>
            </w:rPr>
            <w:t xml:space="preserve"> </w:t>
          </w:r>
        </w:p>
        <w:p w14:paraId="40CBED6B" w14:textId="77777777" w:rsidR="00566235" w:rsidRPr="00D60EEA" w:rsidRDefault="008458F2" w:rsidP="00D60EEA"/>
      </w:sdtContent>
    </w:sdt>
    <w:p w14:paraId="6A5FF111" w14:textId="77777777" w:rsidR="00566235" w:rsidRPr="00D60EEA" w:rsidRDefault="00566235" w:rsidP="00D60EEA">
      <w:pPr>
        <w:rPr>
          <w:color w:val="49C5B1"/>
        </w:rPr>
      </w:pPr>
      <w:r w:rsidRPr="00D60EEA">
        <w:br w:type="page"/>
      </w:r>
    </w:p>
    <w:p w14:paraId="7DB01926" w14:textId="77777777" w:rsidR="00566235" w:rsidRPr="00BB34C3" w:rsidRDefault="00566235" w:rsidP="00BB34C3">
      <w:pPr>
        <w:pStyle w:val="Heading2"/>
        <w:spacing w:before="48" w:after="48"/>
      </w:pPr>
      <w:bookmarkStart w:id="6" w:name="_Toc171689207"/>
      <w:r w:rsidRPr="00BB34C3">
        <w:lastRenderedPageBreak/>
        <w:t>PICO and search notes</w:t>
      </w:r>
      <w:bookmarkEnd w:id="6"/>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9C5B1"/>
        <w:tblLook w:val="01E0" w:firstRow="1" w:lastRow="1" w:firstColumn="1" w:lastColumn="1" w:noHBand="0" w:noVBand="0"/>
      </w:tblPr>
      <w:tblGrid>
        <w:gridCol w:w="2268"/>
        <w:gridCol w:w="7371"/>
      </w:tblGrid>
      <w:tr w:rsidR="00566235" w:rsidRPr="00DB4A3D" w14:paraId="170E374B" w14:textId="77777777" w:rsidTr="004535EF">
        <w:trPr>
          <w:trHeight w:val="692"/>
        </w:trPr>
        <w:tc>
          <w:tcPr>
            <w:tcW w:w="2268" w:type="dxa"/>
            <w:shd w:val="clear" w:color="auto" w:fill="D9D9D9" w:themeFill="background1" w:themeFillShade="D9"/>
          </w:tcPr>
          <w:p w14:paraId="67C1D04C" w14:textId="77777777" w:rsidR="00566235" w:rsidRPr="00AF1532" w:rsidRDefault="00566235" w:rsidP="00D60EEA">
            <w:pPr>
              <w:rPr>
                <w:b/>
                <w:bCs/>
                <w:color w:val="auto"/>
              </w:rPr>
            </w:pPr>
            <w:r w:rsidRPr="00AF1532">
              <w:rPr>
                <w:b/>
                <w:bCs/>
                <w:color w:val="auto"/>
              </w:rPr>
              <w:t>Search title</w:t>
            </w:r>
          </w:p>
          <w:p w14:paraId="1160D971" w14:textId="77777777" w:rsidR="00566235" w:rsidRPr="00AF1532" w:rsidRDefault="00566235" w:rsidP="00D60EEA">
            <w:pPr>
              <w:rPr>
                <w:b/>
                <w:bCs/>
                <w:color w:val="auto"/>
              </w:rPr>
            </w:pPr>
          </w:p>
          <w:p w14:paraId="4B8271C2" w14:textId="77777777" w:rsidR="00566235" w:rsidRPr="00AF1532" w:rsidRDefault="00566235" w:rsidP="00D60EEA">
            <w:pPr>
              <w:rPr>
                <w:b/>
                <w:bCs/>
                <w:color w:val="auto"/>
              </w:rPr>
            </w:pPr>
          </w:p>
        </w:tc>
        <w:tc>
          <w:tcPr>
            <w:tcW w:w="7371" w:type="dxa"/>
            <w:shd w:val="clear" w:color="auto" w:fill="auto"/>
          </w:tcPr>
          <w:p w14:paraId="6652F1AC" w14:textId="274E0D54" w:rsidR="00566235" w:rsidRPr="002F56C4" w:rsidRDefault="00AF1173" w:rsidP="00AF1173">
            <w:pPr>
              <w:rPr>
                <w:color w:val="auto"/>
              </w:rPr>
            </w:pPr>
            <w:r w:rsidRPr="00AF1173">
              <w:rPr>
                <w:color w:val="auto"/>
              </w:rPr>
              <w:t>A review of the impact of obstetric related</w:t>
            </w:r>
            <w:r>
              <w:rPr>
                <w:color w:val="auto"/>
              </w:rPr>
              <w:t xml:space="preserve"> </w:t>
            </w:r>
            <w:r w:rsidRPr="00AF1173">
              <w:rPr>
                <w:color w:val="auto"/>
              </w:rPr>
              <w:t>severe perineal trauma on sexual function: an</w:t>
            </w:r>
            <w:r>
              <w:rPr>
                <w:color w:val="auto"/>
              </w:rPr>
              <w:t xml:space="preserve"> </w:t>
            </w:r>
            <w:r w:rsidRPr="00AF1173">
              <w:rPr>
                <w:color w:val="auto"/>
              </w:rPr>
              <w:t>unspoken maternal morbidity</w:t>
            </w:r>
          </w:p>
        </w:tc>
      </w:tr>
      <w:tr w:rsidR="00566235" w:rsidRPr="00DB4A3D" w14:paraId="52EBA130" w14:textId="77777777" w:rsidTr="004535EF">
        <w:tc>
          <w:tcPr>
            <w:tcW w:w="2268" w:type="dxa"/>
            <w:shd w:val="clear" w:color="auto" w:fill="D9D9D9" w:themeFill="background1" w:themeFillShade="D9"/>
          </w:tcPr>
          <w:p w14:paraId="176BE9A0" w14:textId="77777777" w:rsidR="00566235" w:rsidRPr="00AF1532" w:rsidRDefault="00566235" w:rsidP="00D60EEA">
            <w:pPr>
              <w:rPr>
                <w:b/>
                <w:bCs/>
                <w:color w:val="auto"/>
              </w:rPr>
            </w:pPr>
            <w:r w:rsidRPr="00AF1532">
              <w:rPr>
                <w:b/>
                <w:bCs/>
                <w:color w:val="auto"/>
              </w:rPr>
              <w:t>Research question</w:t>
            </w:r>
            <w:r w:rsidRPr="00AF1532">
              <w:rPr>
                <w:b/>
                <w:bCs/>
                <w:color w:val="auto"/>
              </w:rPr>
              <w:br/>
            </w:r>
          </w:p>
        </w:tc>
        <w:tc>
          <w:tcPr>
            <w:tcW w:w="7371" w:type="dxa"/>
            <w:shd w:val="clear" w:color="auto" w:fill="auto"/>
          </w:tcPr>
          <w:p w14:paraId="21EE6D81" w14:textId="06DBF0A7" w:rsidR="00566235" w:rsidRPr="002F56C4" w:rsidRDefault="00566235" w:rsidP="00D60EEA">
            <w:pPr>
              <w:rPr>
                <w:color w:val="auto"/>
              </w:rPr>
            </w:pPr>
          </w:p>
        </w:tc>
      </w:tr>
      <w:tr w:rsidR="00566235" w:rsidRPr="00DB4A3D" w14:paraId="11BB58FE" w14:textId="77777777" w:rsidTr="004535EF">
        <w:tc>
          <w:tcPr>
            <w:tcW w:w="2268" w:type="dxa"/>
            <w:shd w:val="clear" w:color="auto" w:fill="D9D9D9" w:themeFill="background1" w:themeFillShade="D9"/>
          </w:tcPr>
          <w:p w14:paraId="34939889" w14:textId="77777777" w:rsidR="00566235" w:rsidRPr="00AF1532" w:rsidRDefault="00566235" w:rsidP="00D60EEA">
            <w:pPr>
              <w:rPr>
                <w:b/>
                <w:bCs/>
                <w:color w:val="auto"/>
              </w:rPr>
            </w:pPr>
            <w:r w:rsidRPr="00AF1532">
              <w:rPr>
                <w:b/>
                <w:bCs/>
                <w:color w:val="auto"/>
              </w:rPr>
              <w:t>Population(s)</w:t>
            </w:r>
            <w:r w:rsidRPr="00AF1532">
              <w:rPr>
                <w:b/>
                <w:bCs/>
                <w:color w:val="auto"/>
              </w:rPr>
              <w:br/>
            </w:r>
          </w:p>
          <w:p w14:paraId="1D4FA167" w14:textId="77777777" w:rsidR="00566235" w:rsidRPr="00AF1532" w:rsidRDefault="00566235" w:rsidP="00D60EEA">
            <w:pPr>
              <w:rPr>
                <w:b/>
                <w:bCs/>
                <w:color w:val="auto"/>
              </w:rPr>
            </w:pPr>
          </w:p>
        </w:tc>
        <w:tc>
          <w:tcPr>
            <w:tcW w:w="7371" w:type="dxa"/>
            <w:shd w:val="clear" w:color="auto" w:fill="auto"/>
          </w:tcPr>
          <w:p w14:paraId="12EFB9E6" w14:textId="0BD43267" w:rsidR="00566235" w:rsidRPr="002F56C4" w:rsidRDefault="00AF1173" w:rsidP="00AF1173">
            <w:pPr>
              <w:rPr>
                <w:color w:val="auto"/>
              </w:rPr>
            </w:pPr>
            <w:r w:rsidRPr="00AF1173">
              <w:rPr>
                <w:color w:val="auto"/>
              </w:rPr>
              <w:t>Pre-menopausal women with obstetric anal</w:t>
            </w:r>
            <w:r>
              <w:rPr>
                <w:color w:val="auto"/>
              </w:rPr>
              <w:t xml:space="preserve"> </w:t>
            </w:r>
            <w:r w:rsidRPr="00AF1173">
              <w:rPr>
                <w:color w:val="auto"/>
              </w:rPr>
              <w:t xml:space="preserve">sphincter injuries </w:t>
            </w:r>
            <w:r>
              <w:rPr>
                <w:color w:val="auto"/>
              </w:rPr>
              <w:t>(</w:t>
            </w:r>
            <w:r w:rsidRPr="00AF1173">
              <w:rPr>
                <w:color w:val="auto"/>
              </w:rPr>
              <w:t>OASIS/grade 3 and 4</w:t>
            </w:r>
            <w:r>
              <w:rPr>
                <w:color w:val="auto"/>
              </w:rPr>
              <w:t xml:space="preserve"> </w:t>
            </w:r>
            <w:r w:rsidRPr="00AF1173">
              <w:rPr>
                <w:color w:val="auto"/>
              </w:rPr>
              <w:t>perineal tears) sustained following a vaginal</w:t>
            </w:r>
            <w:r>
              <w:rPr>
                <w:color w:val="auto"/>
              </w:rPr>
              <w:t xml:space="preserve"> </w:t>
            </w:r>
            <w:r w:rsidRPr="00AF1173">
              <w:rPr>
                <w:color w:val="auto"/>
              </w:rPr>
              <w:t>delivery.</w:t>
            </w:r>
          </w:p>
        </w:tc>
      </w:tr>
      <w:tr w:rsidR="00566235" w:rsidRPr="00DB4A3D" w14:paraId="53E1D88B" w14:textId="77777777" w:rsidTr="004535EF">
        <w:tc>
          <w:tcPr>
            <w:tcW w:w="2268" w:type="dxa"/>
            <w:shd w:val="clear" w:color="auto" w:fill="D9D9D9" w:themeFill="background1" w:themeFillShade="D9"/>
          </w:tcPr>
          <w:p w14:paraId="5B51B0BC" w14:textId="77777777" w:rsidR="00566235" w:rsidRPr="00AF1532" w:rsidRDefault="00566235" w:rsidP="00D60EEA">
            <w:pPr>
              <w:rPr>
                <w:b/>
                <w:bCs/>
                <w:color w:val="auto"/>
              </w:rPr>
            </w:pPr>
            <w:r w:rsidRPr="00AF1532">
              <w:rPr>
                <w:b/>
                <w:bCs/>
                <w:color w:val="auto"/>
              </w:rPr>
              <w:t>Intervention(s)</w:t>
            </w:r>
            <w:r w:rsidRPr="00AF1532">
              <w:rPr>
                <w:b/>
                <w:bCs/>
                <w:color w:val="auto"/>
              </w:rPr>
              <w:br/>
            </w:r>
          </w:p>
          <w:p w14:paraId="67F5F96E" w14:textId="77777777" w:rsidR="00566235" w:rsidRPr="00AF1532" w:rsidRDefault="00566235" w:rsidP="00D60EEA">
            <w:pPr>
              <w:rPr>
                <w:b/>
                <w:bCs/>
                <w:color w:val="auto"/>
              </w:rPr>
            </w:pPr>
          </w:p>
        </w:tc>
        <w:tc>
          <w:tcPr>
            <w:tcW w:w="7371" w:type="dxa"/>
            <w:shd w:val="clear" w:color="auto" w:fill="auto"/>
          </w:tcPr>
          <w:p w14:paraId="626EE8B2" w14:textId="3C1BBB72" w:rsidR="00566235" w:rsidRPr="002F56C4" w:rsidRDefault="00AF1173" w:rsidP="00AF1173">
            <w:pPr>
              <w:rPr>
                <w:color w:val="auto"/>
              </w:rPr>
            </w:pPr>
            <w:r w:rsidRPr="00AF1173">
              <w:rPr>
                <w:color w:val="auto"/>
              </w:rPr>
              <w:t>The researchers are assessing the impact of</w:t>
            </w:r>
            <w:r>
              <w:rPr>
                <w:color w:val="auto"/>
              </w:rPr>
              <w:t xml:space="preserve"> </w:t>
            </w:r>
            <w:r w:rsidRPr="00AF1173">
              <w:rPr>
                <w:color w:val="auto"/>
              </w:rPr>
              <w:t>these obstetric anal sphincter injuries</w:t>
            </w:r>
            <w:r>
              <w:rPr>
                <w:color w:val="auto"/>
              </w:rPr>
              <w:t xml:space="preserve"> </w:t>
            </w:r>
            <w:r w:rsidRPr="00AF1173">
              <w:rPr>
                <w:color w:val="auto"/>
              </w:rPr>
              <w:t>(OASIS) on a woman's sexual function postpartum</w:t>
            </w:r>
          </w:p>
        </w:tc>
      </w:tr>
      <w:tr w:rsidR="00566235" w:rsidRPr="00DB4A3D" w14:paraId="16948876" w14:textId="77777777" w:rsidTr="004535EF">
        <w:tc>
          <w:tcPr>
            <w:tcW w:w="2268" w:type="dxa"/>
            <w:shd w:val="clear" w:color="auto" w:fill="D9D9D9" w:themeFill="background1" w:themeFillShade="D9"/>
          </w:tcPr>
          <w:p w14:paraId="1A3D2B35" w14:textId="77777777" w:rsidR="00566235" w:rsidRPr="00AF1532" w:rsidRDefault="00566235" w:rsidP="00D60EEA">
            <w:pPr>
              <w:rPr>
                <w:b/>
                <w:bCs/>
                <w:color w:val="auto"/>
              </w:rPr>
            </w:pPr>
            <w:r w:rsidRPr="00AF1532">
              <w:rPr>
                <w:b/>
                <w:bCs/>
                <w:color w:val="auto"/>
              </w:rPr>
              <w:t>Comparators</w:t>
            </w:r>
            <w:r w:rsidRPr="00AF1532">
              <w:rPr>
                <w:b/>
                <w:bCs/>
                <w:color w:val="auto"/>
              </w:rPr>
              <w:br/>
            </w:r>
          </w:p>
          <w:p w14:paraId="37AF5A82" w14:textId="77777777" w:rsidR="00566235" w:rsidRPr="00AF1532" w:rsidRDefault="00566235" w:rsidP="00D60EEA">
            <w:pPr>
              <w:rPr>
                <w:b/>
                <w:bCs/>
                <w:color w:val="auto"/>
              </w:rPr>
            </w:pPr>
          </w:p>
        </w:tc>
        <w:tc>
          <w:tcPr>
            <w:tcW w:w="7371" w:type="dxa"/>
            <w:shd w:val="clear" w:color="auto" w:fill="auto"/>
          </w:tcPr>
          <w:p w14:paraId="5D30074A" w14:textId="5CDE007B" w:rsidR="00566235" w:rsidRPr="002F56C4" w:rsidRDefault="00AF1173" w:rsidP="00D60EEA">
            <w:pPr>
              <w:rPr>
                <w:color w:val="auto"/>
              </w:rPr>
            </w:pPr>
            <w:r>
              <w:rPr>
                <w:color w:val="auto"/>
              </w:rPr>
              <w:t>n/a</w:t>
            </w:r>
          </w:p>
        </w:tc>
      </w:tr>
      <w:tr w:rsidR="00566235" w:rsidRPr="00DB4A3D" w14:paraId="7454C95E" w14:textId="77777777" w:rsidTr="004535EF">
        <w:tc>
          <w:tcPr>
            <w:tcW w:w="2268" w:type="dxa"/>
            <w:shd w:val="clear" w:color="auto" w:fill="D9D9D9" w:themeFill="background1" w:themeFillShade="D9"/>
          </w:tcPr>
          <w:p w14:paraId="5B43E3E4" w14:textId="77777777" w:rsidR="00566235" w:rsidRPr="00AF1532" w:rsidRDefault="00566235" w:rsidP="00D60EEA">
            <w:pPr>
              <w:rPr>
                <w:b/>
                <w:bCs/>
                <w:color w:val="auto"/>
              </w:rPr>
            </w:pPr>
            <w:r w:rsidRPr="00AF1532">
              <w:rPr>
                <w:b/>
                <w:bCs/>
                <w:color w:val="auto"/>
              </w:rPr>
              <w:t>Outcomes</w:t>
            </w:r>
          </w:p>
          <w:p w14:paraId="568A978A" w14:textId="77777777" w:rsidR="00566235" w:rsidRPr="00AF1532" w:rsidRDefault="00566235" w:rsidP="00D60EEA">
            <w:pPr>
              <w:rPr>
                <w:b/>
                <w:bCs/>
                <w:color w:val="auto"/>
              </w:rPr>
            </w:pPr>
          </w:p>
          <w:p w14:paraId="1DE470B0" w14:textId="77777777" w:rsidR="00566235" w:rsidRPr="00AF1532" w:rsidRDefault="00566235" w:rsidP="00D60EEA">
            <w:pPr>
              <w:rPr>
                <w:b/>
                <w:bCs/>
                <w:color w:val="auto"/>
              </w:rPr>
            </w:pPr>
          </w:p>
        </w:tc>
        <w:tc>
          <w:tcPr>
            <w:tcW w:w="7371" w:type="dxa"/>
            <w:shd w:val="clear" w:color="auto" w:fill="auto"/>
          </w:tcPr>
          <w:p w14:paraId="5FC3C476" w14:textId="0118AAEF" w:rsidR="00566235" w:rsidRPr="002F56C4" w:rsidRDefault="00AF1173" w:rsidP="003F3840">
            <w:pPr>
              <w:tabs>
                <w:tab w:val="left" w:pos="1440"/>
              </w:tabs>
              <w:rPr>
                <w:color w:val="auto"/>
              </w:rPr>
            </w:pPr>
            <w:r>
              <w:rPr>
                <w:color w:val="auto"/>
              </w:rPr>
              <w:t>n/a</w:t>
            </w:r>
          </w:p>
        </w:tc>
      </w:tr>
      <w:tr w:rsidR="00566235" w:rsidRPr="00DB4A3D" w14:paraId="6906A896" w14:textId="77777777" w:rsidTr="004535EF">
        <w:tc>
          <w:tcPr>
            <w:tcW w:w="2268" w:type="dxa"/>
            <w:shd w:val="clear" w:color="auto" w:fill="D9D9D9" w:themeFill="background1" w:themeFillShade="D9"/>
          </w:tcPr>
          <w:p w14:paraId="73BE0791" w14:textId="77777777" w:rsidR="00566235" w:rsidRPr="00AF1532" w:rsidRDefault="00566235" w:rsidP="00D60EEA">
            <w:pPr>
              <w:rPr>
                <w:b/>
                <w:bCs/>
                <w:color w:val="auto"/>
              </w:rPr>
            </w:pPr>
            <w:r w:rsidRPr="00AF1532">
              <w:rPr>
                <w:b/>
                <w:bCs/>
                <w:color w:val="auto"/>
              </w:rPr>
              <w:t xml:space="preserve">Exclusion criteria </w:t>
            </w:r>
            <w:r w:rsidRPr="00AF1532">
              <w:rPr>
                <w:b/>
                <w:bCs/>
                <w:color w:val="auto"/>
              </w:rPr>
              <w:br/>
            </w:r>
          </w:p>
          <w:p w14:paraId="5C353F95" w14:textId="77777777" w:rsidR="00566235" w:rsidRPr="00AF1532" w:rsidRDefault="00566235" w:rsidP="00D60EEA">
            <w:pPr>
              <w:rPr>
                <w:b/>
                <w:bCs/>
                <w:color w:val="auto"/>
              </w:rPr>
            </w:pPr>
          </w:p>
        </w:tc>
        <w:tc>
          <w:tcPr>
            <w:tcW w:w="7371" w:type="dxa"/>
            <w:shd w:val="clear" w:color="auto" w:fill="auto"/>
          </w:tcPr>
          <w:p w14:paraId="01D5255A" w14:textId="1CE3FDF8" w:rsidR="00566235" w:rsidRPr="002F56C4" w:rsidRDefault="00AF1173" w:rsidP="00AF1173">
            <w:pPr>
              <w:rPr>
                <w:color w:val="auto"/>
              </w:rPr>
            </w:pPr>
            <w:r w:rsidRPr="00AF1173">
              <w:rPr>
                <w:color w:val="auto"/>
              </w:rPr>
              <w:t>papers not in the English language, no</w:t>
            </w:r>
            <w:r>
              <w:rPr>
                <w:color w:val="auto"/>
              </w:rPr>
              <w:t xml:space="preserve"> </w:t>
            </w:r>
            <w:r w:rsidRPr="00AF1173">
              <w:rPr>
                <w:color w:val="auto"/>
              </w:rPr>
              <w:t>animal/cadaveric studies, any studies on nonobstetric</w:t>
            </w:r>
            <w:r>
              <w:rPr>
                <w:color w:val="auto"/>
              </w:rPr>
              <w:t xml:space="preserve"> </w:t>
            </w:r>
            <w:r w:rsidRPr="00AF1173">
              <w:rPr>
                <w:color w:val="auto"/>
              </w:rPr>
              <w:t>related perineal trauma, all</w:t>
            </w:r>
            <w:r>
              <w:rPr>
                <w:color w:val="auto"/>
              </w:rPr>
              <w:t xml:space="preserve"> </w:t>
            </w:r>
            <w:r w:rsidRPr="00AF1173">
              <w:rPr>
                <w:color w:val="auto"/>
              </w:rPr>
              <w:t>systematic reviews, letters, case reports and</w:t>
            </w:r>
            <w:r>
              <w:rPr>
                <w:color w:val="auto"/>
              </w:rPr>
              <w:t xml:space="preserve"> </w:t>
            </w:r>
            <w:r w:rsidRPr="00AF1173">
              <w:rPr>
                <w:color w:val="auto"/>
              </w:rPr>
              <w:t>conference proceedings are to be excluded</w:t>
            </w:r>
          </w:p>
        </w:tc>
      </w:tr>
      <w:tr w:rsidR="00566235" w:rsidRPr="00DB4A3D" w14:paraId="33BADDBC" w14:textId="77777777" w:rsidTr="004535EF">
        <w:tc>
          <w:tcPr>
            <w:tcW w:w="2268" w:type="dxa"/>
            <w:shd w:val="clear" w:color="auto" w:fill="D9D9D9" w:themeFill="background1" w:themeFillShade="D9"/>
          </w:tcPr>
          <w:p w14:paraId="3F7E79DB" w14:textId="77777777" w:rsidR="00566235" w:rsidRPr="00AF1532" w:rsidRDefault="00566235" w:rsidP="00D60EEA">
            <w:pPr>
              <w:rPr>
                <w:b/>
                <w:bCs/>
                <w:color w:val="auto"/>
              </w:rPr>
            </w:pPr>
            <w:r w:rsidRPr="00AF1532">
              <w:rPr>
                <w:b/>
                <w:bCs/>
                <w:color w:val="auto"/>
              </w:rPr>
              <w:t xml:space="preserve">Search period </w:t>
            </w:r>
          </w:p>
          <w:p w14:paraId="72159E99" w14:textId="77777777" w:rsidR="00566235" w:rsidRPr="00AF1532" w:rsidRDefault="00566235" w:rsidP="00D60EEA">
            <w:pPr>
              <w:rPr>
                <w:b/>
                <w:bCs/>
                <w:color w:val="auto"/>
              </w:rPr>
            </w:pPr>
            <w:r w:rsidRPr="00AF1532">
              <w:rPr>
                <w:b/>
                <w:bCs/>
                <w:color w:val="auto"/>
              </w:rPr>
              <w:br/>
            </w:r>
          </w:p>
        </w:tc>
        <w:tc>
          <w:tcPr>
            <w:tcW w:w="7371" w:type="dxa"/>
            <w:shd w:val="clear" w:color="auto" w:fill="auto"/>
          </w:tcPr>
          <w:p w14:paraId="42723DD5" w14:textId="42656AF8" w:rsidR="00566235" w:rsidRPr="002F56C4" w:rsidRDefault="00AF1173" w:rsidP="005E08B4">
            <w:pPr>
              <w:pStyle w:val="BazianTableBullet1"/>
              <w:numPr>
                <w:ilvl w:val="0"/>
                <w:numId w:val="0"/>
              </w:numPr>
              <w:contextualSpacing/>
              <w:rPr>
                <w:rFonts w:asciiTheme="minorHAnsi" w:hAnsiTheme="minorHAnsi" w:cstheme="minorHAnsi"/>
                <w:sz w:val="24"/>
                <w:lang w:eastAsia="en-US"/>
              </w:rPr>
            </w:pPr>
            <w:r>
              <w:rPr>
                <w:rFonts w:asciiTheme="minorHAnsi" w:hAnsiTheme="minorHAnsi" w:cstheme="minorHAnsi"/>
                <w:sz w:val="24"/>
                <w:lang w:eastAsia="en-US"/>
              </w:rPr>
              <w:t>From inception</w:t>
            </w:r>
          </w:p>
        </w:tc>
      </w:tr>
      <w:tr w:rsidR="00566235" w:rsidRPr="00DB4A3D" w14:paraId="02903D3E" w14:textId="77777777" w:rsidTr="004535EF">
        <w:tc>
          <w:tcPr>
            <w:tcW w:w="2268" w:type="dxa"/>
            <w:shd w:val="clear" w:color="auto" w:fill="D9D9D9" w:themeFill="background1" w:themeFillShade="D9"/>
          </w:tcPr>
          <w:p w14:paraId="22D94878" w14:textId="77777777" w:rsidR="00566235" w:rsidRPr="00AF1532" w:rsidRDefault="00566235" w:rsidP="00D60EEA">
            <w:pPr>
              <w:rPr>
                <w:b/>
                <w:bCs/>
                <w:color w:val="auto"/>
              </w:rPr>
            </w:pPr>
            <w:r w:rsidRPr="00AF1532">
              <w:rPr>
                <w:b/>
                <w:bCs/>
                <w:color w:val="auto"/>
              </w:rPr>
              <w:t xml:space="preserve">Types of studies </w:t>
            </w:r>
          </w:p>
          <w:p w14:paraId="04BDEEE7" w14:textId="77777777" w:rsidR="00566235" w:rsidRPr="00AF1532" w:rsidRDefault="00566235" w:rsidP="00D60EEA">
            <w:pPr>
              <w:rPr>
                <w:b/>
                <w:bCs/>
                <w:color w:val="auto"/>
              </w:rPr>
            </w:pPr>
            <w:r w:rsidRPr="00AF1532">
              <w:rPr>
                <w:b/>
                <w:bCs/>
                <w:color w:val="auto"/>
              </w:rPr>
              <w:t>included</w:t>
            </w:r>
            <w:r w:rsidRPr="00AF1532">
              <w:rPr>
                <w:b/>
                <w:bCs/>
                <w:color w:val="auto"/>
              </w:rPr>
              <w:br/>
            </w:r>
          </w:p>
        </w:tc>
        <w:tc>
          <w:tcPr>
            <w:tcW w:w="7371" w:type="dxa"/>
            <w:shd w:val="clear" w:color="auto" w:fill="auto"/>
          </w:tcPr>
          <w:p w14:paraId="0582B617" w14:textId="4B27EC99" w:rsidR="00566235" w:rsidRPr="002F56C4" w:rsidRDefault="00AF1173" w:rsidP="00D60EEA">
            <w:pPr>
              <w:rPr>
                <w:color w:val="auto"/>
              </w:rPr>
            </w:pPr>
            <w:r>
              <w:rPr>
                <w:color w:val="auto"/>
              </w:rPr>
              <w:t>n/a</w:t>
            </w:r>
          </w:p>
        </w:tc>
      </w:tr>
      <w:tr w:rsidR="00566235" w:rsidRPr="00DB4A3D" w14:paraId="39CB29DD" w14:textId="77777777" w:rsidTr="004535EF">
        <w:tc>
          <w:tcPr>
            <w:tcW w:w="2268" w:type="dxa"/>
            <w:shd w:val="clear" w:color="auto" w:fill="D9D9D9" w:themeFill="background1" w:themeFillShade="D9"/>
          </w:tcPr>
          <w:p w14:paraId="728A1F6E" w14:textId="77777777" w:rsidR="00566235" w:rsidRPr="00AF1532" w:rsidRDefault="00566235" w:rsidP="00D60EEA">
            <w:pPr>
              <w:rPr>
                <w:b/>
                <w:bCs/>
                <w:color w:val="auto"/>
              </w:rPr>
            </w:pPr>
            <w:r w:rsidRPr="00AF1532">
              <w:rPr>
                <w:b/>
                <w:bCs/>
                <w:color w:val="auto"/>
              </w:rPr>
              <w:t xml:space="preserve">Comments </w:t>
            </w:r>
          </w:p>
          <w:p w14:paraId="37E4A9BD" w14:textId="77777777" w:rsidR="00566235" w:rsidRPr="00AF1532" w:rsidRDefault="00566235" w:rsidP="00D60EEA">
            <w:pPr>
              <w:rPr>
                <w:color w:val="auto"/>
              </w:rPr>
            </w:pPr>
          </w:p>
          <w:p w14:paraId="5A507BEB" w14:textId="77777777" w:rsidR="00566235" w:rsidRPr="00AF1532" w:rsidRDefault="00566235" w:rsidP="00D60EEA">
            <w:pPr>
              <w:rPr>
                <w:color w:val="auto"/>
              </w:rPr>
            </w:pPr>
          </w:p>
        </w:tc>
        <w:tc>
          <w:tcPr>
            <w:tcW w:w="7371" w:type="dxa"/>
            <w:shd w:val="clear" w:color="auto" w:fill="auto"/>
          </w:tcPr>
          <w:p w14:paraId="30AC0B1A" w14:textId="77777777" w:rsidR="00AF1532" w:rsidRDefault="00AF1173" w:rsidP="00AF1173">
            <w:pPr>
              <w:pStyle w:val="BazianTableBullet1"/>
              <w:numPr>
                <w:ilvl w:val="0"/>
                <w:numId w:val="3"/>
              </w:numPr>
              <w:contextualSpacing/>
              <w:rPr>
                <w:rFonts w:asciiTheme="minorHAnsi" w:hAnsiTheme="minorHAnsi" w:cstheme="minorHAnsi"/>
                <w:sz w:val="24"/>
                <w:lang w:eastAsia="en-US"/>
              </w:rPr>
            </w:pPr>
            <w:r>
              <w:rPr>
                <w:rFonts w:asciiTheme="minorHAnsi" w:hAnsiTheme="minorHAnsi" w:cstheme="minorHAnsi"/>
                <w:sz w:val="24"/>
                <w:lang w:eastAsia="en-US"/>
              </w:rPr>
              <w:t>Searches were conducted in Ovid MEDLINE, Ovid Embase, and Cochrane Library. RCSE does not hold subscriptions to PsychInfo or MIDIRS/MIC</w:t>
            </w:r>
          </w:p>
          <w:p w14:paraId="7CDCCBE2" w14:textId="6BA71661" w:rsidR="00AF1173" w:rsidRDefault="00AF1173" w:rsidP="00AF1173">
            <w:pPr>
              <w:pStyle w:val="BazianTableBullet1"/>
              <w:numPr>
                <w:ilvl w:val="0"/>
                <w:numId w:val="3"/>
              </w:numPr>
              <w:contextualSpacing/>
              <w:rPr>
                <w:rFonts w:asciiTheme="minorHAnsi" w:hAnsiTheme="minorHAnsi" w:cstheme="minorHAnsi"/>
                <w:sz w:val="24"/>
                <w:lang w:eastAsia="en-US"/>
              </w:rPr>
            </w:pPr>
            <w:r>
              <w:rPr>
                <w:rFonts w:asciiTheme="minorHAnsi" w:hAnsiTheme="minorHAnsi" w:cstheme="minorHAnsi"/>
                <w:sz w:val="24"/>
                <w:lang w:eastAsia="en-US"/>
              </w:rPr>
              <w:t>It was not possible to filter out systematic reviews or cadaveric studies – these will have to be excluded during the sift. Filters were applied in Ovid MEDLINE and Embase to exclude non-English language papers, animal studies, letters, case reports, and conference proceedings.</w:t>
            </w:r>
          </w:p>
          <w:p w14:paraId="51A71CA1" w14:textId="3704AEE8" w:rsidR="00AF1173" w:rsidRDefault="00AF1173" w:rsidP="00AF1173">
            <w:pPr>
              <w:pStyle w:val="BazianTableBullet1"/>
              <w:numPr>
                <w:ilvl w:val="0"/>
                <w:numId w:val="3"/>
              </w:numPr>
              <w:contextualSpacing/>
              <w:rPr>
                <w:rFonts w:asciiTheme="minorHAnsi" w:hAnsiTheme="minorHAnsi" w:cstheme="minorHAnsi"/>
                <w:sz w:val="24"/>
                <w:lang w:eastAsia="en-US"/>
              </w:rPr>
            </w:pPr>
            <w:r>
              <w:rPr>
                <w:rFonts w:asciiTheme="minorHAnsi" w:hAnsiTheme="minorHAnsi" w:cstheme="minorHAnsi"/>
                <w:sz w:val="24"/>
                <w:lang w:eastAsia="en-US"/>
              </w:rPr>
              <w:t xml:space="preserve">The animal filter </w:t>
            </w:r>
            <w:r w:rsidR="00845419">
              <w:rPr>
                <w:rFonts w:asciiTheme="minorHAnsi" w:hAnsiTheme="minorHAnsi" w:cstheme="minorHAnsi"/>
                <w:sz w:val="24"/>
                <w:lang w:eastAsia="en-US"/>
              </w:rPr>
              <w:t xml:space="preserve">in lines 25-33 </w:t>
            </w:r>
            <w:r>
              <w:rPr>
                <w:rFonts w:asciiTheme="minorHAnsi" w:hAnsiTheme="minorHAnsi" w:cstheme="minorHAnsi"/>
                <w:sz w:val="24"/>
                <w:lang w:eastAsia="en-US"/>
              </w:rPr>
              <w:t xml:space="preserve">was adapted from </w:t>
            </w:r>
            <w:r w:rsidRPr="00AF1173">
              <w:rPr>
                <w:rFonts w:asciiTheme="minorHAnsi" w:hAnsiTheme="minorHAnsi" w:cstheme="minorHAnsi"/>
                <w:sz w:val="24"/>
                <w:lang w:eastAsia="en-US"/>
              </w:rPr>
              <w:t xml:space="preserve">Animal Studies - Standard - MEDLINE, Embase. In: CADTH Search Filters Database. Ottawa: CADTH; 2023: </w:t>
            </w:r>
            <w:hyperlink r:id="rId11" w:history="1">
              <w:r w:rsidRPr="00AF1173">
                <w:rPr>
                  <w:rStyle w:val="Hyperlink"/>
                  <w:rFonts w:asciiTheme="minorHAnsi" w:hAnsiTheme="minorHAnsi" w:cstheme="minorHAnsi"/>
                  <w:sz w:val="24"/>
                  <w:lang w:eastAsia="en-US"/>
                </w:rPr>
                <w:t>https://searchfilters.cadth.ca/link/6</w:t>
              </w:r>
            </w:hyperlink>
            <w:r w:rsidRPr="00AF1173">
              <w:rPr>
                <w:rFonts w:asciiTheme="minorHAnsi" w:hAnsiTheme="minorHAnsi" w:cstheme="minorHAnsi"/>
                <w:sz w:val="24"/>
                <w:lang w:eastAsia="en-US"/>
              </w:rPr>
              <w:t xml:space="preserve">. </w:t>
            </w:r>
          </w:p>
          <w:p w14:paraId="4796CB66" w14:textId="50E76D93" w:rsidR="00AF1173" w:rsidRDefault="00AF1173" w:rsidP="00AF1173">
            <w:pPr>
              <w:pStyle w:val="BazianTableBullet1"/>
              <w:numPr>
                <w:ilvl w:val="0"/>
                <w:numId w:val="3"/>
              </w:numPr>
              <w:contextualSpacing/>
              <w:rPr>
                <w:rFonts w:asciiTheme="minorHAnsi" w:hAnsiTheme="minorHAnsi" w:cstheme="minorHAnsi"/>
                <w:sz w:val="24"/>
                <w:lang w:eastAsia="en-US"/>
              </w:rPr>
            </w:pPr>
            <w:r>
              <w:rPr>
                <w:rFonts w:asciiTheme="minorHAnsi" w:hAnsiTheme="minorHAnsi" w:cstheme="minorHAnsi"/>
                <w:sz w:val="24"/>
                <w:lang w:eastAsia="en-US"/>
              </w:rPr>
              <w:t>The excluded studies filter</w:t>
            </w:r>
            <w:r w:rsidR="00845419">
              <w:rPr>
                <w:rFonts w:asciiTheme="minorHAnsi" w:hAnsiTheme="minorHAnsi" w:cstheme="minorHAnsi"/>
                <w:sz w:val="24"/>
                <w:lang w:eastAsia="en-US"/>
              </w:rPr>
              <w:t xml:space="preserve"> (lines 34-44)</w:t>
            </w:r>
            <w:r>
              <w:rPr>
                <w:rFonts w:asciiTheme="minorHAnsi" w:hAnsiTheme="minorHAnsi" w:cstheme="minorHAnsi"/>
                <w:sz w:val="24"/>
                <w:lang w:eastAsia="en-US"/>
              </w:rPr>
              <w:t xml:space="preserve"> was adapted from </w:t>
            </w:r>
            <w:r w:rsidR="00845419">
              <w:rPr>
                <w:rFonts w:asciiTheme="minorHAnsi" w:hAnsiTheme="minorHAnsi" w:cstheme="minorHAnsi"/>
                <w:sz w:val="24"/>
                <w:lang w:eastAsia="en-US"/>
              </w:rPr>
              <w:t>NICE’s excluded study design</w:t>
            </w:r>
            <w:r>
              <w:rPr>
                <w:rFonts w:asciiTheme="minorHAnsi" w:hAnsiTheme="minorHAnsi" w:cstheme="minorHAnsi"/>
                <w:sz w:val="24"/>
                <w:lang w:eastAsia="en-US"/>
              </w:rPr>
              <w:t xml:space="preserve"> filte</w:t>
            </w:r>
            <w:r w:rsidR="00845419">
              <w:rPr>
                <w:rFonts w:asciiTheme="minorHAnsi" w:hAnsiTheme="minorHAnsi" w:cstheme="minorHAnsi"/>
                <w:sz w:val="24"/>
                <w:lang w:eastAsia="en-US"/>
              </w:rPr>
              <w:t>r</w:t>
            </w:r>
            <w:r>
              <w:rPr>
                <w:rFonts w:asciiTheme="minorHAnsi" w:hAnsiTheme="minorHAnsi" w:cstheme="minorHAnsi"/>
                <w:sz w:val="24"/>
                <w:lang w:eastAsia="en-US"/>
              </w:rPr>
              <w:t>.</w:t>
            </w:r>
          </w:p>
          <w:p w14:paraId="5CAED26B" w14:textId="0C1162E9" w:rsidR="00AF1173" w:rsidRPr="002F56C4" w:rsidRDefault="00AF1173" w:rsidP="00AF1173">
            <w:pPr>
              <w:pStyle w:val="BazianTableBullet1"/>
              <w:numPr>
                <w:ilvl w:val="0"/>
                <w:numId w:val="0"/>
              </w:numPr>
              <w:ind w:left="720"/>
              <w:contextualSpacing/>
              <w:rPr>
                <w:rFonts w:asciiTheme="minorHAnsi" w:hAnsiTheme="minorHAnsi" w:cstheme="minorHAnsi"/>
                <w:sz w:val="24"/>
                <w:lang w:eastAsia="en-US"/>
              </w:rPr>
            </w:pPr>
          </w:p>
        </w:tc>
      </w:tr>
    </w:tbl>
    <w:p w14:paraId="73899374" w14:textId="77777777" w:rsidR="00E133D1" w:rsidRPr="00D60EEA" w:rsidRDefault="00566235" w:rsidP="00BB34C3">
      <w:pPr>
        <w:pStyle w:val="Heading2"/>
        <w:spacing w:before="48" w:after="48"/>
      </w:pPr>
      <w:bookmarkStart w:id="7" w:name="_Toc171689208"/>
      <w:r w:rsidRPr="00D60EEA">
        <w:t>Search strateg</w:t>
      </w:r>
      <w:r w:rsidR="003D1344" w:rsidRPr="00D60EEA">
        <w:t>ies</w:t>
      </w:r>
      <w:bookmarkEnd w:id="7"/>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058"/>
        <w:gridCol w:w="3590"/>
        <w:gridCol w:w="3532"/>
      </w:tblGrid>
      <w:tr w:rsidR="0037486D" w:rsidRPr="0037486D" w14:paraId="3B2CA895" w14:textId="77777777" w:rsidTr="00E1794C">
        <w:trPr>
          <w:trHeight w:val="900"/>
        </w:trPr>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F997A7" w14:textId="77777777" w:rsidR="00E133D1" w:rsidRPr="0037486D" w:rsidRDefault="00E133D1" w:rsidP="00D60EEA">
            <w:pPr>
              <w:rPr>
                <w:b/>
                <w:bCs/>
                <w:color w:val="auto"/>
                <w:lang w:eastAsia="en-GB"/>
              </w:rPr>
            </w:pPr>
            <w:bookmarkStart w:id="8" w:name="_Hlk111714530"/>
            <w:r w:rsidRPr="0037486D">
              <w:rPr>
                <w:b/>
                <w:bCs/>
                <w:color w:val="auto"/>
                <w:lang w:eastAsia="en-GB"/>
              </w:rPr>
              <w:t>Databases searched</w:t>
            </w:r>
          </w:p>
        </w:tc>
        <w:tc>
          <w:tcPr>
            <w:tcW w:w="3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3BD67B" w14:textId="77777777" w:rsidR="00E133D1" w:rsidRPr="0037486D" w:rsidRDefault="00E133D1" w:rsidP="00DD677A">
            <w:pPr>
              <w:jc w:val="center"/>
              <w:rPr>
                <w:b/>
                <w:bCs/>
                <w:color w:val="auto"/>
                <w:lang w:eastAsia="en-GB"/>
              </w:rPr>
            </w:pPr>
            <w:r w:rsidRPr="0037486D">
              <w:rPr>
                <w:b/>
                <w:bCs/>
                <w:color w:val="auto"/>
                <w:lang w:eastAsia="en-GB"/>
              </w:rPr>
              <w:t>Date of search</w:t>
            </w:r>
          </w:p>
        </w:tc>
        <w:tc>
          <w:tcPr>
            <w:tcW w:w="3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A00D57" w14:textId="77777777" w:rsidR="00E133D1" w:rsidRPr="0037486D" w:rsidRDefault="00E133D1" w:rsidP="00DD677A">
            <w:pPr>
              <w:jc w:val="center"/>
              <w:rPr>
                <w:b/>
                <w:bCs/>
                <w:color w:val="auto"/>
                <w:lang w:eastAsia="en-GB"/>
              </w:rPr>
            </w:pPr>
            <w:r w:rsidRPr="0037486D">
              <w:rPr>
                <w:b/>
                <w:bCs/>
                <w:color w:val="auto"/>
                <w:lang w:eastAsia="en-GB"/>
              </w:rPr>
              <w:t>Number of results</w:t>
            </w:r>
          </w:p>
        </w:tc>
      </w:tr>
      <w:tr w:rsidR="00D22586" w:rsidRPr="00D60EEA" w14:paraId="0F067FD4" w14:textId="77777777" w:rsidTr="00E1794C">
        <w:trPr>
          <w:trHeight w:val="420"/>
        </w:trPr>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4C3E36" w14:textId="110376BF" w:rsidR="00D22586" w:rsidRPr="0037486D" w:rsidRDefault="000A2C57" w:rsidP="00D22586">
            <w:pPr>
              <w:rPr>
                <w:b/>
                <w:bCs/>
                <w:color w:val="auto"/>
                <w:lang w:eastAsia="en-GB"/>
              </w:rPr>
            </w:pPr>
            <w:r w:rsidRPr="000A2C57">
              <w:rPr>
                <w:b/>
                <w:bCs/>
                <w:color w:val="auto"/>
                <w:lang w:eastAsia="en-GB"/>
              </w:rPr>
              <w:t>Ovid MEDLINE(R) ALL &lt;1946 to July 11, 2024&gt;</w:t>
            </w:r>
          </w:p>
        </w:tc>
        <w:tc>
          <w:tcPr>
            <w:tcW w:w="3590" w:type="dxa"/>
            <w:tcBorders>
              <w:top w:val="single" w:sz="4" w:space="0" w:color="auto"/>
              <w:left w:val="single" w:sz="4" w:space="0" w:color="auto"/>
              <w:bottom w:val="single" w:sz="4" w:space="0" w:color="auto"/>
              <w:right w:val="single" w:sz="4" w:space="0" w:color="auto"/>
            </w:tcBorders>
            <w:shd w:val="clear" w:color="auto" w:fill="auto"/>
            <w:noWrap/>
          </w:tcPr>
          <w:p w14:paraId="76FB6E89" w14:textId="28ED5518" w:rsidR="00D22586" w:rsidRPr="0037486D" w:rsidRDefault="000A2C57" w:rsidP="00D22586">
            <w:pPr>
              <w:jc w:val="center"/>
              <w:rPr>
                <w:color w:val="auto"/>
                <w:lang w:eastAsia="en-GB"/>
              </w:rPr>
            </w:pPr>
            <w:r>
              <w:rPr>
                <w:color w:val="auto"/>
                <w:lang w:eastAsia="en-GB"/>
              </w:rPr>
              <w:t>12/07/2024</w:t>
            </w:r>
          </w:p>
        </w:tc>
        <w:tc>
          <w:tcPr>
            <w:tcW w:w="3532" w:type="dxa"/>
            <w:tcBorders>
              <w:top w:val="single" w:sz="4" w:space="0" w:color="auto"/>
              <w:left w:val="single" w:sz="4" w:space="0" w:color="auto"/>
              <w:bottom w:val="single" w:sz="4" w:space="0" w:color="auto"/>
              <w:right w:val="single" w:sz="4" w:space="0" w:color="auto"/>
            </w:tcBorders>
            <w:shd w:val="clear" w:color="auto" w:fill="auto"/>
          </w:tcPr>
          <w:p w14:paraId="26CC8491" w14:textId="407B18F9" w:rsidR="00D22586" w:rsidRPr="0037486D" w:rsidRDefault="000A2C57" w:rsidP="00D22586">
            <w:pPr>
              <w:jc w:val="center"/>
              <w:rPr>
                <w:b/>
                <w:bCs/>
                <w:color w:val="auto"/>
                <w:lang w:eastAsia="en-GB"/>
              </w:rPr>
            </w:pPr>
            <w:r>
              <w:rPr>
                <w:color w:val="auto"/>
                <w:lang w:eastAsia="en-GB"/>
              </w:rPr>
              <w:t>63</w:t>
            </w:r>
          </w:p>
        </w:tc>
      </w:tr>
      <w:tr w:rsidR="00AF1173" w:rsidRPr="00D60EEA" w14:paraId="373547A9" w14:textId="77777777" w:rsidTr="00E1794C">
        <w:trPr>
          <w:trHeight w:val="360"/>
        </w:trPr>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290A1" w14:textId="67F5B5A4" w:rsidR="00AF1173" w:rsidRPr="0037486D" w:rsidRDefault="000A2C57" w:rsidP="00AF1173">
            <w:pPr>
              <w:rPr>
                <w:b/>
                <w:bCs/>
                <w:color w:val="auto"/>
                <w:lang w:eastAsia="en-GB"/>
              </w:rPr>
            </w:pPr>
            <w:r w:rsidRPr="000A2C57">
              <w:rPr>
                <w:b/>
                <w:bCs/>
                <w:color w:val="auto"/>
                <w:lang w:eastAsia="en-GB"/>
              </w:rPr>
              <w:t>Embase &lt;1974 to 2024 Week 27&gt;</w:t>
            </w:r>
          </w:p>
        </w:tc>
        <w:tc>
          <w:tcPr>
            <w:tcW w:w="3590" w:type="dxa"/>
            <w:tcBorders>
              <w:top w:val="single" w:sz="4" w:space="0" w:color="auto"/>
              <w:left w:val="single" w:sz="4" w:space="0" w:color="auto"/>
              <w:bottom w:val="single" w:sz="4" w:space="0" w:color="auto"/>
              <w:right w:val="single" w:sz="4" w:space="0" w:color="auto"/>
            </w:tcBorders>
            <w:shd w:val="clear" w:color="auto" w:fill="auto"/>
            <w:noWrap/>
          </w:tcPr>
          <w:p w14:paraId="6B533532" w14:textId="4DC88142" w:rsidR="00AF1173" w:rsidRPr="0037486D" w:rsidRDefault="000A2C57" w:rsidP="00AF1173">
            <w:pPr>
              <w:jc w:val="center"/>
              <w:rPr>
                <w:color w:val="auto"/>
                <w:lang w:eastAsia="en-GB"/>
              </w:rPr>
            </w:pPr>
            <w:r>
              <w:rPr>
                <w:color w:val="auto"/>
                <w:lang w:eastAsia="en-GB"/>
              </w:rPr>
              <w:t>12/07/2024</w:t>
            </w:r>
          </w:p>
        </w:tc>
        <w:tc>
          <w:tcPr>
            <w:tcW w:w="3532" w:type="dxa"/>
            <w:tcBorders>
              <w:top w:val="single" w:sz="4" w:space="0" w:color="auto"/>
              <w:left w:val="single" w:sz="4" w:space="0" w:color="auto"/>
              <w:bottom w:val="single" w:sz="4" w:space="0" w:color="auto"/>
              <w:right w:val="single" w:sz="4" w:space="0" w:color="auto"/>
            </w:tcBorders>
            <w:shd w:val="clear" w:color="auto" w:fill="auto"/>
            <w:noWrap/>
          </w:tcPr>
          <w:p w14:paraId="722CAEA8" w14:textId="345F1D6C" w:rsidR="00AF1173" w:rsidRPr="0037486D" w:rsidRDefault="000A2C57" w:rsidP="00AF1173">
            <w:pPr>
              <w:jc w:val="center"/>
              <w:rPr>
                <w:color w:val="auto"/>
                <w:lang w:eastAsia="en-GB"/>
              </w:rPr>
            </w:pPr>
            <w:r>
              <w:rPr>
                <w:color w:val="auto"/>
                <w:lang w:eastAsia="en-GB"/>
              </w:rPr>
              <w:t>66</w:t>
            </w:r>
          </w:p>
        </w:tc>
      </w:tr>
      <w:tr w:rsidR="00AF1173" w:rsidRPr="00D60EEA" w14:paraId="4F6E2F18" w14:textId="77777777" w:rsidTr="00E1794C">
        <w:trPr>
          <w:trHeight w:val="913"/>
        </w:trPr>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0AF624" w14:textId="07E188ED" w:rsidR="00AF1173" w:rsidRPr="0037486D" w:rsidRDefault="00AF1173" w:rsidP="00AF1173">
            <w:pPr>
              <w:rPr>
                <w:b/>
                <w:bCs/>
                <w:color w:val="auto"/>
                <w:lang w:eastAsia="en-GB"/>
              </w:rPr>
            </w:pPr>
            <w:r w:rsidRPr="0037486D">
              <w:rPr>
                <w:b/>
                <w:bCs/>
                <w:color w:val="auto"/>
                <w:lang w:val="en-US" w:eastAsia="en-GB"/>
              </w:rPr>
              <w:t>Cochrane Central Register of Controlled Trials (CENTRAL) and Cochrane Database of Systematic Reviews (CDSR)</w:t>
            </w:r>
          </w:p>
        </w:tc>
        <w:tc>
          <w:tcPr>
            <w:tcW w:w="3590" w:type="dxa"/>
            <w:tcBorders>
              <w:top w:val="single" w:sz="4" w:space="0" w:color="auto"/>
              <w:left w:val="single" w:sz="4" w:space="0" w:color="auto"/>
              <w:bottom w:val="single" w:sz="4" w:space="0" w:color="auto"/>
              <w:right w:val="single" w:sz="4" w:space="0" w:color="auto"/>
            </w:tcBorders>
            <w:shd w:val="clear" w:color="auto" w:fill="auto"/>
            <w:noWrap/>
          </w:tcPr>
          <w:p w14:paraId="49916B17" w14:textId="088E4805" w:rsidR="00AF1173" w:rsidRPr="0037486D" w:rsidRDefault="000A2C57" w:rsidP="00AF1173">
            <w:pPr>
              <w:jc w:val="center"/>
              <w:rPr>
                <w:color w:val="auto"/>
                <w:lang w:eastAsia="en-GB"/>
              </w:rPr>
            </w:pPr>
            <w:r>
              <w:rPr>
                <w:color w:val="auto"/>
                <w:lang w:eastAsia="en-GB"/>
              </w:rPr>
              <w:t>12/07/2024</w:t>
            </w:r>
          </w:p>
        </w:tc>
        <w:tc>
          <w:tcPr>
            <w:tcW w:w="3532" w:type="dxa"/>
            <w:tcBorders>
              <w:top w:val="single" w:sz="4" w:space="0" w:color="auto"/>
              <w:left w:val="single" w:sz="4" w:space="0" w:color="auto"/>
              <w:bottom w:val="single" w:sz="4" w:space="0" w:color="auto"/>
              <w:right w:val="single" w:sz="4" w:space="0" w:color="auto"/>
            </w:tcBorders>
            <w:shd w:val="clear" w:color="auto" w:fill="auto"/>
            <w:noWrap/>
          </w:tcPr>
          <w:p w14:paraId="6AC62B0B" w14:textId="5B56819F" w:rsidR="00AF1173" w:rsidRPr="0037486D" w:rsidRDefault="00AF1173" w:rsidP="00AF1173">
            <w:pPr>
              <w:jc w:val="center"/>
              <w:rPr>
                <w:color w:val="auto"/>
                <w:lang w:eastAsia="en-GB"/>
              </w:rPr>
            </w:pPr>
            <w:r w:rsidRPr="0037486D">
              <w:rPr>
                <w:color w:val="auto"/>
                <w:lang w:eastAsia="en-GB"/>
              </w:rPr>
              <w:t xml:space="preserve">CENTRAL: </w:t>
            </w:r>
            <w:r w:rsidR="000A2C57">
              <w:rPr>
                <w:color w:val="auto"/>
                <w:lang w:eastAsia="en-GB"/>
              </w:rPr>
              <w:t>25</w:t>
            </w:r>
            <w:r w:rsidRPr="0037486D">
              <w:rPr>
                <w:color w:val="auto"/>
                <w:lang w:eastAsia="en-GB"/>
              </w:rPr>
              <w:br/>
              <w:t xml:space="preserve">CDSR: </w:t>
            </w:r>
            <w:r w:rsidR="000A2C57">
              <w:rPr>
                <w:color w:val="auto"/>
                <w:lang w:eastAsia="en-GB"/>
              </w:rPr>
              <w:t>0</w:t>
            </w:r>
          </w:p>
        </w:tc>
      </w:tr>
      <w:tr w:rsidR="00D22586" w:rsidRPr="00D60EEA" w14:paraId="43EEE761" w14:textId="77777777" w:rsidTr="00E1794C">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53482D" w14:textId="1ADFCA75" w:rsidR="00D22586" w:rsidRPr="0037486D" w:rsidRDefault="00D22586" w:rsidP="000A3D2D">
            <w:pPr>
              <w:rPr>
                <w:b/>
                <w:bCs/>
                <w:color w:val="auto"/>
                <w:lang w:eastAsia="en-GB"/>
              </w:rPr>
            </w:pPr>
            <w:r w:rsidRPr="0037486D">
              <w:rPr>
                <w:b/>
                <w:bCs/>
                <w:color w:val="auto"/>
                <w:lang w:eastAsia="en-GB"/>
              </w:rPr>
              <w:t>Total results after deduplication</w:t>
            </w:r>
            <w:r w:rsidR="000A3D2D">
              <w:rPr>
                <w:b/>
                <w:bCs/>
                <w:color w:val="auto"/>
                <w:lang w:eastAsia="en-GB"/>
              </w:rPr>
              <w:t xml:space="preserve"> </w:t>
            </w: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noWrap/>
          </w:tcPr>
          <w:p w14:paraId="0F04BDB8" w14:textId="7863C699" w:rsidR="00D22586" w:rsidRPr="00D60EEA" w:rsidRDefault="000A2C57" w:rsidP="00D22586">
            <w:pPr>
              <w:jc w:val="center"/>
              <w:rPr>
                <w:color w:val="000000"/>
                <w:lang w:eastAsia="en-GB"/>
              </w:rPr>
            </w:pPr>
            <w:r>
              <w:rPr>
                <w:b/>
                <w:color w:val="000000"/>
                <w:lang w:eastAsia="en-GB"/>
              </w:rPr>
              <w:t>41</w:t>
            </w:r>
            <w:r w:rsidR="000A3D2D">
              <w:rPr>
                <w:b/>
                <w:color w:val="000000"/>
                <w:lang w:eastAsia="en-GB"/>
              </w:rPr>
              <w:t xml:space="preserve"> (after subtracting </w:t>
            </w:r>
            <w:r>
              <w:rPr>
                <w:b/>
                <w:color w:val="000000"/>
                <w:lang w:eastAsia="en-GB"/>
              </w:rPr>
              <w:t>114</w:t>
            </w:r>
            <w:r w:rsidR="000A3D2D">
              <w:rPr>
                <w:b/>
                <w:color w:val="000000"/>
                <w:lang w:eastAsia="en-GB"/>
              </w:rPr>
              <w:t xml:space="preserve"> duplicates)</w:t>
            </w:r>
            <w:r w:rsidR="00D22586" w:rsidRPr="00D60EEA">
              <w:rPr>
                <w:color w:val="000000"/>
                <w:lang w:eastAsia="en-GB"/>
              </w:rPr>
              <w:br/>
            </w:r>
            <w:r w:rsidR="00D22586" w:rsidRPr="00D22586">
              <w:rPr>
                <w:b/>
                <w:color w:val="FF0000"/>
                <w:lang w:eastAsia="en-GB"/>
              </w:rPr>
              <w:t>NB:</w:t>
            </w:r>
            <w:r w:rsidR="00D22586" w:rsidRPr="00D22586">
              <w:rPr>
                <w:color w:val="FF0000"/>
                <w:lang w:eastAsia="en-GB"/>
              </w:rPr>
              <w:t xml:space="preserve"> Some duplicates may remain as EndNote does not capture all duplicates</w:t>
            </w:r>
          </w:p>
        </w:tc>
      </w:tr>
      <w:tr w:rsidR="00D22586" w:rsidRPr="00DB4A3D" w14:paraId="279D76E2" w14:textId="77777777" w:rsidTr="00E1794C">
        <w:tblPrEx>
          <w:shd w:val="clear" w:color="auto" w:fill="49C5B1"/>
          <w:tblLook w:val="01E0" w:firstRow="1" w:lastRow="1" w:firstColumn="1" w:lastColumn="1" w:noHBand="0" w:noVBand="0"/>
        </w:tblPrEx>
        <w:trPr>
          <w:trHeight w:val="619"/>
        </w:trPr>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568188" w14:textId="55CA0E1F" w:rsidR="00D22586" w:rsidRPr="0037486D" w:rsidRDefault="00D22586" w:rsidP="00D22586">
            <w:pPr>
              <w:rPr>
                <w:b/>
                <w:bCs/>
                <w:color w:val="auto"/>
              </w:rPr>
            </w:pPr>
            <w:r w:rsidRPr="0037486D">
              <w:rPr>
                <w:b/>
                <w:bCs/>
                <w:color w:val="auto"/>
              </w:rPr>
              <w:t xml:space="preserve">Search designer </w:t>
            </w: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tcPr>
          <w:p w14:paraId="3AB407D6" w14:textId="6C6B54CB" w:rsidR="00D22586" w:rsidRPr="0037486D" w:rsidRDefault="00E1794C" w:rsidP="00D22586">
            <w:pPr>
              <w:jc w:val="center"/>
              <w:rPr>
                <w:b/>
                <w:bCs/>
                <w:color w:val="auto"/>
              </w:rPr>
            </w:pPr>
            <w:r>
              <w:rPr>
                <w:b/>
                <w:bCs/>
                <w:color w:val="auto"/>
              </w:rPr>
              <w:t>Camila Garces-Bovett</w:t>
            </w:r>
            <w:r w:rsidR="000A2C57">
              <w:rPr>
                <w:b/>
                <w:bCs/>
                <w:color w:val="auto"/>
              </w:rPr>
              <w:t xml:space="preserve"> &amp; Megan McCarthy</w:t>
            </w:r>
          </w:p>
        </w:tc>
      </w:tr>
      <w:tr w:rsidR="00D22586" w:rsidRPr="00D60EEA" w14:paraId="66E53552" w14:textId="77777777" w:rsidTr="00E1794C">
        <w:tblPrEx>
          <w:shd w:val="clear" w:color="auto" w:fill="49C5B1"/>
          <w:tblLook w:val="01E0" w:firstRow="1" w:lastRow="1" w:firstColumn="1" w:lastColumn="1" w:noHBand="0" w:noVBand="0"/>
        </w:tblPrEx>
        <w:trPr>
          <w:trHeight w:val="619"/>
        </w:trPr>
        <w:tc>
          <w:tcPr>
            <w:tcW w:w="2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E68348" w14:textId="21B67F06" w:rsidR="00D22586" w:rsidRPr="0037486D" w:rsidRDefault="00D22586" w:rsidP="00D22586">
            <w:pPr>
              <w:rPr>
                <w:b/>
                <w:bCs/>
                <w:color w:val="auto"/>
              </w:rPr>
            </w:pPr>
            <w:r w:rsidRPr="0037486D">
              <w:rPr>
                <w:b/>
                <w:bCs/>
                <w:color w:val="auto"/>
              </w:rPr>
              <w:t xml:space="preserve">Suggested acknowledgement </w:t>
            </w: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tcPr>
          <w:p w14:paraId="4C47506D" w14:textId="64955BA4" w:rsidR="00D22586" w:rsidRPr="0037486D" w:rsidRDefault="00D22586" w:rsidP="00D22586">
            <w:pPr>
              <w:jc w:val="center"/>
              <w:rPr>
                <w:b/>
                <w:color w:val="auto"/>
              </w:rPr>
            </w:pPr>
            <w:r w:rsidRPr="0037486D">
              <w:rPr>
                <w:color w:val="auto"/>
              </w:rPr>
              <w:t xml:space="preserve">With thanks to </w:t>
            </w:r>
            <w:r w:rsidR="000A2C57" w:rsidRPr="000A2C57">
              <w:rPr>
                <w:color w:val="auto"/>
              </w:rPr>
              <w:t>the</w:t>
            </w:r>
            <w:r w:rsidR="000A2C57">
              <w:rPr>
                <w:b/>
                <w:bCs/>
                <w:color w:val="auto"/>
              </w:rPr>
              <w:t xml:space="preserve"> Evidence Support Team,</w:t>
            </w:r>
            <w:r w:rsidRPr="0037486D">
              <w:rPr>
                <w:color w:val="auto"/>
              </w:rPr>
              <w:t xml:space="preserve"> Royal College of Surgeons of England Library and Archives Team, for conducting the literature searches</w:t>
            </w:r>
          </w:p>
        </w:tc>
      </w:tr>
      <w:tr w:rsidR="00D22586" w:rsidRPr="00D60EEA" w14:paraId="3D173493" w14:textId="77777777" w:rsidTr="004535EF">
        <w:tblPrEx>
          <w:shd w:val="clear" w:color="auto" w:fill="49C5B1"/>
          <w:tblLook w:val="01E0" w:firstRow="1" w:lastRow="1" w:firstColumn="1" w:lastColumn="1" w:noHBand="0" w:noVBand="0"/>
        </w:tblPrEx>
        <w:trPr>
          <w:trHeight w:val="619"/>
        </w:trPr>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3B6ED3" w14:textId="7CC66C72" w:rsidR="00D22586" w:rsidRPr="00D60EEA" w:rsidRDefault="00D22586" w:rsidP="00BC6B4C">
            <w:pPr>
              <w:rPr>
                <w:b/>
                <w:bCs/>
              </w:rPr>
            </w:pPr>
            <w:r w:rsidRPr="0037486D">
              <w:rPr>
                <w:b/>
                <w:bCs/>
                <w:color w:val="auto"/>
              </w:rPr>
              <w:t xml:space="preserve">If you require updated results beyond the date this search was completed, or advice on how to represent the full search strategies in any publications, please contact us at </w:t>
            </w:r>
            <w:hyperlink r:id="rId12" w:history="1">
              <w:r w:rsidR="00BC6B4C" w:rsidRPr="00B01A5B">
                <w:rPr>
                  <w:rStyle w:val="Hyperlink"/>
                  <w:b/>
                  <w:bCs/>
                </w:rPr>
                <w:t>evidencesupport@rcseng.ac.uk</w:t>
              </w:r>
            </w:hyperlink>
          </w:p>
        </w:tc>
      </w:tr>
      <w:bookmarkEnd w:id="8"/>
    </w:tbl>
    <w:p w14:paraId="12E4EA07" w14:textId="4FF9E79E" w:rsidR="00672643" w:rsidRDefault="00672643" w:rsidP="00D60EEA"/>
    <w:p w14:paraId="6DD1048A" w14:textId="5E08C8C7" w:rsidR="00AF1532" w:rsidRDefault="00AF1532">
      <w:pPr>
        <w:spacing w:beforeLines="0" w:before="0" w:afterLines="0" w:after="0" w:line="259" w:lineRule="auto"/>
        <w:contextualSpacing w:val="0"/>
      </w:pPr>
      <w:r>
        <w:br w:type="page"/>
      </w:r>
    </w:p>
    <w:tbl>
      <w:tblPr>
        <w:tblW w:w="5000" w:type="pct"/>
        <w:tblLook w:val="04A0" w:firstRow="1" w:lastRow="0" w:firstColumn="1" w:lastColumn="0" w:noHBand="0" w:noVBand="1"/>
      </w:tblPr>
      <w:tblGrid>
        <w:gridCol w:w="1218"/>
        <w:gridCol w:w="5738"/>
        <w:gridCol w:w="1190"/>
        <w:gridCol w:w="1034"/>
      </w:tblGrid>
      <w:tr w:rsidR="000A2C57" w:rsidRPr="00845419" w14:paraId="76868E87" w14:textId="77777777" w:rsidTr="000A2C57">
        <w:trPr>
          <w:trHeight w:val="795"/>
        </w:trPr>
        <w:tc>
          <w:tcPr>
            <w:tcW w:w="663" w:type="pct"/>
            <w:tcBorders>
              <w:top w:val="single" w:sz="4" w:space="0" w:color="auto"/>
              <w:left w:val="single" w:sz="4" w:space="0" w:color="auto"/>
              <w:bottom w:val="single" w:sz="4" w:space="0" w:color="auto"/>
              <w:right w:val="single" w:sz="4" w:space="0" w:color="auto"/>
            </w:tcBorders>
            <w:shd w:val="clear" w:color="000000" w:fill="49C5B1"/>
            <w:hideMark/>
          </w:tcPr>
          <w:p w14:paraId="11F39288" w14:textId="3CADDBB0"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r w:rsidRPr="000A2C57">
              <w:rPr>
                <w:b/>
                <w:bCs/>
              </w:rPr>
              <w:t xml:space="preserve">Database: </w:t>
            </w:r>
          </w:p>
        </w:tc>
        <w:tc>
          <w:tcPr>
            <w:tcW w:w="3125" w:type="pct"/>
            <w:tcBorders>
              <w:top w:val="single" w:sz="4" w:space="0" w:color="auto"/>
              <w:left w:val="nil"/>
              <w:bottom w:val="single" w:sz="4" w:space="0" w:color="auto"/>
              <w:right w:val="single" w:sz="4" w:space="0" w:color="auto"/>
            </w:tcBorders>
            <w:shd w:val="clear" w:color="000000" w:fill="49C5B1"/>
            <w:hideMark/>
          </w:tcPr>
          <w:p w14:paraId="48492207" w14:textId="310A3534"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r w:rsidRPr="000A2C57">
              <w:rPr>
                <w:b/>
                <w:bCs/>
              </w:rPr>
              <w:t>Ovid MEDLINE(R) ALL &lt;1946 to July 11, 2024&gt;</w:t>
            </w:r>
          </w:p>
        </w:tc>
        <w:tc>
          <w:tcPr>
            <w:tcW w:w="648" w:type="pct"/>
            <w:vMerge w:val="restart"/>
            <w:tcBorders>
              <w:top w:val="single" w:sz="4" w:space="0" w:color="auto"/>
              <w:left w:val="single" w:sz="4" w:space="0" w:color="auto"/>
              <w:bottom w:val="single" w:sz="4" w:space="0" w:color="auto"/>
              <w:right w:val="single" w:sz="4" w:space="0" w:color="auto"/>
            </w:tcBorders>
            <w:shd w:val="clear" w:color="000000" w:fill="49C5B1"/>
            <w:hideMark/>
          </w:tcPr>
          <w:p w14:paraId="091AEDB6" w14:textId="77777777"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r w:rsidRPr="000A2C57">
              <w:rPr>
                <w:b/>
                <w:bCs/>
              </w:rPr>
              <w:t>Results per line:</w:t>
            </w:r>
          </w:p>
          <w:p w14:paraId="38AB5058" w14:textId="636A891C"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p>
        </w:tc>
        <w:tc>
          <w:tcPr>
            <w:tcW w:w="563" w:type="pct"/>
            <w:vMerge w:val="restart"/>
            <w:tcBorders>
              <w:top w:val="single" w:sz="4" w:space="0" w:color="auto"/>
              <w:left w:val="single" w:sz="4" w:space="0" w:color="auto"/>
              <w:bottom w:val="single" w:sz="4" w:space="0" w:color="auto"/>
              <w:right w:val="single" w:sz="4" w:space="0" w:color="auto"/>
            </w:tcBorders>
            <w:shd w:val="clear" w:color="000000" w:fill="49C5B1"/>
            <w:hideMark/>
          </w:tcPr>
          <w:p w14:paraId="43C74B5A" w14:textId="77777777"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r w:rsidRPr="000A2C57">
              <w:rPr>
                <w:b/>
                <w:bCs/>
              </w:rPr>
              <w:t>Number of results:</w:t>
            </w:r>
          </w:p>
          <w:p w14:paraId="1F3605BB" w14:textId="691E203A"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p>
        </w:tc>
      </w:tr>
      <w:tr w:rsidR="000A2C57" w:rsidRPr="00845419" w14:paraId="3331E458" w14:textId="77777777" w:rsidTr="000A2C57">
        <w:trPr>
          <w:trHeight w:val="720"/>
        </w:trPr>
        <w:tc>
          <w:tcPr>
            <w:tcW w:w="663" w:type="pct"/>
            <w:tcBorders>
              <w:top w:val="nil"/>
              <w:left w:val="single" w:sz="4" w:space="0" w:color="auto"/>
              <w:bottom w:val="single" w:sz="4" w:space="0" w:color="auto"/>
              <w:right w:val="single" w:sz="4" w:space="0" w:color="auto"/>
            </w:tcBorders>
            <w:shd w:val="clear" w:color="000000" w:fill="49C5B1"/>
            <w:hideMark/>
          </w:tcPr>
          <w:p w14:paraId="2316C8B5" w14:textId="20CCD729"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r w:rsidRPr="000A2C57">
              <w:rPr>
                <w:b/>
                <w:bCs/>
              </w:rPr>
              <w:t>Date:</w:t>
            </w:r>
          </w:p>
        </w:tc>
        <w:tc>
          <w:tcPr>
            <w:tcW w:w="3125" w:type="pct"/>
            <w:tcBorders>
              <w:top w:val="nil"/>
              <w:left w:val="nil"/>
              <w:bottom w:val="single" w:sz="4" w:space="0" w:color="auto"/>
              <w:right w:val="single" w:sz="4" w:space="0" w:color="auto"/>
            </w:tcBorders>
            <w:shd w:val="clear" w:color="000000" w:fill="49C5B1"/>
            <w:hideMark/>
          </w:tcPr>
          <w:p w14:paraId="3C1E7E61" w14:textId="21375953"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r w:rsidRPr="000A2C57">
              <w:rPr>
                <w:b/>
                <w:bCs/>
              </w:rPr>
              <w:t>12/07/2024</w:t>
            </w:r>
          </w:p>
        </w:tc>
        <w:tc>
          <w:tcPr>
            <w:tcW w:w="648" w:type="pct"/>
            <w:vMerge/>
            <w:tcBorders>
              <w:top w:val="single" w:sz="4" w:space="0" w:color="auto"/>
              <w:left w:val="single" w:sz="4" w:space="0" w:color="auto"/>
              <w:bottom w:val="single" w:sz="4" w:space="0" w:color="auto"/>
              <w:right w:val="single" w:sz="4" w:space="0" w:color="auto"/>
            </w:tcBorders>
            <w:hideMark/>
          </w:tcPr>
          <w:p w14:paraId="78E312AC" w14:textId="77777777" w:rsidR="000A2C57" w:rsidRPr="00845419" w:rsidRDefault="000A2C57" w:rsidP="000A2C57">
            <w:pPr>
              <w:spacing w:beforeLines="0" w:before="0" w:afterLines="0" w:after="0" w:line="240" w:lineRule="auto"/>
              <w:contextualSpacing w:val="0"/>
              <w:rPr>
                <w:rFonts w:ascii="Calibri" w:eastAsia="Times New Roman" w:hAnsi="Calibri" w:cs="Calibri"/>
                <w:b/>
                <w:bCs/>
                <w:color w:val="auto"/>
                <w:lang w:eastAsia="en-GB"/>
              </w:rPr>
            </w:pPr>
          </w:p>
        </w:tc>
        <w:tc>
          <w:tcPr>
            <w:tcW w:w="563" w:type="pct"/>
            <w:vMerge/>
            <w:tcBorders>
              <w:top w:val="single" w:sz="4" w:space="0" w:color="auto"/>
              <w:left w:val="single" w:sz="4" w:space="0" w:color="auto"/>
              <w:bottom w:val="single" w:sz="4" w:space="0" w:color="auto"/>
              <w:right w:val="single" w:sz="4" w:space="0" w:color="auto"/>
            </w:tcBorders>
            <w:hideMark/>
          </w:tcPr>
          <w:p w14:paraId="3A503C9B" w14:textId="77777777" w:rsidR="000A2C57" w:rsidRPr="00845419" w:rsidRDefault="000A2C57" w:rsidP="000A2C57">
            <w:pPr>
              <w:spacing w:beforeLines="0" w:before="0" w:afterLines="0" w:after="0" w:line="240" w:lineRule="auto"/>
              <w:contextualSpacing w:val="0"/>
              <w:rPr>
                <w:rFonts w:ascii="Calibri" w:eastAsia="Times New Roman" w:hAnsi="Calibri" w:cs="Calibri"/>
                <w:b/>
                <w:bCs/>
                <w:color w:val="auto"/>
                <w:lang w:eastAsia="en-GB"/>
              </w:rPr>
            </w:pPr>
          </w:p>
        </w:tc>
      </w:tr>
      <w:tr w:rsidR="000A2C57" w:rsidRPr="00845419" w14:paraId="395702F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C11DC3D" w14:textId="2DD35D7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w:t>
            </w:r>
          </w:p>
        </w:tc>
        <w:tc>
          <w:tcPr>
            <w:tcW w:w="3125" w:type="pct"/>
            <w:tcBorders>
              <w:top w:val="nil"/>
              <w:left w:val="nil"/>
              <w:bottom w:val="single" w:sz="4" w:space="0" w:color="auto"/>
              <w:right w:val="single" w:sz="4" w:space="0" w:color="auto"/>
            </w:tcBorders>
            <w:shd w:val="clear" w:color="auto" w:fill="auto"/>
            <w:hideMark/>
          </w:tcPr>
          <w:p w14:paraId="743AC296" w14:textId="77DE5CB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Anal Canal/in [Injuries]</w:t>
            </w:r>
          </w:p>
        </w:tc>
        <w:tc>
          <w:tcPr>
            <w:tcW w:w="648" w:type="pct"/>
            <w:tcBorders>
              <w:top w:val="nil"/>
              <w:left w:val="nil"/>
              <w:bottom w:val="single" w:sz="4" w:space="0" w:color="auto"/>
              <w:right w:val="single" w:sz="4" w:space="0" w:color="auto"/>
            </w:tcBorders>
            <w:shd w:val="clear" w:color="auto" w:fill="auto"/>
            <w:hideMark/>
          </w:tcPr>
          <w:p w14:paraId="0D47D7B3" w14:textId="42498BF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1695</w:t>
            </w:r>
          </w:p>
        </w:tc>
        <w:tc>
          <w:tcPr>
            <w:tcW w:w="563" w:type="pct"/>
            <w:tcBorders>
              <w:top w:val="nil"/>
              <w:left w:val="nil"/>
              <w:bottom w:val="single" w:sz="4" w:space="0" w:color="auto"/>
              <w:right w:val="single" w:sz="4" w:space="0" w:color="auto"/>
            </w:tcBorders>
            <w:shd w:val="clear" w:color="auto" w:fill="FFFF00"/>
            <w:noWrap/>
            <w:hideMark/>
          </w:tcPr>
          <w:p w14:paraId="182AB463" w14:textId="5FE9714F" w:rsidR="000A2C57" w:rsidRPr="000A2C57" w:rsidRDefault="000A2C57" w:rsidP="000A2C57">
            <w:pPr>
              <w:spacing w:beforeLines="0" w:before="0" w:afterLines="0" w:after="0" w:line="240" w:lineRule="auto"/>
              <w:contextualSpacing w:val="0"/>
              <w:rPr>
                <w:rFonts w:ascii="Calibri" w:eastAsia="Times New Roman" w:hAnsi="Calibri" w:cs="Calibri"/>
                <w:b/>
                <w:bCs/>
                <w:color w:val="000000"/>
                <w:lang w:eastAsia="en-GB"/>
              </w:rPr>
            </w:pPr>
            <w:r w:rsidRPr="000A2C57">
              <w:rPr>
                <w:b/>
                <w:bCs/>
              </w:rPr>
              <w:t>63</w:t>
            </w:r>
          </w:p>
        </w:tc>
      </w:tr>
      <w:tr w:rsidR="000A2C57" w:rsidRPr="00845419" w14:paraId="07A7C4C5"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A18D49B" w14:textId="14E1726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w:t>
            </w:r>
          </w:p>
        </w:tc>
        <w:tc>
          <w:tcPr>
            <w:tcW w:w="3125" w:type="pct"/>
            <w:tcBorders>
              <w:top w:val="nil"/>
              <w:left w:val="nil"/>
              <w:bottom w:val="single" w:sz="4" w:space="0" w:color="auto"/>
              <w:right w:val="single" w:sz="4" w:space="0" w:color="auto"/>
            </w:tcBorders>
            <w:shd w:val="clear" w:color="auto" w:fill="auto"/>
            <w:hideMark/>
          </w:tcPr>
          <w:p w14:paraId="05A11E38" w14:textId="35F0F26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Perineum/in [Injuries]</w:t>
            </w:r>
          </w:p>
        </w:tc>
        <w:tc>
          <w:tcPr>
            <w:tcW w:w="648" w:type="pct"/>
            <w:tcBorders>
              <w:top w:val="nil"/>
              <w:left w:val="nil"/>
              <w:bottom w:val="single" w:sz="4" w:space="0" w:color="auto"/>
              <w:right w:val="single" w:sz="4" w:space="0" w:color="auto"/>
            </w:tcBorders>
            <w:shd w:val="clear" w:color="auto" w:fill="auto"/>
            <w:hideMark/>
          </w:tcPr>
          <w:p w14:paraId="11111101" w14:textId="485FFC9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2009</w:t>
            </w:r>
          </w:p>
        </w:tc>
        <w:tc>
          <w:tcPr>
            <w:tcW w:w="563" w:type="pct"/>
            <w:tcBorders>
              <w:top w:val="nil"/>
              <w:left w:val="nil"/>
              <w:bottom w:val="single" w:sz="4" w:space="0" w:color="auto"/>
              <w:right w:val="single" w:sz="4" w:space="0" w:color="auto"/>
            </w:tcBorders>
            <w:shd w:val="clear" w:color="auto" w:fill="auto"/>
            <w:noWrap/>
            <w:hideMark/>
          </w:tcPr>
          <w:p w14:paraId="56C611DA" w14:textId="2569858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1955B9F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A34749C" w14:textId="53A21D2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w:t>
            </w:r>
          </w:p>
        </w:tc>
        <w:tc>
          <w:tcPr>
            <w:tcW w:w="3125" w:type="pct"/>
            <w:tcBorders>
              <w:top w:val="nil"/>
              <w:left w:val="nil"/>
              <w:bottom w:val="single" w:sz="4" w:space="0" w:color="auto"/>
              <w:right w:val="single" w:sz="4" w:space="0" w:color="auto"/>
            </w:tcBorders>
            <w:shd w:val="clear" w:color="auto" w:fill="auto"/>
            <w:hideMark/>
          </w:tcPr>
          <w:p w14:paraId="596A639B" w14:textId="10AB03D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((anal or anorectal* or ani) adj3 sphincter*).ti,ab,kw,kf.</w:t>
            </w:r>
          </w:p>
        </w:tc>
        <w:tc>
          <w:tcPr>
            <w:tcW w:w="648" w:type="pct"/>
            <w:tcBorders>
              <w:top w:val="nil"/>
              <w:left w:val="nil"/>
              <w:bottom w:val="single" w:sz="4" w:space="0" w:color="auto"/>
              <w:right w:val="single" w:sz="4" w:space="0" w:color="auto"/>
            </w:tcBorders>
            <w:shd w:val="clear" w:color="auto" w:fill="auto"/>
            <w:hideMark/>
          </w:tcPr>
          <w:p w14:paraId="617C1077" w14:textId="6B5A455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7537</w:t>
            </w:r>
          </w:p>
        </w:tc>
        <w:tc>
          <w:tcPr>
            <w:tcW w:w="563" w:type="pct"/>
            <w:tcBorders>
              <w:top w:val="nil"/>
              <w:left w:val="nil"/>
              <w:bottom w:val="single" w:sz="4" w:space="0" w:color="auto"/>
              <w:right w:val="single" w:sz="4" w:space="0" w:color="auto"/>
            </w:tcBorders>
            <w:shd w:val="clear" w:color="auto" w:fill="auto"/>
            <w:noWrap/>
            <w:hideMark/>
          </w:tcPr>
          <w:p w14:paraId="6F90994B" w14:textId="0123209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1AE9A6F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8CB61BE" w14:textId="5BCE45F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w:t>
            </w:r>
          </w:p>
        </w:tc>
        <w:tc>
          <w:tcPr>
            <w:tcW w:w="3125" w:type="pct"/>
            <w:tcBorders>
              <w:top w:val="nil"/>
              <w:left w:val="nil"/>
              <w:bottom w:val="single" w:sz="4" w:space="0" w:color="auto"/>
              <w:right w:val="single" w:sz="4" w:space="0" w:color="auto"/>
            </w:tcBorders>
            <w:shd w:val="clear" w:color="auto" w:fill="auto"/>
            <w:hideMark/>
          </w:tcPr>
          <w:p w14:paraId="7D716DEB" w14:textId="573F0E5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(trauma* or injur* or tear* or rupture* or damage*).ti,ab,kw,kf.</w:t>
            </w:r>
          </w:p>
        </w:tc>
        <w:tc>
          <w:tcPr>
            <w:tcW w:w="648" w:type="pct"/>
            <w:tcBorders>
              <w:top w:val="nil"/>
              <w:left w:val="nil"/>
              <w:bottom w:val="single" w:sz="4" w:space="0" w:color="auto"/>
              <w:right w:val="single" w:sz="4" w:space="0" w:color="auto"/>
            </w:tcBorders>
            <w:shd w:val="clear" w:color="auto" w:fill="auto"/>
            <w:hideMark/>
          </w:tcPr>
          <w:p w14:paraId="0392BD8C" w14:textId="2D6D916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2161998</w:t>
            </w:r>
          </w:p>
        </w:tc>
        <w:tc>
          <w:tcPr>
            <w:tcW w:w="563" w:type="pct"/>
            <w:tcBorders>
              <w:top w:val="nil"/>
              <w:left w:val="nil"/>
              <w:bottom w:val="single" w:sz="4" w:space="0" w:color="auto"/>
              <w:right w:val="single" w:sz="4" w:space="0" w:color="auto"/>
            </w:tcBorders>
            <w:shd w:val="clear" w:color="auto" w:fill="auto"/>
            <w:noWrap/>
            <w:hideMark/>
          </w:tcPr>
          <w:p w14:paraId="2F7E4A00" w14:textId="5F6EFBE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95FD427"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0B5FCDD" w14:textId="45D5ABF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5</w:t>
            </w:r>
          </w:p>
        </w:tc>
        <w:tc>
          <w:tcPr>
            <w:tcW w:w="3125" w:type="pct"/>
            <w:tcBorders>
              <w:top w:val="nil"/>
              <w:left w:val="nil"/>
              <w:bottom w:val="single" w:sz="4" w:space="0" w:color="auto"/>
              <w:right w:val="single" w:sz="4" w:space="0" w:color="auto"/>
            </w:tcBorders>
            <w:shd w:val="clear" w:color="auto" w:fill="auto"/>
            <w:hideMark/>
          </w:tcPr>
          <w:p w14:paraId="30B25C30" w14:textId="2EF62CC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 and 4</w:t>
            </w:r>
          </w:p>
        </w:tc>
        <w:tc>
          <w:tcPr>
            <w:tcW w:w="648" w:type="pct"/>
            <w:tcBorders>
              <w:top w:val="nil"/>
              <w:left w:val="nil"/>
              <w:bottom w:val="single" w:sz="4" w:space="0" w:color="auto"/>
              <w:right w:val="single" w:sz="4" w:space="0" w:color="auto"/>
            </w:tcBorders>
            <w:shd w:val="clear" w:color="auto" w:fill="auto"/>
            <w:hideMark/>
          </w:tcPr>
          <w:p w14:paraId="4587763A" w14:textId="3051F0A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2466</w:t>
            </w:r>
          </w:p>
        </w:tc>
        <w:tc>
          <w:tcPr>
            <w:tcW w:w="563" w:type="pct"/>
            <w:tcBorders>
              <w:top w:val="nil"/>
              <w:left w:val="nil"/>
              <w:bottom w:val="single" w:sz="4" w:space="0" w:color="auto"/>
              <w:right w:val="single" w:sz="4" w:space="0" w:color="auto"/>
            </w:tcBorders>
            <w:shd w:val="clear" w:color="auto" w:fill="auto"/>
            <w:noWrap/>
            <w:hideMark/>
          </w:tcPr>
          <w:p w14:paraId="78CF7246" w14:textId="5289F6B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26AE1575"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7C5AA538" w14:textId="3ECB328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6</w:t>
            </w:r>
          </w:p>
        </w:tc>
        <w:tc>
          <w:tcPr>
            <w:tcW w:w="3125" w:type="pct"/>
            <w:tcBorders>
              <w:top w:val="nil"/>
              <w:left w:val="nil"/>
              <w:bottom w:val="single" w:sz="4" w:space="0" w:color="auto"/>
              <w:right w:val="single" w:sz="4" w:space="0" w:color="auto"/>
            </w:tcBorders>
            <w:shd w:val="clear" w:color="auto" w:fill="auto"/>
            <w:hideMark/>
          </w:tcPr>
          <w:p w14:paraId="3C81595E" w14:textId="28CEAFE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((third degree or 3rd degree or fourth degree or 4th degree or perineal or perineum) adj3 (tear* or trauma* or damage* or injur* or lacerat* or rupture*)).ti,ab,kw,kf.</w:t>
            </w:r>
          </w:p>
        </w:tc>
        <w:tc>
          <w:tcPr>
            <w:tcW w:w="648" w:type="pct"/>
            <w:tcBorders>
              <w:top w:val="nil"/>
              <w:left w:val="nil"/>
              <w:bottom w:val="single" w:sz="4" w:space="0" w:color="auto"/>
              <w:right w:val="single" w:sz="4" w:space="0" w:color="auto"/>
            </w:tcBorders>
            <w:shd w:val="clear" w:color="auto" w:fill="auto"/>
            <w:hideMark/>
          </w:tcPr>
          <w:p w14:paraId="494E4716" w14:textId="30600FC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3934</w:t>
            </w:r>
          </w:p>
        </w:tc>
        <w:tc>
          <w:tcPr>
            <w:tcW w:w="563" w:type="pct"/>
            <w:tcBorders>
              <w:top w:val="nil"/>
              <w:left w:val="nil"/>
              <w:bottom w:val="single" w:sz="4" w:space="0" w:color="auto"/>
              <w:right w:val="single" w:sz="4" w:space="0" w:color="auto"/>
            </w:tcBorders>
            <w:shd w:val="clear" w:color="auto" w:fill="auto"/>
            <w:noWrap/>
            <w:hideMark/>
          </w:tcPr>
          <w:p w14:paraId="5B09EBF6" w14:textId="704B488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2C233CE6"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7F7A0237" w14:textId="4F10D0A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7</w:t>
            </w:r>
          </w:p>
        </w:tc>
        <w:tc>
          <w:tcPr>
            <w:tcW w:w="3125" w:type="pct"/>
            <w:tcBorders>
              <w:top w:val="nil"/>
              <w:left w:val="nil"/>
              <w:bottom w:val="single" w:sz="4" w:space="0" w:color="auto"/>
              <w:right w:val="single" w:sz="4" w:space="0" w:color="auto"/>
            </w:tcBorders>
            <w:shd w:val="clear" w:color="auto" w:fill="auto"/>
            <w:hideMark/>
          </w:tcPr>
          <w:p w14:paraId="06B3FA96" w14:textId="768FE0E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 or 2 or 5 or 6</w:t>
            </w:r>
          </w:p>
        </w:tc>
        <w:tc>
          <w:tcPr>
            <w:tcW w:w="648" w:type="pct"/>
            <w:tcBorders>
              <w:top w:val="nil"/>
              <w:left w:val="nil"/>
              <w:bottom w:val="single" w:sz="4" w:space="0" w:color="auto"/>
              <w:right w:val="single" w:sz="4" w:space="0" w:color="auto"/>
            </w:tcBorders>
            <w:shd w:val="clear" w:color="auto" w:fill="auto"/>
            <w:hideMark/>
          </w:tcPr>
          <w:p w14:paraId="41A0F0AF" w14:textId="645DAEF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6881</w:t>
            </w:r>
          </w:p>
        </w:tc>
        <w:tc>
          <w:tcPr>
            <w:tcW w:w="563" w:type="pct"/>
            <w:tcBorders>
              <w:top w:val="nil"/>
              <w:left w:val="nil"/>
              <w:bottom w:val="single" w:sz="4" w:space="0" w:color="auto"/>
              <w:right w:val="single" w:sz="4" w:space="0" w:color="auto"/>
            </w:tcBorders>
            <w:shd w:val="clear" w:color="auto" w:fill="auto"/>
            <w:hideMark/>
          </w:tcPr>
          <w:p w14:paraId="563E3926" w14:textId="790E77E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EAAA82D"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5EE41214" w14:textId="048E902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8</w:t>
            </w:r>
          </w:p>
        </w:tc>
        <w:tc>
          <w:tcPr>
            <w:tcW w:w="3125" w:type="pct"/>
            <w:tcBorders>
              <w:top w:val="nil"/>
              <w:left w:val="nil"/>
              <w:bottom w:val="single" w:sz="4" w:space="0" w:color="auto"/>
              <w:right w:val="single" w:sz="4" w:space="0" w:color="auto"/>
            </w:tcBorders>
            <w:shd w:val="clear" w:color="auto" w:fill="auto"/>
            <w:hideMark/>
          </w:tcPr>
          <w:p w14:paraId="6E9670E4" w14:textId="237EEBD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(obstetric* or labor or labour or birth or childbirth or delivery).ti,ab,kw,kf.</w:t>
            </w:r>
          </w:p>
        </w:tc>
        <w:tc>
          <w:tcPr>
            <w:tcW w:w="648" w:type="pct"/>
            <w:tcBorders>
              <w:top w:val="nil"/>
              <w:left w:val="nil"/>
              <w:bottom w:val="single" w:sz="4" w:space="0" w:color="auto"/>
              <w:right w:val="single" w:sz="4" w:space="0" w:color="auto"/>
            </w:tcBorders>
            <w:shd w:val="clear" w:color="auto" w:fill="auto"/>
            <w:hideMark/>
          </w:tcPr>
          <w:p w14:paraId="1C75BCB0" w14:textId="3D20579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1122528</w:t>
            </w:r>
          </w:p>
        </w:tc>
        <w:tc>
          <w:tcPr>
            <w:tcW w:w="563" w:type="pct"/>
            <w:tcBorders>
              <w:top w:val="nil"/>
              <w:left w:val="nil"/>
              <w:bottom w:val="single" w:sz="4" w:space="0" w:color="auto"/>
              <w:right w:val="single" w:sz="4" w:space="0" w:color="auto"/>
            </w:tcBorders>
            <w:shd w:val="clear" w:color="auto" w:fill="auto"/>
            <w:hideMark/>
          </w:tcPr>
          <w:p w14:paraId="6BD4681A" w14:textId="1CCBFB3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1DD41A2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402B492" w14:textId="0CB997D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9</w:t>
            </w:r>
          </w:p>
        </w:tc>
        <w:tc>
          <w:tcPr>
            <w:tcW w:w="3125" w:type="pct"/>
            <w:tcBorders>
              <w:top w:val="nil"/>
              <w:left w:val="nil"/>
              <w:bottom w:val="single" w:sz="4" w:space="0" w:color="auto"/>
              <w:right w:val="single" w:sz="4" w:space="0" w:color="auto"/>
            </w:tcBorders>
            <w:shd w:val="clear" w:color="auto" w:fill="auto"/>
            <w:hideMark/>
          </w:tcPr>
          <w:p w14:paraId="76D5FFEE" w14:textId="4A19FDE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Delivery, Obstetric/ae</w:t>
            </w:r>
          </w:p>
        </w:tc>
        <w:tc>
          <w:tcPr>
            <w:tcW w:w="648" w:type="pct"/>
            <w:tcBorders>
              <w:top w:val="nil"/>
              <w:left w:val="nil"/>
              <w:bottom w:val="single" w:sz="4" w:space="0" w:color="auto"/>
              <w:right w:val="single" w:sz="4" w:space="0" w:color="auto"/>
            </w:tcBorders>
            <w:shd w:val="clear" w:color="auto" w:fill="auto"/>
            <w:hideMark/>
          </w:tcPr>
          <w:p w14:paraId="0AC844D3" w14:textId="2B5F005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3063</w:t>
            </w:r>
          </w:p>
        </w:tc>
        <w:tc>
          <w:tcPr>
            <w:tcW w:w="563" w:type="pct"/>
            <w:tcBorders>
              <w:top w:val="nil"/>
              <w:left w:val="nil"/>
              <w:bottom w:val="single" w:sz="4" w:space="0" w:color="auto"/>
              <w:right w:val="single" w:sz="4" w:space="0" w:color="auto"/>
            </w:tcBorders>
            <w:shd w:val="clear" w:color="auto" w:fill="auto"/>
            <w:hideMark/>
          </w:tcPr>
          <w:p w14:paraId="400513C4" w14:textId="769C52E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59C0C13B"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CFB01E2" w14:textId="4668645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10</w:t>
            </w:r>
          </w:p>
        </w:tc>
        <w:tc>
          <w:tcPr>
            <w:tcW w:w="3125" w:type="pct"/>
            <w:tcBorders>
              <w:top w:val="nil"/>
              <w:left w:val="nil"/>
              <w:bottom w:val="single" w:sz="4" w:space="0" w:color="auto"/>
              <w:right w:val="single" w:sz="4" w:space="0" w:color="auto"/>
            </w:tcBorders>
            <w:shd w:val="clear" w:color="auto" w:fill="auto"/>
            <w:hideMark/>
          </w:tcPr>
          <w:p w14:paraId="74842725" w14:textId="697C6FD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Obstetric Labor Complications/</w:t>
            </w:r>
          </w:p>
        </w:tc>
        <w:tc>
          <w:tcPr>
            <w:tcW w:w="648" w:type="pct"/>
            <w:tcBorders>
              <w:top w:val="nil"/>
              <w:left w:val="nil"/>
              <w:bottom w:val="single" w:sz="4" w:space="0" w:color="auto"/>
              <w:right w:val="single" w:sz="4" w:space="0" w:color="auto"/>
            </w:tcBorders>
            <w:shd w:val="clear" w:color="auto" w:fill="auto"/>
            <w:hideMark/>
          </w:tcPr>
          <w:p w14:paraId="0CDEB3F3" w14:textId="5370CBC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17590</w:t>
            </w:r>
          </w:p>
        </w:tc>
        <w:tc>
          <w:tcPr>
            <w:tcW w:w="563" w:type="pct"/>
            <w:tcBorders>
              <w:top w:val="nil"/>
              <w:left w:val="nil"/>
              <w:bottom w:val="single" w:sz="4" w:space="0" w:color="auto"/>
              <w:right w:val="single" w:sz="4" w:space="0" w:color="auto"/>
            </w:tcBorders>
            <w:shd w:val="clear" w:color="auto" w:fill="auto"/>
            <w:hideMark/>
          </w:tcPr>
          <w:p w14:paraId="56AA2E58" w14:textId="2947460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EF562BC"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2C1D76A" w14:textId="1502FF3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11</w:t>
            </w:r>
          </w:p>
        </w:tc>
        <w:tc>
          <w:tcPr>
            <w:tcW w:w="3125" w:type="pct"/>
            <w:tcBorders>
              <w:top w:val="nil"/>
              <w:left w:val="nil"/>
              <w:bottom w:val="single" w:sz="4" w:space="0" w:color="auto"/>
              <w:right w:val="single" w:sz="4" w:space="0" w:color="auto"/>
            </w:tcBorders>
            <w:shd w:val="clear" w:color="auto" w:fill="auto"/>
            <w:hideMark/>
          </w:tcPr>
          <w:p w14:paraId="7171D552" w14:textId="6E65D84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Postpartum Period/</w:t>
            </w:r>
          </w:p>
        </w:tc>
        <w:tc>
          <w:tcPr>
            <w:tcW w:w="648" w:type="pct"/>
            <w:tcBorders>
              <w:top w:val="nil"/>
              <w:left w:val="nil"/>
              <w:bottom w:val="single" w:sz="4" w:space="0" w:color="auto"/>
              <w:right w:val="single" w:sz="4" w:space="0" w:color="auto"/>
            </w:tcBorders>
            <w:shd w:val="clear" w:color="auto" w:fill="auto"/>
            <w:hideMark/>
          </w:tcPr>
          <w:p w14:paraId="3711A67F" w14:textId="0B2DA1D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32457</w:t>
            </w:r>
          </w:p>
        </w:tc>
        <w:tc>
          <w:tcPr>
            <w:tcW w:w="563" w:type="pct"/>
            <w:tcBorders>
              <w:top w:val="nil"/>
              <w:left w:val="nil"/>
              <w:bottom w:val="single" w:sz="4" w:space="0" w:color="auto"/>
              <w:right w:val="single" w:sz="4" w:space="0" w:color="auto"/>
            </w:tcBorders>
            <w:shd w:val="clear" w:color="auto" w:fill="auto"/>
            <w:hideMark/>
          </w:tcPr>
          <w:p w14:paraId="3B2D2BC8" w14:textId="70A5697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628FCF0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6D9A049" w14:textId="554F3D3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12</w:t>
            </w:r>
          </w:p>
        </w:tc>
        <w:tc>
          <w:tcPr>
            <w:tcW w:w="3125" w:type="pct"/>
            <w:tcBorders>
              <w:top w:val="nil"/>
              <w:left w:val="nil"/>
              <w:bottom w:val="single" w:sz="4" w:space="0" w:color="auto"/>
              <w:right w:val="single" w:sz="4" w:space="0" w:color="auto"/>
            </w:tcBorders>
            <w:shd w:val="clear" w:color="auto" w:fill="auto"/>
            <w:hideMark/>
          </w:tcPr>
          <w:p w14:paraId="55E6F021" w14:textId="265979C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or/8-11</w:t>
            </w:r>
          </w:p>
        </w:tc>
        <w:tc>
          <w:tcPr>
            <w:tcW w:w="648" w:type="pct"/>
            <w:tcBorders>
              <w:top w:val="nil"/>
              <w:left w:val="nil"/>
              <w:bottom w:val="single" w:sz="4" w:space="0" w:color="auto"/>
              <w:right w:val="single" w:sz="4" w:space="0" w:color="auto"/>
            </w:tcBorders>
            <w:shd w:val="clear" w:color="auto" w:fill="auto"/>
            <w:hideMark/>
          </w:tcPr>
          <w:p w14:paraId="1796F323" w14:textId="6616583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1146116</w:t>
            </w:r>
          </w:p>
        </w:tc>
        <w:tc>
          <w:tcPr>
            <w:tcW w:w="563" w:type="pct"/>
            <w:tcBorders>
              <w:top w:val="nil"/>
              <w:left w:val="nil"/>
              <w:bottom w:val="single" w:sz="4" w:space="0" w:color="auto"/>
              <w:right w:val="single" w:sz="4" w:space="0" w:color="auto"/>
            </w:tcBorders>
            <w:shd w:val="clear" w:color="auto" w:fill="auto"/>
            <w:hideMark/>
          </w:tcPr>
          <w:p w14:paraId="14FA54B1" w14:textId="0243FC5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3BEEE6B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2056F38" w14:textId="712FDB9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13</w:t>
            </w:r>
          </w:p>
        </w:tc>
        <w:tc>
          <w:tcPr>
            <w:tcW w:w="3125" w:type="pct"/>
            <w:tcBorders>
              <w:top w:val="nil"/>
              <w:left w:val="nil"/>
              <w:bottom w:val="single" w:sz="4" w:space="0" w:color="auto"/>
              <w:right w:val="single" w:sz="4" w:space="0" w:color="auto"/>
            </w:tcBorders>
            <w:shd w:val="clear" w:color="auto" w:fill="auto"/>
            <w:hideMark/>
          </w:tcPr>
          <w:p w14:paraId="65889BF8" w14:textId="48A3C37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7 and 12</w:t>
            </w:r>
          </w:p>
        </w:tc>
        <w:tc>
          <w:tcPr>
            <w:tcW w:w="648" w:type="pct"/>
            <w:tcBorders>
              <w:top w:val="nil"/>
              <w:left w:val="nil"/>
              <w:bottom w:val="single" w:sz="4" w:space="0" w:color="auto"/>
              <w:right w:val="single" w:sz="4" w:space="0" w:color="auto"/>
            </w:tcBorders>
            <w:shd w:val="clear" w:color="auto" w:fill="auto"/>
            <w:hideMark/>
          </w:tcPr>
          <w:p w14:paraId="44D47720" w14:textId="1F86EBA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4160</w:t>
            </w:r>
          </w:p>
        </w:tc>
        <w:tc>
          <w:tcPr>
            <w:tcW w:w="563" w:type="pct"/>
            <w:tcBorders>
              <w:top w:val="nil"/>
              <w:left w:val="nil"/>
              <w:bottom w:val="single" w:sz="4" w:space="0" w:color="auto"/>
              <w:right w:val="single" w:sz="4" w:space="0" w:color="auto"/>
            </w:tcBorders>
            <w:shd w:val="clear" w:color="auto" w:fill="auto"/>
            <w:hideMark/>
          </w:tcPr>
          <w:p w14:paraId="25EACE09" w14:textId="160BF39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6208DDBD"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5715E434" w14:textId="7D7E5B3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14</w:t>
            </w:r>
          </w:p>
        </w:tc>
        <w:tc>
          <w:tcPr>
            <w:tcW w:w="3125" w:type="pct"/>
            <w:tcBorders>
              <w:top w:val="nil"/>
              <w:left w:val="nil"/>
              <w:bottom w:val="single" w:sz="4" w:space="0" w:color="auto"/>
              <w:right w:val="single" w:sz="4" w:space="0" w:color="auto"/>
            </w:tcBorders>
            <w:shd w:val="clear" w:color="auto" w:fill="auto"/>
            <w:hideMark/>
          </w:tcPr>
          <w:p w14:paraId="7DE0840A" w14:textId="3F16119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(obstetric* anal sphincter injur* or obstetric* anal injur* or OASI).ti,ab,kw,kf.</w:t>
            </w:r>
          </w:p>
        </w:tc>
        <w:tc>
          <w:tcPr>
            <w:tcW w:w="648" w:type="pct"/>
            <w:tcBorders>
              <w:top w:val="nil"/>
              <w:left w:val="nil"/>
              <w:bottom w:val="single" w:sz="4" w:space="0" w:color="auto"/>
              <w:right w:val="single" w:sz="4" w:space="0" w:color="auto"/>
            </w:tcBorders>
            <w:shd w:val="clear" w:color="auto" w:fill="auto"/>
            <w:hideMark/>
          </w:tcPr>
          <w:p w14:paraId="29367C14" w14:textId="4F20D8D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878</w:t>
            </w:r>
          </w:p>
        </w:tc>
        <w:tc>
          <w:tcPr>
            <w:tcW w:w="563" w:type="pct"/>
            <w:tcBorders>
              <w:top w:val="nil"/>
              <w:left w:val="nil"/>
              <w:bottom w:val="single" w:sz="4" w:space="0" w:color="auto"/>
              <w:right w:val="single" w:sz="4" w:space="0" w:color="auto"/>
            </w:tcBorders>
            <w:shd w:val="clear" w:color="auto" w:fill="auto"/>
            <w:hideMark/>
          </w:tcPr>
          <w:p w14:paraId="2A42DC44" w14:textId="3A2C696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75F7D11E"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92F8EFA" w14:textId="549EFBD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15</w:t>
            </w:r>
          </w:p>
        </w:tc>
        <w:tc>
          <w:tcPr>
            <w:tcW w:w="3125" w:type="pct"/>
            <w:tcBorders>
              <w:top w:val="nil"/>
              <w:left w:val="nil"/>
              <w:bottom w:val="single" w:sz="4" w:space="0" w:color="auto"/>
              <w:right w:val="single" w:sz="4" w:space="0" w:color="auto"/>
            </w:tcBorders>
            <w:shd w:val="clear" w:color="auto" w:fill="auto"/>
            <w:hideMark/>
          </w:tcPr>
          <w:p w14:paraId="008CD535" w14:textId="3F2D019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13 or 14</w:t>
            </w:r>
          </w:p>
        </w:tc>
        <w:tc>
          <w:tcPr>
            <w:tcW w:w="648" w:type="pct"/>
            <w:tcBorders>
              <w:top w:val="nil"/>
              <w:left w:val="nil"/>
              <w:bottom w:val="single" w:sz="4" w:space="0" w:color="auto"/>
              <w:right w:val="single" w:sz="4" w:space="0" w:color="auto"/>
            </w:tcBorders>
            <w:shd w:val="clear" w:color="auto" w:fill="auto"/>
            <w:hideMark/>
          </w:tcPr>
          <w:p w14:paraId="35DBF133" w14:textId="709B4D5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4217</w:t>
            </w:r>
          </w:p>
        </w:tc>
        <w:tc>
          <w:tcPr>
            <w:tcW w:w="563" w:type="pct"/>
            <w:tcBorders>
              <w:top w:val="nil"/>
              <w:left w:val="nil"/>
              <w:bottom w:val="single" w:sz="4" w:space="0" w:color="auto"/>
              <w:right w:val="single" w:sz="4" w:space="0" w:color="auto"/>
            </w:tcBorders>
            <w:shd w:val="clear" w:color="auto" w:fill="auto"/>
            <w:hideMark/>
          </w:tcPr>
          <w:p w14:paraId="51C10C0B" w14:textId="10F2DED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6CE492B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F1E64E8" w14:textId="6D21E8C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16</w:t>
            </w:r>
          </w:p>
        </w:tc>
        <w:tc>
          <w:tcPr>
            <w:tcW w:w="3125" w:type="pct"/>
            <w:tcBorders>
              <w:top w:val="nil"/>
              <w:left w:val="nil"/>
              <w:bottom w:val="single" w:sz="4" w:space="0" w:color="auto"/>
              <w:right w:val="single" w:sz="4" w:space="0" w:color="auto"/>
            </w:tcBorders>
            <w:shd w:val="clear" w:color="auto" w:fill="auto"/>
            <w:hideMark/>
          </w:tcPr>
          <w:p w14:paraId="0C11FF9C" w14:textId="7BF361D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Dyspareunia/ or Vaginismus/ or Vulvodynia/</w:t>
            </w:r>
          </w:p>
        </w:tc>
        <w:tc>
          <w:tcPr>
            <w:tcW w:w="648" w:type="pct"/>
            <w:tcBorders>
              <w:top w:val="nil"/>
              <w:left w:val="nil"/>
              <w:bottom w:val="single" w:sz="4" w:space="0" w:color="auto"/>
              <w:right w:val="single" w:sz="4" w:space="0" w:color="auto"/>
            </w:tcBorders>
            <w:shd w:val="clear" w:color="auto" w:fill="auto"/>
            <w:hideMark/>
          </w:tcPr>
          <w:p w14:paraId="2987C9A8" w14:textId="1F25E11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3171</w:t>
            </w:r>
          </w:p>
        </w:tc>
        <w:tc>
          <w:tcPr>
            <w:tcW w:w="563" w:type="pct"/>
            <w:tcBorders>
              <w:top w:val="nil"/>
              <w:left w:val="nil"/>
              <w:bottom w:val="single" w:sz="4" w:space="0" w:color="auto"/>
              <w:right w:val="single" w:sz="4" w:space="0" w:color="auto"/>
            </w:tcBorders>
            <w:shd w:val="clear" w:color="auto" w:fill="auto"/>
            <w:hideMark/>
          </w:tcPr>
          <w:p w14:paraId="594FFE88" w14:textId="0B3A1EA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3C0315CF"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17DCE16E" w14:textId="343A604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17</w:t>
            </w:r>
          </w:p>
        </w:tc>
        <w:tc>
          <w:tcPr>
            <w:tcW w:w="3125" w:type="pct"/>
            <w:tcBorders>
              <w:top w:val="nil"/>
              <w:left w:val="nil"/>
              <w:bottom w:val="single" w:sz="4" w:space="0" w:color="auto"/>
              <w:right w:val="single" w:sz="4" w:space="0" w:color="auto"/>
            </w:tcBorders>
            <w:shd w:val="clear" w:color="auto" w:fill="auto"/>
            <w:hideMark/>
          </w:tcPr>
          <w:p w14:paraId="0FC0EAF1" w14:textId="0C6335E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Sexual Dysfunction, Physiological/ or Sexual Dysfunctions, Psychological/</w:t>
            </w:r>
          </w:p>
        </w:tc>
        <w:tc>
          <w:tcPr>
            <w:tcW w:w="648" w:type="pct"/>
            <w:tcBorders>
              <w:top w:val="nil"/>
              <w:left w:val="nil"/>
              <w:bottom w:val="single" w:sz="4" w:space="0" w:color="auto"/>
              <w:right w:val="single" w:sz="4" w:space="0" w:color="auto"/>
            </w:tcBorders>
            <w:shd w:val="clear" w:color="auto" w:fill="auto"/>
            <w:hideMark/>
          </w:tcPr>
          <w:p w14:paraId="7701D8F1" w14:textId="13FF0A1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15307</w:t>
            </w:r>
          </w:p>
        </w:tc>
        <w:tc>
          <w:tcPr>
            <w:tcW w:w="563" w:type="pct"/>
            <w:tcBorders>
              <w:top w:val="nil"/>
              <w:left w:val="nil"/>
              <w:bottom w:val="single" w:sz="4" w:space="0" w:color="auto"/>
              <w:right w:val="single" w:sz="4" w:space="0" w:color="auto"/>
            </w:tcBorders>
            <w:shd w:val="clear" w:color="auto" w:fill="auto"/>
            <w:hideMark/>
          </w:tcPr>
          <w:p w14:paraId="1CEC9B00" w14:textId="3A32AAC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1F245E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D6872A0" w14:textId="236E368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18</w:t>
            </w:r>
          </w:p>
        </w:tc>
        <w:tc>
          <w:tcPr>
            <w:tcW w:w="3125" w:type="pct"/>
            <w:tcBorders>
              <w:top w:val="nil"/>
              <w:left w:val="nil"/>
              <w:bottom w:val="single" w:sz="4" w:space="0" w:color="auto"/>
              <w:right w:val="single" w:sz="4" w:space="0" w:color="auto"/>
            </w:tcBorders>
            <w:shd w:val="clear" w:color="auto" w:fill="auto"/>
            <w:hideMark/>
          </w:tcPr>
          <w:p w14:paraId="0B024875" w14:textId="6389BB6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Coitus/ or Sexual Behavior/</w:t>
            </w:r>
          </w:p>
        </w:tc>
        <w:tc>
          <w:tcPr>
            <w:tcW w:w="648" w:type="pct"/>
            <w:tcBorders>
              <w:top w:val="nil"/>
              <w:left w:val="nil"/>
              <w:bottom w:val="single" w:sz="4" w:space="0" w:color="auto"/>
              <w:right w:val="single" w:sz="4" w:space="0" w:color="auto"/>
            </w:tcBorders>
            <w:shd w:val="clear" w:color="auto" w:fill="auto"/>
            <w:hideMark/>
          </w:tcPr>
          <w:p w14:paraId="71A26C4B" w14:textId="1F5B601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75095</w:t>
            </w:r>
          </w:p>
        </w:tc>
        <w:tc>
          <w:tcPr>
            <w:tcW w:w="563" w:type="pct"/>
            <w:tcBorders>
              <w:top w:val="nil"/>
              <w:left w:val="nil"/>
              <w:bottom w:val="single" w:sz="4" w:space="0" w:color="auto"/>
              <w:right w:val="single" w:sz="4" w:space="0" w:color="auto"/>
            </w:tcBorders>
            <w:shd w:val="clear" w:color="auto" w:fill="auto"/>
            <w:hideMark/>
          </w:tcPr>
          <w:p w14:paraId="7F21777F" w14:textId="0F8336B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546FEABC"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066FEDF6" w14:textId="4955773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19</w:t>
            </w:r>
          </w:p>
        </w:tc>
        <w:tc>
          <w:tcPr>
            <w:tcW w:w="3125" w:type="pct"/>
            <w:tcBorders>
              <w:top w:val="nil"/>
              <w:left w:val="nil"/>
              <w:bottom w:val="single" w:sz="4" w:space="0" w:color="auto"/>
              <w:right w:val="single" w:sz="4" w:space="0" w:color="auto"/>
            </w:tcBorders>
            <w:shd w:val="clear" w:color="auto" w:fill="auto"/>
            <w:hideMark/>
          </w:tcPr>
          <w:p w14:paraId="0F089757" w14:textId="1172F50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(dyspareunia or vaginismus or vulvodynia or ((vulva* or vagin* or pelvic or pelvis?) adj3 (pain or painful or discomfort or dysfunction*)) or (painful adj (sex or sexual or intercourse))).ti,ab,kw,kf.</w:t>
            </w:r>
          </w:p>
        </w:tc>
        <w:tc>
          <w:tcPr>
            <w:tcW w:w="648" w:type="pct"/>
            <w:tcBorders>
              <w:top w:val="nil"/>
              <w:left w:val="nil"/>
              <w:bottom w:val="single" w:sz="4" w:space="0" w:color="auto"/>
              <w:right w:val="single" w:sz="4" w:space="0" w:color="auto"/>
            </w:tcBorders>
            <w:shd w:val="clear" w:color="auto" w:fill="auto"/>
            <w:hideMark/>
          </w:tcPr>
          <w:p w14:paraId="57A29515" w14:textId="68BDDE8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22956</w:t>
            </w:r>
          </w:p>
        </w:tc>
        <w:tc>
          <w:tcPr>
            <w:tcW w:w="563" w:type="pct"/>
            <w:tcBorders>
              <w:top w:val="nil"/>
              <w:left w:val="nil"/>
              <w:bottom w:val="single" w:sz="4" w:space="0" w:color="auto"/>
              <w:right w:val="single" w:sz="4" w:space="0" w:color="auto"/>
            </w:tcBorders>
            <w:shd w:val="clear" w:color="auto" w:fill="auto"/>
            <w:hideMark/>
          </w:tcPr>
          <w:p w14:paraId="133E347A" w14:textId="570EEAF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64421D34"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648D13E6" w14:textId="7904286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20</w:t>
            </w:r>
          </w:p>
        </w:tc>
        <w:tc>
          <w:tcPr>
            <w:tcW w:w="3125" w:type="pct"/>
            <w:tcBorders>
              <w:top w:val="nil"/>
              <w:left w:val="nil"/>
              <w:bottom w:val="single" w:sz="4" w:space="0" w:color="auto"/>
              <w:right w:val="single" w:sz="4" w:space="0" w:color="auto"/>
            </w:tcBorders>
            <w:shd w:val="clear" w:color="auto" w:fill="auto"/>
            <w:hideMark/>
          </w:tcPr>
          <w:p w14:paraId="13414416" w14:textId="31B1D82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(sexual adj3 (function* or dysfunction* or pleasure or complaint* or problem* or issue* or desire* or activit* or satisfaction or symptom* or life or experience* or quality of life)).ti,ab,kw,kf.</w:t>
            </w:r>
          </w:p>
        </w:tc>
        <w:tc>
          <w:tcPr>
            <w:tcW w:w="648" w:type="pct"/>
            <w:tcBorders>
              <w:top w:val="nil"/>
              <w:left w:val="nil"/>
              <w:bottom w:val="single" w:sz="4" w:space="0" w:color="auto"/>
              <w:right w:val="single" w:sz="4" w:space="0" w:color="auto"/>
            </w:tcBorders>
            <w:shd w:val="clear" w:color="auto" w:fill="auto"/>
            <w:hideMark/>
          </w:tcPr>
          <w:p w14:paraId="49DDB830" w14:textId="4510120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62684</w:t>
            </w:r>
          </w:p>
        </w:tc>
        <w:tc>
          <w:tcPr>
            <w:tcW w:w="563" w:type="pct"/>
            <w:tcBorders>
              <w:top w:val="nil"/>
              <w:left w:val="nil"/>
              <w:bottom w:val="single" w:sz="4" w:space="0" w:color="auto"/>
              <w:right w:val="single" w:sz="4" w:space="0" w:color="auto"/>
            </w:tcBorders>
            <w:shd w:val="clear" w:color="auto" w:fill="auto"/>
            <w:hideMark/>
          </w:tcPr>
          <w:p w14:paraId="59EFEC1E" w14:textId="149156F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05D7C6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76739B8" w14:textId="55A9E56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21</w:t>
            </w:r>
          </w:p>
        </w:tc>
        <w:tc>
          <w:tcPr>
            <w:tcW w:w="3125" w:type="pct"/>
            <w:tcBorders>
              <w:top w:val="nil"/>
              <w:left w:val="nil"/>
              <w:bottom w:val="single" w:sz="4" w:space="0" w:color="auto"/>
              <w:right w:val="single" w:sz="4" w:space="0" w:color="auto"/>
            </w:tcBorders>
            <w:shd w:val="clear" w:color="auto" w:fill="auto"/>
            <w:hideMark/>
          </w:tcPr>
          <w:p w14:paraId="2E1E1BEA" w14:textId="1FF41F1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(coitus or coital or sex life or intercourse or sex).ti,ab,kw,kf.</w:t>
            </w:r>
          </w:p>
        </w:tc>
        <w:tc>
          <w:tcPr>
            <w:tcW w:w="648" w:type="pct"/>
            <w:tcBorders>
              <w:top w:val="nil"/>
              <w:left w:val="nil"/>
              <w:bottom w:val="single" w:sz="4" w:space="0" w:color="auto"/>
              <w:right w:val="single" w:sz="4" w:space="0" w:color="auto"/>
            </w:tcBorders>
            <w:shd w:val="clear" w:color="auto" w:fill="auto"/>
            <w:hideMark/>
          </w:tcPr>
          <w:p w14:paraId="5421B234" w14:textId="64913D1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719504</w:t>
            </w:r>
          </w:p>
        </w:tc>
        <w:tc>
          <w:tcPr>
            <w:tcW w:w="563" w:type="pct"/>
            <w:tcBorders>
              <w:top w:val="nil"/>
              <w:left w:val="nil"/>
              <w:bottom w:val="single" w:sz="4" w:space="0" w:color="auto"/>
              <w:right w:val="single" w:sz="4" w:space="0" w:color="auto"/>
            </w:tcBorders>
            <w:shd w:val="clear" w:color="auto" w:fill="auto"/>
            <w:hideMark/>
          </w:tcPr>
          <w:p w14:paraId="2BBE58B2" w14:textId="32E117F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6E4F7D0C"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D7A7028" w14:textId="4882EB2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22</w:t>
            </w:r>
          </w:p>
        </w:tc>
        <w:tc>
          <w:tcPr>
            <w:tcW w:w="3125" w:type="pct"/>
            <w:tcBorders>
              <w:top w:val="nil"/>
              <w:left w:val="nil"/>
              <w:bottom w:val="single" w:sz="4" w:space="0" w:color="auto"/>
              <w:right w:val="single" w:sz="4" w:space="0" w:color="auto"/>
            </w:tcBorders>
            <w:shd w:val="clear" w:color="auto" w:fill="auto"/>
            <w:hideMark/>
          </w:tcPr>
          <w:p w14:paraId="3D2D8839" w14:textId="1A3599E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or/16-21</w:t>
            </w:r>
          </w:p>
        </w:tc>
        <w:tc>
          <w:tcPr>
            <w:tcW w:w="648" w:type="pct"/>
            <w:tcBorders>
              <w:top w:val="nil"/>
              <w:left w:val="nil"/>
              <w:bottom w:val="single" w:sz="4" w:space="0" w:color="auto"/>
              <w:right w:val="single" w:sz="4" w:space="0" w:color="auto"/>
            </w:tcBorders>
            <w:shd w:val="clear" w:color="auto" w:fill="auto"/>
            <w:hideMark/>
          </w:tcPr>
          <w:p w14:paraId="16CFB672" w14:textId="2A03C4F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818911</w:t>
            </w:r>
          </w:p>
        </w:tc>
        <w:tc>
          <w:tcPr>
            <w:tcW w:w="563" w:type="pct"/>
            <w:tcBorders>
              <w:top w:val="nil"/>
              <w:left w:val="nil"/>
              <w:bottom w:val="single" w:sz="4" w:space="0" w:color="auto"/>
              <w:right w:val="single" w:sz="4" w:space="0" w:color="auto"/>
            </w:tcBorders>
            <w:shd w:val="clear" w:color="auto" w:fill="auto"/>
            <w:hideMark/>
          </w:tcPr>
          <w:p w14:paraId="3996EEAF" w14:textId="6DA9131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7D9D9EAA"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7A7D2E84" w14:textId="010CCCC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23</w:t>
            </w:r>
          </w:p>
        </w:tc>
        <w:tc>
          <w:tcPr>
            <w:tcW w:w="3125" w:type="pct"/>
            <w:tcBorders>
              <w:top w:val="nil"/>
              <w:left w:val="nil"/>
              <w:bottom w:val="single" w:sz="4" w:space="0" w:color="auto"/>
              <w:right w:val="single" w:sz="4" w:space="0" w:color="auto"/>
            </w:tcBorders>
            <w:shd w:val="clear" w:color="auto" w:fill="auto"/>
            <w:hideMark/>
          </w:tcPr>
          <w:p w14:paraId="2F6E7338" w14:textId="5C8E4E0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15 and 22</w:t>
            </w:r>
          </w:p>
        </w:tc>
        <w:tc>
          <w:tcPr>
            <w:tcW w:w="648" w:type="pct"/>
            <w:tcBorders>
              <w:top w:val="nil"/>
              <w:left w:val="nil"/>
              <w:bottom w:val="single" w:sz="4" w:space="0" w:color="auto"/>
              <w:right w:val="single" w:sz="4" w:space="0" w:color="auto"/>
            </w:tcBorders>
            <w:shd w:val="clear" w:color="auto" w:fill="auto"/>
            <w:hideMark/>
          </w:tcPr>
          <w:p w14:paraId="3B46E929" w14:textId="664DD5F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466</w:t>
            </w:r>
          </w:p>
        </w:tc>
        <w:tc>
          <w:tcPr>
            <w:tcW w:w="563" w:type="pct"/>
            <w:tcBorders>
              <w:top w:val="nil"/>
              <w:left w:val="nil"/>
              <w:bottom w:val="single" w:sz="4" w:space="0" w:color="auto"/>
              <w:right w:val="single" w:sz="4" w:space="0" w:color="auto"/>
            </w:tcBorders>
            <w:shd w:val="clear" w:color="auto" w:fill="auto"/>
            <w:hideMark/>
          </w:tcPr>
          <w:p w14:paraId="2A6B9E1E" w14:textId="5315D94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1D8F1A6E"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2DCE1B0" w14:textId="238C3B5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24</w:t>
            </w:r>
          </w:p>
        </w:tc>
        <w:tc>
          <w:tcPr>
            <w:tcW w:w="3125" w:type="pct"/>
            <w:tcBorders>
              <w:top w:val="nil"/>
              <w:left w:val="nil"/>
              <w:bottom w:val="single" w:sz="4" w:space="0" w:color="auto"/>
              <w:right w:val="single" w:sz="4" w:space="0" w:color="auto"/>
            </w:tcBorders>
            <w:shd w:val="clear" w:color="auto" w:fill="auto"/>
            <w:hideMark/>
          </w:tcPr>
          <w:p w14:paraId="0ECACF38" w14:textId="3278B70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limit 23 to english language</w:t>
            </w:r>
          </w:p>
        </w:tc>
        <w:tc>
          <w:tcPr>
            <w:tcW w:w="648" w:type="pct"/>
            <w:tcBorders>
              <w:top w:val="nil"/>
              <w:left w:val="nil"/>
              <w:bottom w:val="single" w:sz="4" w:space="0" w:color="auto"/>
              <w:right w:val="single" w:sz="4" w:space="0" w:color="auto"/>
            </w:tcBorders>
            <w:shd w:val="clear" w:color="auto" w:fill="auto"/>
            <w:hideMark/>
          </w:tcPr>
          <w:p w14:paraId="157C4640" w14:textId="3018F3A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433</w:t>
            </w:r>
          </w:p>
        </w:tc>
        <w:tc>
          <w:tcPr>
            <w:tcW w:w="563" w:type="pct"/>
            <w:tcBorders>
              <w:top w:val="nil"/>
              <w:left w:val="nil"/>
              <w:bottom w:val="single" w:sz="4" w:space="0" w:color="auto"/>
              <w:right w:val="single" w:sz="4" w:space="0" w:color="auto"/>
            </w:tcBorders>
            <w:shd w:val="clear" w:color="auto" w:fill="auto"/>
            <w:hideMark/>
          </w:tcPr>
          <w:p w14:paraId="5B9FD3D9" w14:textId="48491D5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207CEA5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5F5A556" w14:textId="3417AF3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25</w:t>
            </w:r>
          </w:p>
        </w:tc>
        <w:tc>
          <w:tcPr>
            <w:tcW w:w="3125" w:type="pct"/>
            <w:tcBorders>
              <w:top w:val="nil"/>
              <w:left w:val="nil"/>
              <w:bottom w:val="single" w:sz="4" w:space="0" w:color="auto"/>
              <w:right w:val="single" w:sz="4" w:space="0" w:color="auto"/>
            </w:tcBorders>
            <w:shd w:val="clear" w:color="auto" w:fill="auto"/>
            <w:hideMark/>
          </w:tcPr>
          <w:p w14:paraId="0BD490A3" w14:textId="7FCA1F8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exp Animals/</w:t>
            </w:r>
          </w:p>
        </w:tc>
        <w:tc>
          <w:tcPr>
            <w:tcW w:w="648" w:type="pct"/>
            <w:tcBorders>
              <w:top w:val="nil"/>
              <w:left w:val="nil"/>
              <w:bottom w:val="single" w:sz="4" w:space="0" w:color="auto"/>
              <w:right w:val="single" w:sz="4" w:space="0" w:color="auto"/>
            </w:tcBorders>
            <w:shd w:val="clear" w:color="auto" w:fill="auto"/>
            <w:hideMark/>
          </w:tcPr>
          <w:p w14:paraId="74BD801F" w14:textId="6E753EC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27326593</w:t>
            </w:r>
          </w:p>
        </w:tc>
        <w:tc>
          <w:tcPr>
            <w:tcW w:w="563" w:type="pct"/>
            <w:tcBorders>
              <w:top w:val="nil"/>
              <w:left w:val="nil"/>
              <w:bottom w:val="single" w:sz="4" w:space="0" w:color="auto"/>
              <w:right w:val="single" w:sz="4" w:space="0" w:color="auto"/>
            </w:tcBorders>
            <w:shd w:val="clear" w:color="auto" w:fill="auto"/>
            <w:hideMark/>
          </w:tcPr>
          <w:p w14:paraId="24E92D55" w14:textId="22F6A9A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69A49AF9"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733640D3" w14:textId="2E3E82E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26</w:t>
            </w:r>
          </w:p>
        </w:tc>
        <w:tc>
          <w:tcPr>
            <w:tcW w:w="3125" w:type="pct"/>
            <w:tcBorders>
              <w:top w:val="nil"/>
              <w:left w:val="nil"/>
              <w:bottom w:val="single" w:sz="4" w:space="0" w:color="auto"/>
              <w:right w:val="single" w:sz="4" w:space="0" w:color="auto"/>
            </w:tcBorders>
            <w:shd w:val="clear" w:color="auto" w:fill="auto"/>
            <w:hideMark/>
          </w:tcPr>
          <w:p w14:paraId="0361D438" w14:textId="117B242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exp Animal Experimentation/ or exp Animal Experiment/</w:t>
            </w:r>
          </w:p>
        </w:tc>
        <w:tc>
          <w:tcPr>
            <w:tcW w:w="648" w:type="pct"/>
            <w:tcBorders>
              <w:top w:val="nil"/>
              <w:left w:val="nil"/>
              <w:bottom w:val="single" w:sz="4" w:space="0" w:color="auto"/>
              <w:right w:val="single" w:sz="4" w:space="0" w:color="auto"/>
            </w:tcBorders>
            <w:shd w:val="clear" w:color="auto" w:fill="auto"/>
            <w:hideMark/>
          </w:tcPr>
          <w:p w14:paraId="5B171BAB" w14:textId="33F1EA2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10508</w:t>
            </w:r>
          </w:p>
        </w:tc>
        <w:tc>
          <w:tcPr>
            <w:tcW w:w="563" w:type="pct"/>
            <w:tcBorders>
              <w:top w:val="nil"/>
              <w:left w:val="nil"/>
              <w:bottom w:val="single" w:sz="4" w:space="0" w:color="auto"/>
              <w:right w:val="single" w:sz="4" w:space="0" w:color="auto"/>
            </w:tcBorders>
            <w:shd w:val="clear" w:color="auto" w:fill="auto"/>
            <w:hideMark/>
          </w:tcPr>
          <w:p w14:paraId="208D5939" w14:textId="62B05B9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579253AD"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ADA364B" w14:textId="5265457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27</w:t>
            </w:r>
          </w:p>
        </w:tc>
        <w:tc>
          <w:tcPr>
            <w:tcW w:w="3125" w:type="pct"/>
            <w:tcBorders>
              <w:top w:val="nil"/>
              <w:left w:val="nil"/>
              <w:bottom w:val="single" w:sz="4" w:space="0" w:color="auto"/>
              <w:right w:val="single" w:sz="4" w:space="0" w:color="auto"/>
            </w:tcBorders>
            <w:shd w:val="clear" w:color="auto" w:fill="auto"/>
            <w:hideMark/>
          </w:tcPr>
          <w:p w14:paraId="5061D468" w14:textId="6EE35AE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exp Models, Animal/</w:t>
            </w:r>
          </w:p>
        </w:tc>
        <w:tc>
          <w:tcPr>
            <w:tcW w:w="648" w:type="pct"/>
            <w:tcBorders>
              <w:top w:val="nil"/>
              <w:left w:val="nil"/>
              <w:bottom w:val="single" w:sz="4" w:space="0" w:color="auto"/>
              <w:right w:val="single" w:sz="4" w:space="0" w:color="auto"/>
            </w:tcBorders>
            <w:shd w:val="clear" w:color="auto" w:fill="auto"/>
            <w:hideMark/>
          </w:tcPr>
          <w:p w14:paraId="541E68AE" w14:textId="2ABA865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655482</w:t>
            </w:r>
          </w:p>
        </w:tc>
        <w:tc>
          <w:tcPr>
            <w:tcW w:w="563" w:type="pct"/>
            <w:tcBorders>
              <w:top w:val="nil"/>
              <w:left w:val="nil"/>
              <w:bottom w:val="single" w:sz="4" w:space="0" w:color="auto"/>
              <w:right w:val="single" w:sz="4" w:space="0" w:color="auto"/>
            </w:tcBorders>
            <w:shd w:val="clear" w:color="auto" w:fill="auto"/>
            <w:hideMark/>
          </w:tcPr>
          <w:p w14:paraId="2DA2BF51" w14:textId="50C03E0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1DAD1BAE"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3A0F81B" w14:textId="3653891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28</w:t>
            </w:r>
          </w:p>
        </w:tc>
        <w:tc>
          <w:tcPr>
            <w:tcW w:w="3125" w:type="pct"/>
            <w:tcBorders>
              <w:top w:val="nil"/>
              <w:left w:val="nil"/>
              <w:bottom w:val="single" w:sz="4" w:space="0" w:color="auto"/>
              <w:right w:val="single" w:sz="4" w:space="0" w:color="auto"/>
            </w:tcBorders>
            <w:shd w:val="clear" w:color="auto" w:fill="auto"/>
            <w:hideMark/>
          </w:tcPr>
          <w:p w14:paraId="715AD8A1" w14:textId="4E07911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or/25-27</w:t>
            </w:r>
          </w:p>
        </w:tc>
        <w:tc>
          <w:tcPr>
            <w:tcW w:w="648" w:type="pct"/>
            <w:tcBorders>
              <w:top w:val="nil"/>
              <w:left w:val="nil"/>
              <w:bottom w:val="single" w:sz="4" w:space="0" w:color="auto"/>
              <w:right w:val="single" w:sz="4" w:space="0" w:color="auto"/>
            </w:tcBorders>
            <w:shd w:val="clear" w:color="auto" w:fill="auto"/>
            <w:hideMark/>
          </w:tcPr>
          <w:p w14:paraId="45359ADD" w14:textId="4FD0707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27328572</w:t>
            </w:r>
          </w:p>
        </w:tc>
        <w:tc>
          <w:tcPr>
            <w:tcW w:w="563" w:type="pct"/>
            <w:tcBorders>
              <w:top w:val="nil"/>
              <w:left w:val="nil"/>
              <w:bottom w:val="single" w:sz="4" w:space="0" w:color="auto"/>
              <w:right w:val="single" w:sz="4" w:space="0" w:color="auto"/>
            </w:tcBorders>
            <w:shd w:val="clear" w:color="auto" w:fill="auto"/>
            <w:hideMark/>
          </w:tcPr>
          <w:p w14:paraId="3482EC39" w14:textId="0A777A5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3BDC991"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50B94F1" w14:textId="434B0C3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29</w:t>
            </w:r>
          </w:p>
        </w:tc>
        <w:tc>
          <w:tcPr>
            <w:tcW w:w="3125" w:type="pct"/>
            <w:tcBorders>
              <w:top w:val="nil"/>
              <w:left w:val="nil"/>
              <w:bottom w:val="single" w:sz="4" w:space="0" w:color="auto"/>
              <w:right w:val="single" w:sz="4" w:space="0" w:color="auto"/>
            </w:tcBorders>
            <w:shd w:val="clear" w:color="auto" w:fill="auto"/>
            <w:hideMark/>
          </w:tcPr>
          <w:p w14:paraId="785D93E6" w14:textId="3AFB64B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Humans/</w:t>
            </w:r>
          </w:p>
        </w:tc>
        <w:tc>
          <w:tcPr>
            <w:tcW w:w="648" w:type="pct"/>
            <w:tcBorders>
              <w:top w:val="nil"/>
              <w:left w:val="nil"/>
              <w:bottom w:val="single" w:sz="4" w:space="0" w:color="auto"/>
              <w:right w:val="single" w:sz="4" w:space="0" w:color="auto"/>
            </w:tcBorders>
            <w:shd w:val="clear" w:color="auto" w:fill="auto"/>
            <w:hideMark/>
          </w:tcPr>
          <w:p w14:paraId="38FFE128" w14:textId="6C95293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22087914</w:t>
            </w:r>
          </w:p>
        </w:tc>
        <w:tc>
          <w:tcPr>
            <w:tcW w:w="563" w:type="pct"/>
            <w:tcBorders>
              <w:top w:val="nil"/>
              <w:left w:val="nil"/>
              <w:bottom w:val="single" w:sz="4" w:space="0" w:color="auto"/>
              <w:right w:val="single" w:sz="4" w:space="0" w:color="auto"/>
            </w:tcBorders>
            <w:shd w:val="clear" w:color="auto" w:fill="auto"/>
            <w:hideMark/>
          </w:tcPr>
          <w:p w14:paraId="4B6D8616" w14:textId="315B67E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CB5AF0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2EA95C4" w14:textId="0CA72D8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30</w:t>
            </w:r>
          </w:p>
        </w:tc>
        <w:tc>
          <w:tcPr>
            <w:tcW w:w="3125" w:type="pct"/>
            <w:tcBorders>
              <w:top w:val="nil"/>
              <w:left w:val="nil"/>
              <w:bottom w:val="single" w:sz="4" w:space="0" w:color="auto"/>
              <w:right w:val="single" w:sz="4" w:space="0" w:color="auto"/>
            </w:tcBorders>
            <w:shd w:val="clear" w:color="auto" w:fill="auto"/>
            <w:hideMark/>
          </w:tcPr>
          <w:p w14:paraId="5C807517" w14:textId="3A67667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exp Human Experimentation/</w:t>
            </w:r>
          </w:p>
        </w:tc>
        <w:tc>
          <w:tcPr>
            <w:tcW w:w="648" w:type="pct"/>
            <w:tcBorders>
              <w:top w:val="nil"/>
              <w:left w:val="nil"/>
              <w:bottom w:val="single" w:sz="4" w:space="0" w:color="auto"/>
              <w:right w:val="single" w:sz="4" w:space="0" w:color="auto"/>
            </w:tcBorders>
            <w:shd w:val="clear" w:color="auto" w:fill="auto"/>
            <w:hideMark/>
          </w:tcPr>
          <w:p w14:paraId="4718DAFB" w14:textId="270EF57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12693</w:t>
            </w:r>
          </w:p>
        </w:tc>
        <w:tc>
          <w:tcPr>
            <w:tcW w:w="563" w:type="pct"/>
            <w:tcBorders>
              <w:top w:val="nil"/>
              <w:left w:val="nil"/>
              <w:bottom w:val="single" w:sz="4" w:space="0" w:color="auto"/>
              <w:right w:val="single" w:sz="4" w:space="0" w:color="auto"/>
            </w:tcBorders>
            <w:shd w:val="clear" w:color="auto" w:fill="auto"/>
            <w:hideMark/>
          </w:tcPr>
          <w:p w14:paraId="1F95B10B" w14:textId="03EBFBC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52D6244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7107F2E2" w14:textId="341ADA9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31</w:t>
            </w:r>
          </w:p>
        </w:tc>
        <w:tc>
          <w:tcPr>
            <w:tcW w:w="3125" w:type="pct"/>
            <w:tcBorders>
              <w:top w:val="nil"/>
              <w:left w:val="nil"/>
              <w:bottom w:val="single" w:sz="4" w:space="0" w:color="auto"/>
              <w:right w:val="single" w:sz="4" w:space="0" w:color="auto"/>
            </w:tcBorders>
            <w:shd w:val="clear" w:color="auto" w:fill="auto"/>
            <w:hideMark/>
          </w:tcPr>
          <w:p w14:paraId="58FDBE6A" w14:textId="0967FE1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29 or 30</w:t>
            </w:r>
          </w:p>
        </w:tc>
        <w:tc>
          <w:tcPr>
            <w:tcW w:w="648" w:type="pct"/>
            <w:tcBorders>
              <w:top w:val="nil"/>
              <w:left w:val="nil"/>
              <w:bottom w:val="single" w:sz="4" w:space="0" w:color="auto"/>
              <w:right w:val="single" w:sz="4" w:space="0" w:color="auto"/>
            </w:tcBorders>
            <w:shd w:val="clear" w:color="auto" w:fill="auto"/>
            <w:hideMark/>
          </w:tcPr>
          <w:p w14:paraId="197EBB28" w14:textId="761DF60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22088573</w:t>
            </w:r>
          </w:p>
        </w:tc>
        <w:tc>
          <w:tcPr>
            <w:tcW w:w="563" w:type="pct"/>
            <w:tcBorders>
              <w:top w:val="nil"/>
              <w:left w:val="nil"/>
              <w:bottom w:val="single" w:sz="4" w:space="0" w:color="auto"/>
              <w:right w:val="single" w:sz="4" w:space="0" w:color="auto"/>
            </w:tcBorders>
            <w:shd w:val="clear" w:color="auto" w:fill="auto"/>
            <w:hideMark/>
          </w:tcPr>
          <w:p w14:paraId="2DDEAE6C" w14:textId="7673694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453526FB"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7C397BDF" w14:textId="1079FF7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32</w:t>
            </w:r>
          </w:p>
        </w:tc>
        <w:tc>
          <w:tcPr>
            <w:tcW w:w="3125" w:type="pct"/>
            <w:tcBorders>
              <w:top w:val="nil"/>
              <w:left w:val="nil"/>
              <w:bottom w:val="single" w:sz="4" w:space="0" w:color="auto"/>
              <w:right w:val="single" w:sz="4" w:space="0" w:color="auto"/>
            </w:tcBorders>
            <w:shd w:val="clear" w:color="auto" w:fill="auto"/>
            <w:hideMark/>
          </w:tcPr>
          <w:p w14:paraId="445204EF" w14:textId="467A5FD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28 not 31</w:t>
            </w:r>
          </w:p>
        </w:tc>
        <w:tc>
          <w:tcPr>
            <w:tcW w:w="648" w:type="pct"/>
            <w:tcBorders>
              <w:top w:val="nil"/>
              <w:left w:val="nil"/>
              <w:bottom w:val="single" w:sz="4" w:space="0" w:color="auto"/>
              <w:right w:val="single" w:sz="4" w:space="0" w:color="auto"/>
            </w:tcBorders>
            <w:shd w:val="clear" w:color="auto" w:fill="auto"/>
            <w:hideMark/>
          </w:tcPr>
          <w:p w14:paraId="19942675" w14:textId="51ABAC7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5240627</w:t>
            </w:r>
          </w:p>
        </w:tc>
        <w:tc>
          <w:tcPr>
            <w:tcW w:w="563" w:type="pct"/>
            <w:tcBorders>
              <w:top w:val="nil"/>
              <w:left w:val="nil"/>
              <w:bottom w:val="single" w:sz="4" w:space="0" w:color="auto"/>
              <w:right w:val="single" w:sz="4" w:space="0" w:color="auto"/>
            </w:tcBorders>
            <w:shd w:val="clear" w:color="auto" w:fill="auto"/>
            <w:hideMark/>
          </w:tcPr>
          <w:p w14:paraId="639423FA" w14:textId="4203EF5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35EB675B"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3253A03" w14:textId="6A1CFD2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33</w:t>
            </w:r>
          </w:p>
        </w:tc>
        <w:tc>
          <w:tcPr>
            <w:tcW w:w="3125" w:type="pct"/>
            <w:tcBorders>
              <w:top w:val="nil"/>
              <w:left w:val="nil"/>
              <w:bottom w:val="single" w:sz="4" w:space="0" w:color="auto"/>
              <w:right w:val="single" w:sz="4" w:space="0" w:color="auto"/>
            </w:tcBorders>
            <w:shd w:val="clear" w:color="auto" w:fill="auto"/>
            <w:hideMark/>
          </w:tcPr>
          <w:p w14:paraId="662F3BDC" w14:textId="2B91354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24 not 32</w:t>
            </w:r>
          </w:p>
        </w:tc>
        <w:tc>
          <w:tcPr>
            <w:tcW w:w="648" w:type="pct"/>
            <w:tcBorders>
              <w:top w:val="nil"/>
              <w:left w:val="nil"/>
              <w:bottom w:val="single" w:sz="4" w:space="0" w:color="auto"/>
              <w:right w:val="single" w:sz="4" w:space="0" w:color="auto"/>
            </w:tcBorders>
            <w:shd w:val="clear" w:color="auto" w:fill="auto"/>
            <w:hideMark/>
          </w:tcPr>
          <w:p w14:paraId="3D185EA8" w14:textId="09FF61A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432</w:t>
            </w:r>
          </w:p>
        </w:tc>
        <w:tc>
          <w:tcPr>
            <w:tcW w:w="563" w:type="pct"/>
            <w:tcBorders>
              <w:top w:val="nil"/>
              <w:left w:val="nil"/>
              <w:bottom w:val="single" w:sz="4" w:space="0" w:color="auto"/>
              <w:right w:val="single" w:sz="4" w:space="0" w:color="auto"/>
            </w:tcBorders>
            <w:shd w:val="clear" w:color="auto" w:fill="auto"/>
            <w:hideMark/>
          </w:tcPr>
          <w:p w14:paraId="6AF436E9" w14:textId="2551BC1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72D82EB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2E8D851" w14:textId="5382F81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34</w:t>
            </w:r>
          </w:p>
        </w:tc>
        <w:tc>
          <w:tcPr>
            <w:tcW w:w="3125" w:type="pct"/>
            <w:tcBorders>
              <w:top w:val="nil"/>
              <w:left w:val="nil"/>
              <w:bottom w:val="single" w:sz="4" w:space="0" w:color="auto"/>
              <w:right w:val="single" w:sz="4" w:space="0" w:color="auto"/>
            </w:tcBorders>
            <w:shd w:val="clear" w:color="auto" w:fill="auto"/>
            <w:hideMark/>
          </w:tcPr>
          <w:p w14:paraId="59BF4F20" w14:textId="1AB8082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letter/</w:t>
            </w:r>
          </w:p>
        </w:tc>
        <w:tc>
          <w:tcPr>
            <w:tcW w:w="648" w:type="pct"/>
            <w:tcBorders>
              <w:top w:val="nil"/>
              <w:left w:val="nil"/>
              <w:bottom w:val="single" w:sz="4" w:space="0" w:color="auto"/>
              <w:right w:val="single" w:sz="4" w:space="0" w:color="auto"/>
            </w:tcBorders>
            <w:shd w:val="clear" w:color="auto" w:fill="auto"/>
            <w:hideMark/>
          </w:tcPr>
          <w:p w14:paraId="1B4B6534" w14:textId="6FFBC12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1262167</w:t>
            </w:r>
          </w:p>
        </w:tc>
        <w:tc>
          <w:tcPr>
            <w:tcW w:w="563" w:type="pct"/>
            <w:tcBorders>
              <w:top w:val="nil"/>
              <w:left w:val="nil"/>
              <w:bottom w:val="single" w:sz="4" w:space="0" w:color="auto"/>
              <w:right w:val="single" w:sz="4" w:space="0" w:color="auto"/>
            </w:tcBorders>
            <w:shd w:val="clear" w:color="auto" w:fill="auto"/>
            <w:hideMark/>
          </w:tcPr>
          <w:p w14:paraId="367648EB" w14:textId="282D970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00EC9D81"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A853064" w14:textId="68A7931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35</w:t>
            </w:r>
          </w:p>
        </w:tc>
        <w:tc>
          <w:tcPr>
            <w:tcW w:w="3125" w:type="pct"/>
            <w:tcBorders>
              <w:top w:val="nil"/>
              <w:left w:val="nil"/>
              <w:bottom w:val="single" w:sz="4" w:space="0" w:color="auto"/>
              <w:right w:val="single" w:sz="4" w:space="0" w:color="auto"/>
            </w:tcBorders>
            <w:shd w:val="clear" w:color="auto" w:fill="auto"/>
            <w:hideMark/>
          </w:tcPr>
          <w:p w14:paraId="129E6DBB" w14:textId="15F56C6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editorial/</w:t>
            </w:r>
          </w:p>
        </w:tc>
        <w:tc>
          <w:tcPr>
            <w:tcW w:w="648" w:type="pct"/>
            <w:tcBorders>
              <w:top w:val="nil"/>
              <w:left w:val="nil"/>
              <w:bottom w:val="single" w:sz="4" w:space="0" w:color="auto"/>
              <w:right w:val="single" w:sz="4" w:space="0" w:color="auto"/>
            </w:tcBorders>
            <w:shd w:val="clear" w:color="auto" w:fill="auto"/>
            <w:hideMark/>
          </w:tcPr>
          <w:p w14:paraId="62E46D02" w14:textId="55998C3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698297</w:t>
            </w:r>
          </w:p>
        </w:tc>
        <w:tc>
          <w:tcPr>
            <w:tcW w:w="563" w:type="pct"/>
            <w:tcBorders>
              <w:top w:val="nil"/>
              <w:left w:val="nil"/>
              <w:bottom w:val="single" w:sz="4" w:space="0" w:color="auto"/>
              <w:right w:val="single" w:sz="4" w:space="0" w:color="auto"/>
            </w:tcBorders>
            <w:shd w:val="clear" w:color="auto" w:fill="auto"/>
            <w:hideMark/>
          </w:tcPr>
          <w:p w14:paraId="7036C9E7" w14:textId="7EA4B38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279010E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06317A3" w14:textId="7C7B98F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36</w:t>
            </w:r>
          </w:p>
        </w:tc>
        <w:tc>
          <w:tcPr>
            <w:tcW w:w="3125" w:type="pct"/>
            <w:tcBorders>
              <w:top w:val="nil"/>
              <w:left w:val="nil"/>
              <w:bottom w:val="single" w:sz="4" w:space="0" w:color="auto"/>
              <w:right w:val="single" w:sz="4" w:space="0" w:color="auto"/>
            </w:tcBorders>
            <w:shd w:val="clear" w:color="auto" w:fill="auto"/>
            <w:hideMark/>
          </w:tcPr>
          <w:p w14:paraId="448E7D6A" w14:textId="2211A0D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news/</w:t>
            </w:r>
          </w:p>
        </w:tc>
        <w:tc>
          <w:tcPr>
            <w:tcW w:w="648" w:type="pct"/>
            <w:tcBorders>
              <w:top w:val="nil"/>
              <w:left w:val="nil"/>
              <w:bottom w:val="single" w:sz="4" w:space="0" w:color="auto"/>
              <w:right w:val="single" w:sz="4" w:space="0" w:color="auto"/>
            </w:tcBorders>
            <w:shd w:val="clear" w:color="auto" w:fill="auto"/>
            <w:hideMark/>
          </w:tcPr>
          <w:p w14:paraId="296E2F80" w14:textId="46675AA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225973</w:t>
            </w:r>
          </w:p>
        </w:tc>
        <w:tc>
          <w:tcPr>
            <w:tcW w:w="563" w:type="pct"/>
            <w:tcBorders>
              <w:top w:val="nil"/>
              <w:left w:val="nil"/>
              <w:bottom w:val="single" w:sz="4" w:space="0" w:color="auto"/>
              <w:right w:val="single" w:sz="4" w:space="0" w:color="auto"/>
            </w:tcBorders>
            <w:shd w:val="clear" w:color="auto" w:fill="auto"/>
            <w:hideMark/>
          </w:tcPr>
          <w:p w14:paraId="03211786" w14:textId="060DBE5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57DA4A4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CE426C2" w14:textId="738C88F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37</w:t>
            </w:r>
          </w:p>
        </w:tc>
        <w:tc>
          <w:tcPr>
            <w:tcW w:w="3125" w:type="pct"/>
            <w:tcBorders>
              <w:top w:val="nil"/>
              <w:left w:val="nil"/>
              <w:bottom w:val="single" w:sz="4" w:space="0" w:color="auto"/>
              <w:right w:val="single" w:sz="4" w:space="0" w:color="auto"/>
            </w:tcBorders>
            <w:shd w:val="clear" w:color="auto" w:fill="auto"/>
            <w:hideMark/>
          </w:tcPr>
          <w:p w14:paraId="37AFD8F6" w14:textId="6E275FC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exp historical article/</w:t>
            </w:r>
          </w:p>
        </w:tc>
        <w:tc>
          <w:tcPr>
            <w:tcW w:w="648" w:type="pct"/>
            <w:tcBorders>
              <w:top w:val="nil"/>
              <w:left w:val="nil"/>
              <w:bottom w:val="single" w:sz="4" w:space="0" w:color="auto"/>
              <w:right w:val="single" w:sz="4" w:space="0" w:color="auto"/>
            </w:tcBorders>
            <w:shd w:val="clear" w:color="auto" w:fill="auto"/>
            <w:hideMark/>
          </w:tcPr>
          <w:p w14:paraId="70233233" w14:textId="306E5B2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411999</w:t>
            </w:r>
          </w:p>
        </w:tc>
        <w:tc>
          <w:tcPr>
            <w:tcW w:w="563" w:type="pct"/>
            <w:tcBorders>
              <w:top w:val="nil"/>
              <w:left w:val="nil"/>
              <w:bottom w:val="single" w:sz="4" w:space="0" w:color="auto"/>
              <w:right w:val="single" w:sz="4" w:space="0" w:color="auto"/>
            </w:tcBorders>
            <w:shd w:val="clear" w:color="auto" w:fill="auto"/>
            <w:hideMark/>
          </w:tcPr>
          <w:p w14:paraId="1149D0C2" w14:textId="14AB122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396A5C6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C5FD77C" w14:textId="02B224A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38</w:t>
            </w:r>
          </w:p>
        </w:tc>
        <w:tc>
          <w:tcPr>
            <w:tcW w:w="3125" w:type="pct"/>
            <w:tcBorders>
              <w:top w:val="nil"/>
              <w:left w:val="nil"/>
              <w:bottom w:val="single" w:sz="4" w:space="0" w:color="auto"/>
              <w:right w:val="single" w:sz="4" w:space="0" w:color="auto"/>
            </w:tcBorders>
            <w:shd w:val="clear" w:color="auto" w:fill="auto"/>
            <w:hideMark/>
          </w:tcPr>
          <w:p w14:paraId="33DAA682" w14:textId="7E09371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anecdotes as topic/</w:t>
            </w:r>
          </w:p>
        </w:tc>
        <w:tc>
          <w:tcPr>
            <w:tcW w:w="648" w:type="pct"/>
            <w:tcBorders>
              <w:top w:val="nil"/>
              <w:left w:val="nil"/>
              <w:bottom w:val="single" w:sz="4" w:space="0" w:color="auto"/>
              <w:right w:val="single" w:sz="4" w:space="0" w:color="auto"/>
            </w:tcBorders>
            <w:shd w:val="clear" w:color="auto" w:fill="auto"/>
            <w:hideMark/>
          </w:tcPr>
          <w:p w14:paraId="6632A9CF" w14:textId="2BD15CE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4747</w:t>
            </w:r>
          </w:p>
        </w:tc>
        <w:tc>
          <w:tcPr>
            <w:tcW w:w="563" w:type="pct"/>
            <w:tcBorders>
              <w:top w:val="nil"/>
              <w:left w:val="nil"/>
              <w:bottom w:val="single" w:sz="4" w:space="0" w:color="auto"/>
              <w:right w:val="single" w:sz="4" w:space="0" w:color="auto"/>
            </w:tcBorders>
            <w:shd w:val="clear" w:color="auto" w:fill="auto"/>
            <w:hideMark/>
          </w:tcPr>
          <w:p w14:paraId="40A94935" w14:textId="19E4E5A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016C97E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066E52E" w14:textId="6583F6F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39</w:t>
            </w:r>
          </w:p>
        </w:tc>
        <w:tc>
          <w:tcPr>
            <w:tcW w:w="3125" w:type="pct"/>
            <w:tcBorders>
              <w:top w:val="nil"/>
              <w:left w:val="nil"/>
              <w:bottom w:val="single" w:sz="4" w:space="0" w:color="auto"/>
              <w:right w:val="single" w:sz="4" w:space="0" w:color="auto"/>
            </w:tcBorders>
            <w:shd w:val="clear" w:color="auto" w:fill="auto"/>
            <w:hideMark/>
          </w:tcPr>
          <w:p w14:paraId="4672FDC9" w14:textId="0067419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comment/</w:t>
            </w:r>
          </w:p>
        </w:tc>
        <w:tc>
          <w:tcPr>
            <w:tcW w:w="648" w:type="pct"/>
            <w:tcBorders>
              <w:top w:val="nil"/>
              <w:left w:val="nil"/>
              <w:bottom w:val="single" w:sz="4" w:space="0" w:color="auto"/>
              <w:right w:val="single" w:sz="4" w:space="0" w:color="auto"/>
            </w:tcBorders>
            <w:shd w:val="clear" w:color="auto" w:fill="auto"/>
            <w:hideMark/>
          </w:tcPr>
          <w:p w14:paraId="447EED53" w14:textId="16D93AD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1038281</w:t>
            </w:r>
          </w:p>
        </w:tc>
        <w:tc>
          <w:tcPr>
            <w:tcW w:w="563" w:type="pct"/>
            <w:tcBorders>
              <w:top w:val="nil"/>
              <w:left w:val="nil"/>
              <w:bottom w:val="single" w:sz="4" w:space="0" w:color="auto"/>
              <w:right w:val="single" w:sz="4" w:space="0" w:color="auto"/>
            </w:tcBorders>
            <w:shd w:val="clear" w:color="auto" w:fill="auto"/>
            <w:hideMark/>
          </w:tcPr>
          <w:p w14:paraId="546352CE" w14:textId="26B2E92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0E7F3AF6"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E0B73EC" w14:textId="325D8B2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40</w:t>
            </w:r>
          </w:p>
        </w:tc>
        <w:tc>
          <w:tcPr>
            <w:tcW w:w="3125" w:type="pct"/>
            <w:tcBorders>
              <w:top w:val="nil"/>
              <w:left w:val="nil"/>
              <w:bottom w:val="single" w:sz="4" w:space="0" w:color="auto"/>
              <w:right w:val="single" w:sz="4" w:space="0" w:color="auto"/>
            </w:tcBorders>
            <w:shd w:val="clear" w:color="auto" w:fill="auto"/>
            <w:hideMark/>
          </w:tcPr>
          <w:p w14:paraId="586AEEC3" w14:textId="00A0D89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case reports/</w:t>
            </w:r>
          </w:p>
        </w:tc>
        <w:tc>
          <w:tcPr>
            <w:tcW w:w="648" w:type="pct"/>
            <w:tcBorders>
              <w:top w:val="nil"/>
              <w:left w:val="nil"/>
              <w:bottom w:val="single" w:sz="4" w:space="0" w:color="auto"/>
              <w:right w:val="single" w:sz="4" w:space="0" w:color="auto"/>
            </w:tcBorders>
            <w:shd w:val="clear" w:color="auto" w:fill="auto"/>
            <w:hideMark/>
          </w:tcPr>
          <w:p w14:paraId="1956A5D4" w14:textId="3896B79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2417164</w:t>
            </w:r>
          </w:p>
        </w:tc>
        <w:tc>
          <w:tcPr>
            <w:tcW w:w="563" w:type="pct"/>
            <w:tcBorders>
              <w:top w:val="nil"/>
              <w:left w:val="nil"/>
              <w:bottom w:val="single" w:sz="4" w:space="0" w:color="auto"/>
              <w:right w:val="single" w:sz="4" w:space="0" w:color="auto"/>
            </w:tcBorders>
            <w:shd w:val="clear" w:color="auto" w:fill="auto"/>
            <w:hideMark/>
          </w:tcPr>
          <w:p w14:paraId="2C247A94" w14:textId="090DEB8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660BB8B6"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205B5E0" w14:textId="74949E8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41</w:t>
            </w:r>
          </w:p>
        </w:tc>
        <w:tc>
          <w:tcPr>
            <w:tcW w:w="3125" w:type="pct"/>
            <w:tcBorders>
              <w:top w:val="nil"/>
              <w:left w:val="nil"/>
              <w:bottom w:val="single" w:sz="4" w:space="0" w:color="auto"/>
              <w:right w:val="single" w:sz="4" w:space="0" w:color="auto"/>
            </w:tcBorders>
            <w:shd w:val="clear" w:color="auto" w:fill="auto"/>
            <w:hideMark/>
          </w:tcPr>
          <w:p w14:paraId="701F294A" w14:textId="5C64F8C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(letter or comment*).ti.</w:t>
            </w:r>
          </w:p>
        </w:tc>
        <w:tc>
          <w:tcPr>
            <w:tcW w:w="648" w:type="pct"/>
            <w:tcBorders>
              <w:top w:val="nil"/>
              <w:left w:val="nil"/>
              <w:bottom w:val="single" w:sz="4" w:space="0" w:color="auto"/>
              <w:right w:val="single" w:sz="4" w:space="0" w:color="auto"/>
            </w:tcBorders>
            <w:shd w:val="clear" w:color="auto" w:fill="auto"/>
            <w:hideMark/>
          </w:tcPr>
          <w:p w14:paraId="767FF0B1" w14:textId="71D74BB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201733</w:t>
            </w:r>
          </w:p>
        </w:tc>
        <w:tc>
          <w:tcPr>
            <w:tcW w:w="563" w:type="pct"/>
            <w:tcBorders>
              <w:top w:val="nil"/>
              <w:left w:val="nil"/>
              <w:bottom w:val="single" w:sz="4" w:space="0" w:color="auto"/>
              <w:right w:val="single" w:sz="4" w:space="0" w:color="auto"/>
            </w:tcBorders>
            <w:shd w:val="clear" w:color="auto" w:fill="auto"/>
            <w:hideMark/>
          </w:tcPr>
          <w:p w14:paraId="2541BD66" w14:textId="6B808D0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5466FBF5"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ABA02F8" w14:textId="10B31ED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42</w:t>
            </w:r>
          </w:p>
        </w:tc>
        <w:tc>
          <w:tcPr>
            <w:tcW w:w="3125" w:type="pct"/>
            <w:tcBorders>
              <w:top w:val="nil"/>
              <w:left w:val="nil"/>
              <w:bottom w:val="single" w:sz="4" w:space="0" w:color="auto"/>
              <w:right w:val="single" w:sz="4" w:space="0" w:color="auto"/>
            </w:tcBorders>
            <w:shd w:val="clear" w:color="auto" w:fill="auto"/>
            <w:hideMark/>
          </w:tcPr>
          <w:p w14:paraId="7D10D0A9" w14:textId="3CBAD5F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(abstract or comment or conference or letter).pt.</w:t>
            </w:r>
          </w:p>
        </w:tc>
        <w:tc>
          <w:tcPr>
            <w:tcW w:w="648" w:type="pct"/>
            <w:tcBorders>
              <w:top w:val="nil"/>
              <w:left w:val="nil"/>
              <w:bottom w:val="single" w:sz="4" w:space="0" w:color="auto"/>
              <w:right w:val="single" w:sz="4" w:space="0" w:color="auto"/>
            </w:tcBorders>
            <w:shd w:val="clear" w:color="auto" w:fill="auto"/>
            <w:hideMark/>
          </w:tcPr>
          <w:p w14:paraId="0921EB2B" w14:textId="50135A5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1777000</w:t>
            </w:r>
          </w:p>
        </w:tc>
        <w:tc>
          <w:tcPr>
            <w:tcW w:w="563" w:type="pct"/>
            <w:tcBorders>
              <w:top w:val="nil"/>
              <w:left w:val="nil"/>
              <w:bottom w:val="single" w:sz="4" w:space="0" w:color="auto"/>
              <w:right w:val="single" w:sz="4" w:space="0" w:color="auto"/>
            </w:tcBorders>
            <w:shd w:val="clear" w:color="auto" w:fill="auto"/>
            <w:hideMark/>
          </w:tcPr>
          <w:p w14:paraId="75478930" w14:textId="117DC16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06E7D7CD"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DDCDA39" w14:textId="5E46DB3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43</w:t>
            </w:r>
          </w:p>
        </w:tc>
        <w:tc>
          <w:tcPr>
            <w:tcW w:w="3125" w:type="pct"/>
            <w:tcBorders>
              <w:top w:val="nil"/>
              <w:left w:val="nil"/>
              <w:bottom w:val="single" w:sz="4" w:space="0" w:color="auto"/>
              <w:right w:val="single" w:sz="4" w:space="0" w:color="auto"/>
            </w:tcBorders>
            <w:shd w:val="clear" w:color="auto" w:fill="auto"/>
            <w:hideMark/>
          </w:tcPr>
          <w:p w14:paraId="6CAC659E" w14:textId="390A045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or/34-42</w:t>
            </w:r>
          </w:p>
        </w:tc>
        <w:tc>
          <w:tcPr>
            <w:tcW w:w="648" w:type="pct"/>
            <w:tcBorders>
              <w:top w:val="nil"/>
              <w:left w:val="nil"/>
              <w:bottom w:val="single" w:sz="4" w:space="0" w:color="auto"/>
              <w:right w:val="single" w:sz="4" w:space="0" w:color="auto"/>
            </w:tcBorders>
            <w:shd w:val="clear" w:color="auto" w:fill="auto"/>
            <w:hideMark/>
          </w:tcPr>
          <w:p w14:paraId="2CC33EFC" w14:textId="1F51DB0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5113733</w:t>
            </w:r>
          </w:p>
        </w:tc>
        <w:tc>
          <w:tcPr>
            <w:tcW w:w="563" w:type="pct"/>
            <w:tcBorders>
              <w:top w:val="nil"/>
              <w:left w:val="nil"/>
              <w:bottom w:val="single" w:sz="4" w:space="0" w:color="auto"/>
              <w:right w:val="single" w:sz="4" w:space="0" w:color="auto"/>
            </w:tcBorders>
            <w:shd w:val="clear" w:color="auto" w:fill="auto"/>
            <w:hideMark/>
          </w:tcPr>
          <w:p w14:paraId="59540244" w14:textId="224D1F9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06690885"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74E98EF" w14:textId="658FD86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44</w:t>
            </w:r>
          </w:p>
        </w:tc>
        <w:tc>
          <w:tcPr>
            <w:tcW w:w="3125" w:type="pct"/>
            <w:tcBorders>
              <w:top w:val="nil"/>
              <w:left w:val="nil"/>
              <w:bottom w:val="single" w:sz="4" w:space="0" w:color="auto"/>
              <w:right w:val="single" w:sz="4" w:space="0" w:color="auto"/>
            </w:tcBorders>
            <w:shd w:val="clear" w:color="auto" w:fill="auto"/>
            <w:hideMark/>
          </w:tcPr>
          <w:p w14:paraId="6D4DCAE9" w14:textId="44B1F81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33 not 43</w:t>
            </w:r>
          </w:p>
        </w:tc>
        <w:tc>
          <w:tcPr>
            <w:tcW w:w="648" w:type="pct"/>
            <w:tcBorders>
              <w:top w:val="nil"/>
              <w:left w:val="nil"/>
              <w:bottom w:val="single" w:sz="4" w:space="0" w:color="auto"/>
              <w:right w:val="single" w:sz="4" w:space="0" w:color="auto"/>
            </w:tcBorders>
            <w:shd w:val="clear" w:color="auto" w:fill="auto"/>
            <w:hideMark/>
          </w:tcPr>
          <w:p w14:paraId="5C6E2E6D" w14:textId="10BD7DB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413</w:t>
            </w:r>
          </w:p>
        </w:tc>
        <w:tc>
          <w:tcPr>
            <w:tcW w:w="563" w:type="pct"/>
            <w:tcBorders>
              <w:top w:val="nil"/>
              <w:left w:val="nil"/>
              <w:bottom w:val="single" w:sz="4" w:space="0" w:color="auto"/>
              <w:right w:val="single" w:sz="4" w:space="0" w:color="auto"/>
            </w:tcBorders>
            <w:shd w:val="clear" w:color="auto" w:fill="auto"/>
            <w:hideMark/>
          </w:tcPr>
          <w:p w14:paraId="09F7E717" w14:textId="508DBDC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r w:rsidR="000A2C57" w:rsidRPr="00845419" w14:paraId="73896C5C" w14:textId="77777777" w:rsidTr="000A2C57">
        <w:trPr>
          <w:trHeight w:val="310"/>
        </w:trPr>
        <w:tc>
          <w:tcPr>
            <w:tcW w:w="663" w:type="pct"/>
            <w:tcBorders>
              <w:top w:val="single" w:sz="4" w:space="0" w:color="auto"/>
              <w:left w:val="single" w:sz="4" w:space="0" w:color="auto"/>
              <w:bottom w:val="single" w:sz="4" w:space="0" w:color="auto"/>
              <w:right w:val="single" w:sz="4" w:space="0" w:color="auto"/>
            </w:tcBorders>
            <w:shd w:val="clear" w:color="auto" w:fill="auto"/>
          </w:tcPr>
          <w:p w14:paraId="1C66206D" w14:textId="68B79B9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45</w:t>
            </w:r>
          </w:p>
        </w:tc>
        <w:tc>
          <w:tcPr>
            <w:tcW w:w="3125" w:type="pct"/>
            <w:tcBorders>
              <w:top w:val="single" w:sz="4" w:space="0" w:color="auto"/>
              <w:left w:val="nil"/>
              <w:bottom w:val="single" w:sz="4" w:space="0" w:color="auto"/>
              <w:right w:val="single" w:sz="4" w:space="0" w:color="auto"/>
            </w:tcBorders>
            <w:shd w:val="clear" w:color="auto" w:fill="auto"/>
          </w:tcPr>
          <w:p w14:paraId="14F6B91C" w14:textId="66D8F78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limit 44 to yr="2023 -Current"</w:t>
            </w:r>
          </w:p>
        </w:tc>
        <w:tc>
          <w:tcPr>
            <w:tcW w:w="648" w:type="pct"/>
            <w:tcBorders>
              <w:top w:val="single" w:sz="4" w:space="0" w:color="auto"/>
              <w:left w:val="nil"/>
              <w:bottom w:val="single" w:sz="4" w:space="0" w:color="auto"/>
              <w:right w:val="single" w:sz="4" w:space="0" w:color="auto"/>
            </w:tcBorders>
            <w:shd w:val="clear" w:color="auto" w:fill="auto"/>
          </w:tcPr>
          <w:p w14:paraId="582833E6" w14:textId="2C9DB43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423CD9">
              <w:t>63</w:t>
            </w:r>
          </w:p>
        </w:tc>
        <w:tc>
          <w:tcPr>
            <w:tcW w:w="563" w:type="pct"/>
            <w:tcBorders>
              <w:top w:val="single" w:sz="4" w:space="0" w:color="auto"/>
              <w:left w:val="nil"/>
              <w:bottom w:val="single" w:sz="4" w:space="0" w:color="auto"/>
              <w:right w:val="single" w:sz="4" w:space="0" w:color="auto"/>
            </w:tcBorders>
            <w:shd w:val="clear" w:color="auto" w:fill="auto"/>
          </w:tcPr>
          <w:p w14:paraId="195BD865"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p>
        </w:tc>
      </w:tr>
    </w:tbl>
    <w:p w14:paraId="182CBE84" w14:textId="77777777" w:rsidR="00845419" w:rsidRDefault="00845419">
      <w:pPr>
        <w:spacing w:beforeLines="0" w:before="0" w:afterLines="0" w:after="0" w:line="259" w:lineRule="auto"/>
        <w:contextualSpacing w:val="0"/>
      </w:pPr>
    </w:p>
    <w:p w14:paraId="11D4999F" w14:textId="77777777" w:rsidR="00845419" w:rsidRDefault="00845419">
      <w:pPr>
        <w:spacing w:beforeLines="0" w:before="0" w:afterLines="0" w:after="0" w:line="259" w:lineRule="auto"/>
        <w:contextualSpacing w:val="0"/>
      </w:pPr>
    </w:p>
    <w:tbl>
      <w:tblPr>
        <w:tblW w:w="5000" w:type="pct"/>
        <w:tblLook w:val="04A0" w:firstRow="1" w:lastRow="0" w:firstColumn="1" w:lastColumn="0" w:noHBand="0" w:noVBand="1"/>
      </w:tblPr>
      <w:tblGrid>
        <w:gridCol w:w="1218"/>
        <w:gridCol w:w="5738"/>
        <w:gridCol w:w="1190"/>
        <w:gridCol w:w="1034"/>
      </w:tblGrid>
      <w:tr w:rsidR="000A2C57" w:rsidRPr="00845419" w14:paraId="532D26AF" w14:textId="77777777" w:rsidTr="000A2C57">
        <w:trPr>
          <w:trHeight w:val="795"/>
        </w:trPr>
        <w:tc>
          <w:tcPr>
            <w:tcW w:w="663" w:type="pct"/>
            <w:tcBorders>
              <w:top w:val="single" w:sz="4" w:space="0" w:color="auto"/>
              <w:left w:val="single" w:sz="4" w:space="0" w:color="auto"/>
              <w:bottom w:val="single" w:sz="4" w:space="0" w:color="auto"/>
              <w:right w:val="single" w:sz="4" w:space="0" w:color="auto"/>
            </w:tcBorders>
            <w:shd w:val="clear" w:color="000000" w:fill="49C5B1"/>
            <w:hideMark/>
          </w:tcPr>
          <w:p w14:paraId="65BFD613" w14:textId="052C89DB"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r w:rsidRPr="000A2C57">
              <w:rPr>
                <w:b/>
                <w:bCs/>
              </w:rPr>
              <w:t xml:space="preserve">Database: </w:t>
            </w:r>
          </w:p>
        </w:tc>
        <w:tc>
          <w:tcPr>
            <w:tcW w:w="3125" w:type="pct"/>
            <w:tcBorders>
              <w:top w:val="single" w:sz="4" w:space="0" w:color="auto"/>
              <w:left w:val="nil"/>
              <w:bottom w:val="single" w:sz="4" w:space="0" w:color="auto"/>
              <w:right w:val="single" w:sz="4" w:space="0" w:color="auto"/>
            </w:tcBorders>
            <w:shd w:val="clear" w:color="000000" w:fill="49C5B1"/>
            <w:hideMark/>
          </w:tcPr>
          <w:p w14:paraId="0B847371" w14:textId="623326CE"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r w:rsidRPr="000A2C57">
              <w:rPr>
                <w:b/>
                <w:bCs/>
              </w:rPr>
              <w:t>Embase &lt;1974 to 2024 Week 27&gt;</w:t>
            </w:r>
          </w:p>
        </w:tc>
        <w:tc>
          <w:tcPr>
            <w:tcW w:w="648" w:type="pct"/>
            <w:vMerge w:val="restart"/>
            <w:tcBorders>
              <w:top w:val="single" w:sz="4" w:space="0" w:color="auto"/>
              <w:left w:val="single" w:sz="4" w:space="0" w:color="auto"/>
              <w:bottom w:val="single" w:sz="4" w:space="0" w:color="auto"/>
              <w:right w:val="single" w:sz="4" w:space="0" w:color="auto"/>
            </w:tcBorders>
            <w:shd w:val="clear" w:color="000000" w:fill="49C5B1"/>
            <w:hideMark/>
          </w:tcPr>
          <w:p w14:paraId="2EC1F191" w14:textId="77777777"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r w:rsidRPr="000A2C57">
              <w:rPr>
                <w:b/>
                <w:bCs/>
              </w:rPr>
              <w:t>Results per line:</w:t>
            </w:r>
          </w:p>
          <w:p w14:paraId="734D7609" w14:textId="0E27FA81"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p>
        </w:tc>
        <w:tc>
          <w:tcPr>
            <w:tcW w:w="563" w:type="pct"/>
            <w:vMerge w:val="restart"/>
            <w:tcBorders>
              <w:top w:val="single" w:sz="4" w:space="0" w:color="auto"/>
              <w:left w:val="single" w:sz="4" w:space="0" w:color="auto"/>
              <w:bottom w:val="single" w:sz="4" w:space="0" w:color="auto"/>
              <w:right w:val="single" w:sz="4" w:space="0" w:color="auto"/>
            </w:tcBorders>
            <w:shd w:val="clear" w:color="000000" w:fill="49C5B1"/>
            <w:hideMark/>
          </w:tcPr>
          <w:p w14:paraId="4D68704A" w14:textId="77777777"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r w:rsidRPr="000A2C57">
              <w:rPr>
                <w:b/>
                <w:bCs/>
              </w:rPr>
              <w:t>Number of results:</w:t>
            </w:r>
          </w:p>
          <w:p w14:paraId="7DB63C1D" w14:textId="615D252F"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p>
        </w:tc>
      </w:tr>
      <w:tr w:rsidR="000A2C57" w:rsidRPr="00845419" w14:paraId="5B9B66EA" w14:textId="77777777" w:rsidTr="000A2C57">
        <w:trPr>
          <w:trHeight w:val="720"/>
        </w:trPr>
        <w:tc>
          <w:tcPr>
            <w:tcW w:w="663" w:type="pct"/>
            <w:tcBorders>
              <w:top w:val="nil"/>
              <w:left w:val="single" w:sz="4" w:space="0" w:color="auto"/>
              <w:bottom w:val="single" w:sz="4" w:space="0" w:color="auto"/>
              <w:right w:val="single" w:sz="4" w:space="0" w:color="auto"/>
            </w:tcBorders>
            <w:shd w:val="clear" w:color="000000" w:fill="49C5B1"/>
            <w:hideMark/>
          </w:tcPr>
          <w:p w14:paraId="0631F50C" w14:textId="6794EE99" w:rsidR="000A2C57" w:rsidRPr="000A2C57" w:rsidRDefault="000A2C57" w:rsidP="000A2C57">
            <w:pPr>
              <w:spacing w:beforeLines="0" w:before="0" w:afterLines="0" w:after="0" w:line="240" w:lineRule="auto"/>
              <w:contextualSpacing w:val="0"/>
              <w:rPr>
                <w:rFonts w:ascii="Calibri" w:eastAsia="Times New Roman" w:hAnsi="Calibri" w:cs="Calibri"/>
                <w:b/>
                <w:bCs/>
                <w:color w:val="auto"/>
                <w:lang w:eastAsia="en-GB"/>
              </w:rPr>
            </w:pPr>
            <w:r w:rsidRPr="000A2C57">
              <w:rPr>
                <w:b/>
                <w:bCs/>
              </w:rPr>
              <w:t>Date:</w:t>
            </w:r>
          </w:p>
        </w:tc>
        <w:tc>
          <w:tcPr>
            <w:tcW w:w="3125" w:type="pct"/>
            <w:tcBorders>
              <w:top w:val="nil"/>
              <w:left w:val="nil"/>
              <w:bottom w:val="single" w:sz="4" w:space="0" w:color="auto"/>
              <w:right w:val="single" w:sz="4" w:space="0" w:color="auto"/>
            </w:tcBorders>
            <w:shd w:val="clear" w:color="000000" w:fill="49C5B1"/>
            <w:hideMark/>
          </w:tcPr>
          <w:p w14:paraId="45928F4C" w14:textId="21567DE2" w:rsidR="000A2C57" w:rsidRPr="000A2C57"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r w:rsidRPr="000A2C57">
              <w:rPr>
                <w:b/>
                <w:bCs/>
              </w:rPr>
              <w:t>12/07/2024</w:t>
            </w:r>
          </w:p>
        </w:tc>
        <w:tc>
          <w:tcPr>
            <w:tcW w:w="648" w:type="pct"/>
            <w:vMerge/>
            <w:tcBorders>
              <w:top w:val="single" w:sz="4" w:space="0" w:color="auto"/>
              <w:left w:val="single" w:sz="4" w:space="0" w:color="auto"/>
              <w:bottom w:val="single" w:sz="4" w:space="0" w:color="auto"/>
              <w:right w:val="single" w:sz="4" w:space="0" w:color="auto"/>
            </w:tcBorders>
            <w:hideMark/>
          </w:tcPr>
          <w:p w14:paraId="22902A75" w14:textId="77777777" w:rsidR="000A2C57" w:rsidRPr="00845419" w:rsidRDefault="000A2C57" w:rsidP="000A2C57">
            <w:pPr>
              <w:spacing w:beforeLines="0" w:before="0" w:afterLines="0" w:after="0" w:line="240" w:lineRule="auto"/>
              <w:contextualSpacing w:val="0"/>
              <w:rPr>
                <w:rFonts w:ascii="Calibri" w:eastAsia="Times New Roman" w:hAnsi="Calibri" w:cs="Calibri"/>
                <w:b/>
                <w:bCs/>
                <w:color w:val="auto"/>
                <w:lang w:eastAsia="en-GB"/>
              </w:rPr>
            </w:pPr>
          </w:p>
        </w:tc>
        <w:tc>
          <w:tcPr>
            <w:tcW w:w="563" w:type="pct"/>
            <w:vMerge/>
            <w:tcBorders>
              <w:top w:val="single" w:sz="4" w:space="0" w:color="auto"/>
              <w:left w:val="single" w:sz="4" w:space="0" w:color="auto"/>
              <w:bottom w:val="single" w:sz="4" w:space="0" w:color="auto"/>
              <w:right w:val="single" w:sz="4" w:space="0" w:color="auto"/>
            </w:tcBorders>
            <w:hideMark/>
          </w:tcPr>
          <w:p w14:paraId="0FB987CC" w14:textId="77777777" w:rsidR="000A2C57" w:rsidRPr="00845419" w:rsidRDefault="000A2C57" w:rsidP="000A2C57">
            <w:pPr>
              <w:spacing w:beforeLines="0" w:before="0" w:afterLines="0" w:after="0" w:line="240" w:lineRule="auto"/>
              <w:contextualSpacing w:val="0"/>
              <w:rPr>
                <w:rFonts w:ascii="Calibri" w:eastAsia="Times New Roman" w:hAnsi="Calibri" w:cs="Calibri"/>
                <w:b/>
                <w:bCs/>
                <w:color w:val="auto"/>
                <w:lang w:eastAsia="en-GB"/>
              </w:rPr>
            </w:pPr>
          </w:p>
        </w:tc>
      </w:tr>
      <w:tr w:rsidR="000A2C57" w:rsidRPr="00845419" w14:paraId="4C9803E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73C7F59F" w14:textId="70955D1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w:t>
            </w:r>
          </w:p>
        </w:tc>
        <w:tc>
          <w:tcPr>
            <w:tcW w:w="3125" w:type="pct"/>
            <w:tcBorders>
              <w:top w:val="nil"/>
              <w:left w:val="nil"/>
              <w:bottom w:val="single" w:sz="4" w:space="0" w:color="auto"/>
              <w:right w:val="single" w:sz="4" w:space="0" w:color="auto"/>
            </w:tcBorders>
            <w:shd w:val="clear" w:color="auto" w:fill="auto"/>
            <w:hideMark/>
          </w:tcPr>
          <w:p w14:paraId="5926D410" w14:textId="0C7BBAA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perineum injury/</w:t>
            </w:r>
          </w:p>
        </w:tc>
        <w:tc>
          <w:tcPr>
            <w:tcW w:w="648" w:type="pct"/>
            <w:tcBorders>
              <w:top w:val="nil"/>
              <w:left w:val="nil"/>
              <w:bottom w:val="single" w:sz="4" w:space="0" w:color="auto"/>
              <w:right w:val="single" w:sz="4" w:space="0" w:color="auto"/>
            </w:tcBorders>
            <w:shd w:val="clear" w:color="auto" w:fill="auto"/>
            <w:noWrap/>
            <w:hideMark/>
          </w:tcPr>
          <w:p w14:paraId="41A25B08" w14:textId="57EBC2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3557</w:t>
            </w:r>
          </w:p>
        </w:tc>
        <w:tc>
          <w:tcPr>
            <w:tcW w:w="563" w:type="pct"/>
            <w:tcBorders>
              <w:top w:val="nil"/>
              <w:left w:val="nil"/>
              <w:bottom w:val="single" w:sz="4" w:space="0" w:color="auto"/>
              <w:right w:val="single" w:sz="4" w:space="0" w:color="auto"/>
            </w:tcBorders>
            <w:shd w:val="clear" w:color="auto" w:fill="FFFF00"/>
            <w:noWrap/>
            <w:hideMark/>
          </w:tcPr>
          <w:p w14:paraId="0C8B06FE" w14:textId="593C4C6D" w:rsidR="000A2C57" w:rsidRPr="000A2C57" w:rsidRDefault="000A2C57" w:rsidP="000A2C57">
            <w:pPr>
              <w:spacing w:beforeLines="0" w:before="0" w:afterLines="0" w:after="0" w:line="240" w:lineRule="auto"/>
              <w:contextualSpacing w:val="0"/>
              <w:rPr>
                <w:rFonts w:ascii="Calibri" w:eastAsia="Times New Roman" w:hAnsi="Calibri" w:cs="Calibri"/>
                <w:b/>
                <w:bCs/>
                <w:color w:val="000000"/>
                <w:lang w:eastAsia="en-GB"/>
              </w:rPr>
            </w:pPr>
            <w:r w:rsidRPr="000A2C57">
              <w:rPr>
                <w:b/>
                <w:bCs/>
              </w:rPr>
              <w:t>66</w:t>
            </w:r>
          </w:p>
        </w:tc>
      </w:tr>
      <w:tr w:rsidR="000A2C57" w:rsidRPr="00845419" w14:paraId="4B016D01"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7ED9C51F" w14:textId="13F7046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w:t>
            </w:r>
          </w:p>
        </w:tc>
        <w:tc>
          <w:tcPr>
            <w:tcW w:w="3125" w:type="pct"/>
            <w:tcBorders>
              <w:top w:val="nil"/>
              <w:left w:val="nil"/>
              <w:bottom w:val="single" w:sz="4" w:space="0" w:color="auto"/>
              <w:right w:val="single" w:sz="4" w:space="0" w:color="auto"/>
            </w:tcBorders>
            <w:shd w:val="clear" w:color="auto" w:fill="auto"/>
            <w:hideMark/>
          </w:tcPr>
          <w:p w14:paraId="036C362B" w14:textId="373775A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anus injury/</w:t>
            </w:r>
          </w:p>
        </w:tc>
        <w:tc>
          <w:tcPr>
            <w:tcW w:w="648" w:type="pct"/>
            <w:tcBorders>
              <w:top w:val="nil"/>
              <w:left w:val="nil"/>
              <w:bottom w:val="single" w:sz="4" w:space="0" w:color="auto"/>
              <w:right w:val="single" w:sz="4" w:space="0" w:color="auto"/>
            </w:tcBorders>
            <w:shd w:val="clear" w:color="auto" w:fill="auto"/>
            <w:noWrap/>
            <w:hideMark/>
          </w:tcPr>
          <w:p w14:paraId="6966C57E" w14:textId="15B0E28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999</w:t>
            </w:r>
          </w:p>
        </w:tc>
        <w:tc>
          <w:tcPr>
            <w:tcW w:w="563" w:type="pct"/>
            <w:tcBorders>
              <w:top w:val="nil"/>
              <w:left w:val="nil"/>
              <w:bottom w:val="single" w:sz="4" w:space="0" w:color="auto"/>
              <w:right w:val="single" w:sz="4" w:space="0" w:color="auto"/>
            </w:tcBorders>
            <w:shd w:val="clear" w:color="auto" w:fill="auto"/>
            <w:noWrap/>
            <w:hideMark/>
          </w:tcPr>
          <w:p w14:paraId="26B3639E" w14:textId="3DEF7F35"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250882FF"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10BF9995" w14:textId="37B6A11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w:t>
            </w:r>
          </w:p>
        </w:tc>
        <w:tc>
          <w:tcPr>
            <w:tcW w:w="3125" w:type="pct"/>
            <w:tcBorders>
              <w:top w:val="nil"/>
              <w:left w:val="nil"/>
              <w:bottom w:val="single" w:sz="4" w:space="0" w:color="auto"/>
              <w:right w:val="single" w:sz="4" w:space="0" w:color="auto"/>
            </w:tcBorders>
            <w:shd w:val="clear" w:color="auto" w:fill="auto"/>
            <w:hideMark/>
          </w:tcPr>
          <w:p w14:paraId="217390EB" w14:textId="2B3C5EC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((anal or anorectal* or ani) adj3 sphincter*).ti,ab,kw,kf.</w:t>
            </w:r>
          </w:p>
        </w:tc>
        <w:tc>
          <w:tcPr>
            <w:tcW w:w="648" w:type="pct"/>
            <w:tcBorders>
              <w:top w:val="nil"/>
              <w:left w:val="nil"/>
              <w:bottom w:val="single" w:sz="4" w:space="0" w:color="auto"/>
              <w:right w:val="single" w:sz="4" w:space="0" w:color="auto"/>
            </w:tcBorders>
            <w:shd w:val="clear" w:color="auto" w:fill="auto"/>
            <w:noWrap/>
            <w:hideMark/>
          </w:tcPr>
          <w:p w14:paraId="698B4C27" w14:textId="6897C1C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11563</w:t>
            </w:r>
          </w:p>
        </w:tc>
        <w:tc>
          <w:tcPr>
            <w:tcW w:w="563" w:type="pct"/>
            <w:tcBorders>
              <w:top w:val="nil"/>
              <w:left w:val="nil"/>
              <w:bottom w:val="single" w:sz="4" w:space="0" w:color="auto"/>
              <w:right w:val="single" w:sz="4" w:space="0" w:color="auto"/>
            </w:tcBorders>
            <w:shd w:val="clear" w:color="auto" w:fill="auto"/>
            <w:noWrap/>
            <w:hideMark/>
          </w:tcPr>
          <w:p w14:paraId="1FF56AA2" w14:textId="20F14B68"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622A0171"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529648AD" w14:textId="1DFD7E0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4</w:t>
            </w:r>
          </w:p>
        </w:tc>
        <w:tc>
          <w:tcPr>
            <w:tcW w:w="3125" w:type="pct"/>
            <w:tcBorders>
              <w:top w:val="nil"/>
              <w:left w:val="nil"/>
              <w:bottom w:val="single" w:sz="4" w:space="0" w:color="auto"/>
              <w:right w:val="single" w:sz="4" w:space="0" w:color="auto"/>
            </w:tcBorders>
            <w:shd w:val="clear" w:color="auto" w:fill="auto"/>
            <w:hideMark/>
          </w:tcPr>
          <w:p w14:paraId="6A6EFF18" w14:textId="40A2844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(trauma* or injur* or tear* or rupture* or damage*).ti,ab,kw,kf.</w:t>
            </w:r>
          </w:p>
        </w:tc>
        <w:tc>
          <w:tcPr>
            <w:tcW w:w="648" w:type="pct"/>
            <w:tcBorders>
              <w:top w:val="nil"/>
              <w:left w:val="nil"/>
              <w:bottom w:val="single" w:sz="4" w:space="0" w:color="auto"/>
              <w:right w:val="single" w:sz="4" w:space="0" w:color="auto"/>
            </w:tcBorders>
            <w:shd w:val="clear" w:color="auto" w:fill="auto"/>
            <w:noWrap/>
            <w:hideMark/>
          </w:tcPr>
          <w:p w14:paraId="3F3D2B4A" w14:textId="2B81C96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2762679</w:t>
            </w:r>
          </w:p>
        </w:tc>
        <w:tc>
          <w:tcPr>
            <w:tcW w:w="563" w:type="pct"/>
            <w:tcBorders>
              <w:top w:val="nil"/>
              <w:left w:val="nil"/>
              <w:bottom w:val="single" w:sz="4" w:space="0" w:color="auto"/>
              <w:right w:val="single" w:sz="4" w:space="0" w:color="auto"/>
            </w:tcBorders>
            <w:shd w:val="clear" w:color="auto" w:fill="auto"/>
            <w:noWrap/>
            <w:hideMark/>
          </w:tcPr>
          <w:p w14:paraId="28B27B1E" w14:textId="2D17B63B"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1B93C30D"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00863A33" w14:textId="58D9748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5</w:t>
            </w:r>
          </w:p>
        </w:tc>
        <w:tc>
          <w:tcPr>
            <w:tcW w:w="3125" w:type="pct"/>
            <w:tcBorders>
              <w:top w:val="nil"/>
              <w:left w:val="nil"/>
              <w:bottom w:val="single" w:sz="4" w:space="0" w:color="auto"/>
              <w:right w:val="single" w:sz="4" w:space="0" w:color="auto"/>
            </w:tcBorders>
            <w:shd w:val="clear" w:color="auto" w:fill="auto"/>
            <w:hideMark/>
          </w:tcPr>
          <w:p w14:paraId="38736A74" w14:textId="491DDFE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 and 4</w:t>
            </w:r>
          </w:p>
        </w:tc>
        <w:tc>
          <w:tcPr>
            <w:tcW w:w="648" w:type="pct"/>
            <w:tcBorders>
              <w:top w:val="nil"/>
              <w:left w:val="nil"/>
              <w:bottom w:val="single" w:sz="4" w:space="0" w:color="auto"/>
              <w:right w:val="single" w:sz="4" w:space="0" w:color="auto"/>
            </w:tcBorders>
            <w:shd w:val="clear" w:color="auto" w:fill="auto"/>
            <w:noWrap/>
            <w:hideMark/>
          </w:tcPr>
          <w:p w14:paraId="3EC7B943" w14:textId="4E0C4FB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4092</w:t>
            </w:r>
          </w:p>
        </w:tc>
        <w:tc>
          <w:tcPr>
            <w:tcW w:w="563" w:type="pct"/>
            <w:tcBorders>
              <w:top w:val="nil"/>
              <w:left w:val="nil"/>
              <w:bottom w:val="single" w:sz="4" w:space="0" w:color="auto"/>
              <w:right w:val="single" w:sz="4" w:space="0" w:color="auto"/>
            </w:tcBorders>
            <w:shd w:val="clear" w:color="auto" w:fill="auto"/>
            <w:noWrap/>
            <w:hideMark/>
          </w:tcPr>
          <w:p w14:paraId="0F1B0B78" w14:textId="495B9818"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6AFE8178"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noWrap/>
            <w:hideMark/>
          </w:tcPr>
          <w:p w14:paraId="0EAE9601" w14:textId="7F58569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6</w:t>
            </w:r>
          </w:p>
        </w:tc>
        <w:tc>
          <w:tcPr>
            <w:tcW w:w="3125" w:type="pct"/>
            <w:tcBorders>
              <w:top w:val="nil"/>
              <w:left w:val="nil"/>
              <w:bottom w:val="single" w:sz="4" w:space="0" w:color="auto"/>
              <w:right w:val="single" w:sz="4" w:space="0" w:color="auto"/>
            </w:tcBorders>
            <w:shd w:val="clear" w:color="auto" w:fill="auto"/>
            <w:hideMark/>
          </w:tcPr>
          <w:p w14:paraId="5ABD5464" w14:textId="7E80879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((third degree or 3rd degree or fourth degree or 4th degree or perineal or perineum) adj3 (tear* or trauma* or damage* or injur* or lacerat* or rupture*)).ti,ab,kw,kf.</w:t>
            </w:r>
          </w:p>
        </w:tc>
        <w:tc>
          <w:tcPr>
            <w:tcW w:w="648" w:type="pct"/>
            <w:tcBorders>
              <w:top w:val="nil"/>
              <w:left w:val="nil"/>
              <w:bottom w:val="single" w:sz="4" w:space="0" w:color="auto"/>
              <w:right w:val="single" w:sz="4" w:space="0" w:color="auto"/>
            </w:tcBorders>
            <w:shd w:val="clear" w:color="auto" w:fill="auto"/>
            <w:noWrap/>
            <w:hideMark/>
          </w:tcPr>
          <w:p w14:paraId="2C5B6ABA" w14:textId="56EDD26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5801</w:t>
            </w:r>
          </w:p>
        </w:tc>
        <w:tc>
          <w:tcPr>
            <w:tcW w:w="563" w:type="pct"/>
            <w:tcBorders>
              <w:top w:val="nil"/>
              <w:left w:val="nil"/>
              <w:bottom w:val="single" w:sz="4" w:space="0" w:color="auto"/>
              <w:right w:val="single" w:sz="4" w:space="0" w:color="auto"/>
            </w:tcBorders>
            <w:shd w:val="clear" w:color="auto" w:fill="auto"/>
            <w:noWrap/>
            <w:hideMark/>
          </w:tcPr>
          <w:p w14:paraId="4A1A38B6" w14:textId="7CACE126"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76967024"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40B9D340" w14:textId="1C45AFA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7</w:t>
            </w:r>
          </w:p>
        </w:tc>
        <w:tc>
          <w:tcPr>
            <w:tcW w:w="3125" w:type="pct"/>
            <w:tcBorders>
              <w:top w:val="nil"/>
              <w:left w:val="nil"/>
              <w:bottom w:val="single" w:sz="4" w:space="0" w:color="auto"/>
              <w:right w:val="single" w:sz="4" w:space="0" w:color="auto"/>
            </w:tcBorders>
            <w:shd w:val="clear" w:color="auto" w:fill="auto"/>
            <w:hideMark/>
          </w:tcPr>
          <w:p w14:paraId="33EA256D" w14:textId="5C5FC35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 or 2 or 5 or 6</w:t>
            </w:r>
          </w:p>
        </w:tc>
        <w:tc>
          <w:tcPr>
            <w:tcW w:w="648" w:type="pct"/>
            <w:tcBorders>
              <w:top w:val="nil"/>
              <w:left w:val="nil"/>
              <w:bottom w:val="single" w:sz="4" w:space="0" w:color="auto"/>
              <w:right w:val="single" w:sz="4" w:space="0" w:color="auto"/>
            </w:tcBorders>
            <w:shd w:val="clear" w:color="auto" w:fill="auto"/>
            <w:noWrap/>
            <w:hideMark/>
          </w:tcPr>
          <w:p w14:paraId="38AAA502" w14:textId="2CAAB1E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10512</w:t>
            </w:r>
          </w:p>
        </w:tc>
        <w:tc>
          <w:tcPr>
            <w:tcW w:w="563" w:type="pct"/>
            <w:tcBorders>
              <w:top w:val="nil"/>
              <w:left w:val="nil"/>
              <w:bottom w:val="single" w:sz="4" w:space="0" w:color="auto"/>
              <w:right w:val="single" w:sz="4" w:space="0" w:color="auto"/>
            </w:tcBorders>
            <w:shd w:val="clear" w:color="auto" w:fill="auto"/>
            <w:noWrap/>
            <w:hideMark/>
          </w:tcPr>
          <w:p w14:paraId="05891279" w14:textId="2B784483"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357A6B1B"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noWrap/>
            <w:hideMark/>
          </w:tcPr>
          <w:p w14:paraId="0458FA29" w14:textId="6CD682C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8</w:t>
            </w:r>
          </w:p>
        </w:tc>
        <w:tc>
          <w:tcPr>
            <w:tcW w:w="3125" w:type="pct"/>
            <w:tcBorders>
              <w:top w:val="nil"/>
              <w:left w:val="nil"/>
              <w:bottom w:val="single" w:sz="4" w:space="0" w:color="auto"/>
              <w:right w:val="single" w:sz="4" w:space="0" w:color="auto"/>
            </w:tcBorders>
            <w:shd w:val="clear" w:color="auto" w:fill="auto"/>
            <w:hideMark/>
          </w:tcPr>
          <w:p w14:paraId="6481ABB8" w14:textId="1BC0634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(obstetric* or labor or labour or birth or childbirth or delivery).ti,ab,kw,kf.</w:t>
            </w:r>
          </w:p>
        </w:tc>
        <w:tc>
          <w:tcPr>
            <w:tcW w:w="648" w:type="pct"/>
            <w:tcBorders>
              <w:top w:val="nil"/>
              <w:left w:val="nil"/>
              <w:bottom w:val="single" w:sz="4" w:space="0" w:color="auto"/>
              <w:right w:val="single" w:sz="4" w:space="0" w:color="auto"/>
            </w:tcBorders>
            <w:shd w:val="clear" w:color="auto" w:fill="auto"/>
            <w:noWrap/>
            <w:hideMark/>
          </w:tcPr>
          <w:p w14:paraId="5DA58DDB" w14:textId="36A9F04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1449943</w:t>
            </w:r>
          </w:p>
        </w:tc>
        <w:tc>
          <w:tcPr>
            <w:tcW w:w="563" w:type="pct"/>
            <w:tcBorders>
              <w:top w:val="nil"/>
              <w:left w:val="nil"/>
              <w:bottom w:val="single" w:sz="4" w:space="0" w:color="auto"/>
              <w:right w:val="single" w:sz="4" w:space="0" w:color="auto"/>
            </w:tcBorders>
            <w:shd w:val="clear" w:color="auto" w:fill="auto"/>
            <w:noWrap/>
            <w:hideMark/>
          </w:tcPr>
          <w:p w14:paraId="333FE67F" w14:textId="30749B4E"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7DE63A87" w14:textId="77777777" w:rsidTr="000A2C57">
        <w:trPr>
          <w:trHeight w:val="646"/>
        </w:trPr>
        <w:tc>
          <w:tcPr>
            <w:tcW w:w="663" w:type="pct"/>
            <w:tcBorders>
              <w:top w:val="nil"/>
              <w:left w:val="single" w:sz="4" w:space="0" w:color="auto"/>
              <w:bottom w:val="single" w:sz="4" w:space="0" w:color="auto"/>
              <w:right w:val="single" w:sz="4" w:space="0" w:color="auto"/>
            </w:tcBorders>
            <w:shd w:val="clear" w:color="auto" w:fill="auto"/>
            <w:noWrap/>
            <w:hideMark/>
          </w:tcPr>
          <w:p w14:paraId="346BC3E6" w14:textId="5E2E884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9</w:t>
            </w:r>
          </w:p>
        </w:tc>
        <w:tc>
          <w:tcPr>
            <w:tcW w:w="3125" w:type="pct"/>
            <w:tcBorders>
              <w:top w:val="nil"/>
              <w:left w:val="nil"/>
              <w:bottom w:val="single" w:sz="4" w:space="0" w:color="auto"/>
              <w:right w:val="single" w:sz="4" w:space="0" w:color="auto"/>
            </w:tcBorders>
            <w:shd w:val="clear" w:color="auto" w:fill="auto"/>
            <w:hideMark/>
          </w:tcPr>
          <w:p w14:paraId="25472746" w14:textId="0FCDCC6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obstetric delivery/ or exp fetal version/ or home delivery/ or exp instrumental delivery/ or exp labor induction/ or natural childbirth/ or exp placental delivery/ or vaginal birth after cesarean/ or vaginal delivery/ or water birth/</w:t>
            </w:r>
          </w:p>
        </w:tc>
        <w:tc>
          <w:tcPr>
            <w:tcW w:w="648" w:type="pct"/>
            <w:tcBorders>
              <w:top w:val="nil"/>
              <w:left w:val="nil"/>
              <w:bottom w:val="single" w:sz="4" w:space="0" w:color="auto"/>
              <w:right w:val="single" w:sz="4" w:space="0" w:color="auto"/>
            </w:tcBorders>
            <w:shd w:val="clear" w:color="auto" w:fill="auto"/>
            <w:noWrap/>
            <w:hideMark/>
          </w:tcPr>
          <w:p w14:paraId="35BA5E4E" w14:textId="3E79870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192433</w:t>
            </w:r>
          </w:p>
        </w:tc>
        <w:tc>
          <w:tcPr>
            <w:tcW w:w="563" w:type="pct"/>
            <w:tcBorders>
              <w:top w:val="nil"/>
              <w:left w:val="nil"/>
              <w:bottom w:val="single" w:sz="4" w:space="0" w:color="auto"/>
              <w:right w:val="single" w:sz="4" w:space="0" w:color="auto"/>
            </w:tcBorders>
            <w:shd w:val="clear" w:color="auto" w:fill="auto"/>
            <w:noWrap/>
            <w:hideMark/>
          </w:tcPr>
          <w:p w14:paraId="49C0A0D0" w14:textId="573D09C7"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4291ACB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04604DA0" w14:textId="1699E0C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10</w:t>
            </w:r>
          </w:p>
        </w:tc>
        <w:tc>
          <w:tcPr>
            <w:tcW w:w="3125" w:type="pct"/>
            <w:tcBorders>
              <w:top w:val="nil"/>
              <w:left w:val="nil"/>
              <w:bottom w:val="single" w:sz="4" w:space="0" w:color="auto"/>
              <w:right w:val="single" w:sz="4" w:space="0" w:color="auto"/>
            </w:tcBorders>
            <w:shd w:val="clear" w:color="auto" w:fill="auto"/>
            <w:hideMark/>
          </w:tcPr>
          <w:p w14:paraId="7D8E9AE9" w14:textId="4B3C642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labor complication/</w:t>
            </w:r>
          </w:p>
        </w:tc>
        <w:tc>
          <w:tcPr>
            <w:tcW w:w="648" w:type="pct"/>
            <w:tcBorders>
              <w:top w:val="nil"/>
              <w:left w:val="nil"/>
              <w:bottom w:val="single" w:sz="4" w:space="0" w:color="auto"/>
              <w:right w:val="single" w:sz="4" w:space="0" w:color="auto"/>
            </w:tcBorders>
            <w:shd w:val="clear" w:color="auto" w:fill="auto"/>
            <w:noWrap/>
            <w:hideMark/>
          </w:tcPr>
          <w:p w14:paraId="62D9C7CA" w14:textId="695D1D6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7444</w:t>
            </w:r>
          </w:p>
        </w:tc>
        <w:tc>
          <w:tcPr>
            <w:tcW w:w="563" w:type="pct"/>
            <w:tcBorders>
              <w:top w:val="nil"/>
              <w:left w:val="nil"/>
              <w:bottom w:val="single" w:sz="4" w:space="0" w:color="auto"/>
              <w:right w:val="single" w:sz="4" w:space="0" w:color="auto"/>
            </w:tcBorders>
            <w:shd w:val="clear" w:color="auto" w:fill="auto"/>
            <w:noWrap/>
            <w:hideMark/>
          </w:tcPr>
          <w:p w14:paraId="57D286FE" w14:textId="343D4F22"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706AF31F"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699BDEA4" w14:textId="527F800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11</w:t>
            </w:r>
          </w:p>
        </w:tc>
        <w:tc>
          <w:tcPr>
            <w:tcW w:w="3125" w:type="pct"/>
            <w:tcBorders>
              <w:top w:val="nil"/>
              <w:left w:val="nil"/>
              <w:bottom w:val="single" w:sz="4" w:space="0" w:color="auto"/>
              <w:right w:val="single" w:sz="4" w:space="0" w:color="auto"/>
            </w:tcBorders>
            <w:shd w:val="clear" w:color="auto" w:fill="auto"/>
            <w:hideMark/>
          </w:tcPr>
          <w:p w14:paraId="1BB92494" w14:textId="702544D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puerperium/</w:t>
            </w:r>
          </w:p>
        </w:tc>
        <w:tc>
          <w:tcPr>
            <w:tcW w:w="648" w:type="pct"/>
            <w:tcBorders>
              <w:top w:val="nil"/>
              <w:left w:val="nil"/>
              <w:bottom w:val="single" w:sz="4" w:space="0" w:color="auto"/>
              <w:right w:val="single" w:sz="4" w:space="0" w:color="auto"/>
            </w:tcBorders>
            <w:shd w:val="clear" w:color="auto" w:fill="auto"/>
            <w:noWrap/>
            <w:hideMark/>
          </w:tcPr>
          <w:p w14:paraId="28BD03EE" w14:textId="7522B0C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52125</w:t>
            </w:r>
          </w:p>
        </w:tc>
        <w:tc>
          <w:tcPr>
            <w:tcW w:w="563" w:type="pct"/>
            <w:tcBorders>
              <w:top w:val="nil"/>
              <w:left w:val="nil"/>
              <w:bottom w:val="single" w:sz="4" w:space="0" w:color="auto"/>
              <w:right w:val="single" w:sz="4" w:space="0" w:color="auto"/>
            </w:tcBorders>
            <w:shd w:val="clear" w:color="auto" w:fill="auto"/>
            <w:noWrap/>
            <w:hideMark/>
          </w:tcPr>
          <w:p w14:paraId="764C83D8" w14:textId="4EE49A8F"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100BF9FF"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noWrap/>
            <w:hideMark/>
          </w:tcPr>
          <w:p w14:paraId="51FDDDA1" w14:textId="2A354D9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12</w:t>
            </w:r>
          </w:p>
        </w:tc>
        <w:tc>
          <w:tcPr>
            <w:tcW w:w="3125" w:type="pct"/>
            <w:tcBorders>
              <w:top w:val="nil"/>
              <w:left w:val="nil"/>
              <w:bottom w:val="single" w:sz="4" w:space="0" w:color="auto"/>
              <w:right w:val="single" w:sz="4" w:space="0" w:color="auto"/>
            </w:tcBorders>
            <w:shd w:val="clear" w:color="auto" w:fill="auto"/>
            <w:hideMark/>
          </w:tcPr>
          <w:p w14:paraId="132C3C96" w14:textId="44706A1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or/8-11</w:t>
            </w:r>
          </w:p>
        </w:tc>
        <w:tc>
          <w:tcPr>
            <w:tcW w:w="648" w:type="pct"/>
            <w:tcBorders>
              <w:top w:val="nil"/>
              <w:left w:val="nil"/>
              <w:bottom w:val="single" w:sz="4" w:space="0" w:color="auto"/>
              <w:right w:val="single" w:sz="4" w:space="0" w:color="auto"/>
            </w:tcBorders>
            <w:shd w:val="clear" w:color="auto" w:fill="auto"/>
            <w:noWrap/>
            <w:hideMark/>
          </w:tcPr>
          <w:p w14:paraId="231D0AD4" w14:textId="4CC4AA2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1536305</w:t>
            </w:r>
          </w:p>
        </w:tc>
        <w:tc>
          <w:tcPr>
            <w:tcW w:w="563" w:type="pct"/>
            <w:tcBorders>
              <w:top w:val="nil"/>
              <w:left w:val="nil"/>
              <w:bottom w:val="single" w:sz="4" w:space="0" w:color="auto"/>
              <w:right w:val="single" w:sz="4" w:space="0" w:color="auto"/>
            </w:tcBorders>
            <w:shd w:val="clear" w:color="auto" w:fill="auto"/>
            <w:noWrap/>
            <w:hideMark/>
          </w:tcPr>
          <w:p w14:paraId="2C3533AB" w14:textId="2FBFCB1F"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593B327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6825B11" w14:textId="111AC6E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13</w:t>
            </w:r>
          </w:p>
        </w:tc>
        <w:tc>
          <w:tcPr>
            <w:tcW w:w="3125" w:type="pct"/>
            <w:tcBorders>
              <w:top w:val="nil"/>
              <w:left w:val="nil"/>
              <w:bottom w:val="single" w:sz="4" w:space="0" w:color="auto"/>
              <w:right w:val="single" w:sz="4" w:space="0" w:color="auto"/>
            </w:tcBorders>
            <w:shd w:val="clear" w:color="auto" w:fill="auto"/>
            <w:hideMark/>
          </w:tcPr>
          <w:p w14:paraId="41EC7431" w14:textId="603A707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7 and 12</w:t>
            </w:r>
          </w:p>
        </w:tc>
        <w:tc>
          <w:tcPr>
            <w:tcW w:w="648" w:type="pct"/>
            <w:tcBorders>
              <w:top w:val="nil"/>
              <w:left w:val="nil"/>
              <w:bottom w:val="single" w:sz="4" w:space="0" w:color="auto"/>
              <w:right w:val="single" w:sz="4" w:space="0" w:color="auto"/>
            </w:tcBorders>
            <w:shd w:val="clear" w:color="auto" w:fill="auto"/>
            <w:hideMark/>
          </w:tcPr>
          <w:p w14:paraId="27324D8D" w14:textId="6382707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6669</w:t>
            </w:r>
          </w:p>
        </w:tc>
        <w:tc>
          <w:tcPr>
            <w:tcW w:w="563" w:type="pct"/>
            <w:tcBorders>
              <w:top w:val="nil"/>
              <w:left w:val="nil"/>
              <w:bottom w:val="single" w:sz="4" w:space="0" w:color="auto"/>
              <w:right w:val="single" w:sz="4" w:space="0" w:color="auto"/>
            </w:tcBorders>
            <w:shd w:val="clear" w:color="auto" w:fill="auto"/>
            <w:hideMark/>
          </w:tcPr>
          <w:p w14:paraId="4FD5D437" w14:textId="1E229E44"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04E79BFC"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4F0B31E7" w14:textId="7560923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14</w:t>
            </w:r>
          </w:p>
        </w:tc>
        <w:tc>
          <w:tcPr>
            <w:tcW w:w="3125" w:type="pct"/>
            <w:tcBorders>
              <w:top w:val="nil"/>
              <w:left w:val="nil"/>
              <w:bottom w:val="single" w:sz="4" w:space="0" w:color="auto"/>
              <w:right w:val="single" w:sz="4" w:space="0" w:color="auto"/>
            </w:tcBorders>
            <w:shd w:val="clear" w:color="auto" w:fill="auto"/>
            <w:hideMark/>
          </w:tcPr>
          <w:p w14:paraId="7B8659BC" w14:textId="0E930A5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(obstetric* anal sphincter injur* or obstetric* anal injur* or OASI).ti,ab,kw,kf.</w:t>
            </w:r>
          </w:p>
        </w:tc>
        <w:tc>
          <w:tcPr>
            <w:tcW w:w="648" w:type="pct"/>
            <w:tcBorders>
              <w:top w:val="nil"/>
              <w:left w:val="nil"/>
              <w:bottom w:val="single" w:sz="4" w:space="0" w:color="auto"/>
              <w:right w:val="single" w:sz="4" w:space="0" w:color="auto"/>
            </w:tcBorders>
            <w:shd w:val="clear" w:color="auto" w:fill="auto"/>
            <w:hideMark/>
          </w:tcPr>
          <w:p w14:paraId="6C2D73EF" w14:textId="1BFB82F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1566</w:t>
            </w:r>
          </w:p>
        </w:tc>
        <w:tc>
          <w:tcPr>
            <w:tcW w:w="563" w:type="pct"/>
            <w:tcBorders>
              <w:top w:val="nil"/>
              <w:left w:val="nil"/>
              <w:bottom w:val="single" w:sz="4" w:space="0" w:color="auto"/>
              <w:right w:val="single" w:sz="4" w:space="0" w:color="auto"/>
            </w:tcBorders>
            <w:shd w:val="clear" w:color="auto" w:fill="auto"/>
            <w:hideMark/>
          </w:tcPr>
          <w:p w14:paraId="26C594BB" w14:textId="1ADD144E"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311CCD0A"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457C20D" w14:textId="4FB909B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15</w:t>
            </w:r>
          </w:p>
        </w:tc>
        <w:tc>
          <w:tcPr>
            <w:tcW w:w="3125" w:type="pct"/>
            <w:tcBorders>
              <w:top w:val="nil"/>
              <w:left w:val="nil"/>
              <w:bottom w:val="single" w:sz="4" w:space="0" w:color="auto"/>
              <w:right w:val="single" w:sz="4" w:space="0" w:color="auto"/>
            </w:tcBorders>
            <w:shd w:val="clear" w:color="auto" w:fill="auto"/>
            <w:hideMark/>
          </w:tcPr>
          <w:p w14:paraId="75BC4CB4" w14:textId="5BF4F28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13 or 14</w:t>
            </w:r>
          </w:p>
        </w:tc>
        <w:tc>
          <w:tcPr>
            <w:tcW w:w="648" w:type="pct"/>
            <w:tcBorders>
              <w:top w:val="nil"/>
              <w:left w:val="nil"/>
              <w:bottom w:val="single" w:sz="4" w:space="0" w:color="auto"/>
              <w:right w:val="single" w:sz="4" w:space="0" w:color="auto"/>
            </w:tcBorders>
            <w:shd w:val="clear" w:color="auto" w:fill="auto"/>
            <w:hideMark/>
          </w:tcPr>
          <w:p w14:paraId="53D78961" w14:textId="65B9BE7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6748</w:t>
            </w:r>
          </w:p>
        </w:tc>
        <w:tc>
          <w:tcPr>
            <w:tcW w:w="563" w:type="pct"/>
            <w:tcBorders>
              <w:top w:val="nil"/>
              <w:left w:val="nil"/>
              <w:bottom w:val="single" w:sz="4" w:space="0" w:color="auto"/>
              <w:right w:val="single" w:sz="4" w:space="0" w:color="auto"/>
            </w:tcBorders>
            <w:shd w:val="clear" w:color="auto" w:fill="auto"/>
            <w:hideMark/>
          </w:tcPr>
          <w:p w14:paraId="0EBE2EF9" w14:textId="21CD9003"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1ACE409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8F2D685" w14:textId="235FA68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16</w:t>
            </w:r>
          </w:p>
        </w:tc>
        <w:tc>
          <w:tcPr>
            <w:tcW w:w="3125" w:type="pct"/>
            <w:tcBorders>
              <w:top w:val="nil"/>
              <w:left w:val="nil"/>
              <w:bottom w:val="single" w:sz="4" w:space="0" w:color="auto"/>
              <w:right w:val="single" w:sz="4" w:space="0" w:color="auto"/>
            </w:tcBorders>
            <w:shd w:val="clear" w:color="auto" w:fill="auto"/>
            <w:hideMark/>
          </w:tcPr>
          <w:p w14:paraId="571C76A5" w14:textId="18689C9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dyspareunia/ or vaginism/ or vulvodynia/ or vulvovaginal discomfort/</w:t>
            </w:r>
          </w:p>
        </w:tc>
        <w:tc>
          <w:tcPr>
            <w:tcW w:w="648" w:type="pct"/>
            <w:tcBorders>
              <w:top w:val="nil"/>
              <w:left w:val="nil"/>
              <w:bottom w:val="single" w:sz="4" w:space="0" w:color="auto"/>
              <w:right w:val="single" w:sz="4" w:space="0" w:color="auto"/>
            </w:tcBorders>
            <w:shd w:val="clear" w:color="auto" w:fill="auto"/>
            <w:hideMark/>
          </w:tcPr>
          <w:p w14:paraId="7A0078F8" w14:textId="11229A5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15853</w:t>
            </w:r>
          </w:p>
        </w:tc>
        <w:tc>
          <w:tcPr>
            <w:tcW w:w="563" w:type="pct"/>
            <w:tcBorders>
              <w:top w:val="nil"/>
              <w:left w:val="nil"/>
              <w:bottom w:val="single" w:sz="4" w:space="0" w:color="auto"/>
              <w:right w:val="single" w:sz="4" w:space="0" w:color="auto"/>
            </w:tcBorders>
            <w:shd w:val="clear" w:color="auto" w:fill="auto"/>
            <w:hideMark/>
          </w:tcPr>
          <w:p w14:paraId="7F2DCAE9" w14:textId="77875730"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04F14466"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758F87C9" w14:textId="1ECE82D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17</w:t>
            </w:r>
          </w:p>
        </w:tc>
        <w:tc>
          <w:tcPr>
            <w:tcW w:w="3125" w:type="pct"/>
            <w:tcBorders>
              <w:top w:val="nil"/>
              <w:left w:val="nil"/>
              <w:bottom w:val="single" w:sz="4" w:space="0" w:color="auto"/>
              <w:right w:val="single" w:sz="4" w:space="0" w:color="auto"/>
            </w:tcBorders>
            <w:shd w:val="clear" w:color="auto" w:fill="auto"/>
            <w:hideMark/>
          </w:tcPr>
          <w:p w14:paraId="1E59220F" w14:textId="47AB8B5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female sexual dysfunction/ or female sexual function index/</w:t>
            </w:r>
          </w:p>
        </w:tc>
        <w:tc>
          <w:tcPr>
            <w:tcW w:w="648" w:type="pct"/>
            <w:tcBorders>
              <w:top w:val="nil"/>
              <w:left w:val="nil"/>
              <w:bottom w:val="single" w:sz="4" w:space="0" w:color="auto"/>
              <w:right w:val="single" w:sz="4" w:space="0" w:color="auto"/>
            </w:tcBorders>
            <w:shd w:val="clear" w:color="auto" w:fill="auto"/>
            <w:hideMark/>
          </w:tcPr>
          <w:p w14:paraId="5C7C4CA0" w14:textId="0E6C6F2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9016</w:t>
            </w:r>
          </w:p>
        </w:tc>
        <w:tc>
          <w:tcPr>
            <w:tcW w:w="563" w:type="pct"/>
            <w:tcBorders>
              <w:top w:val="nil"/>
              <w:left w:val="nil"/>
              <w:bottom w:val="single" w:sz="4" w:space="0" w:color="auto"/>
              <w:right w:val="single" w:sz="4" w:space="0" w:color="auto"/>
            </w:tcBorders>
            <w:shd w:val="clear" w:color="auto" w:fill="auto"/>
            <w:hideMark/>
          </w:tcPr>
          <w:p w14:paraId="2794724A" w14:textId="70F0968F"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0B20EC29"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36D9A36B" w14:textId="48D4429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18</w:t>
            </w:r>
          </w:p>
        </w:tc>
        <w:tc>
          <w:tcPr>
            <w:tcW w:w="3125" w:type="pct"/>
            <w:tcBorders>
              <w:top w:val="nil"/>
              <w:left w:val="nil"/>
              <w:bottom w:val="single" w:sz="4" w:space="0" w:color="auto"/>
              <w:right w:val="single" w:sz="4" w:space="0" w:color="auto"/>
            </w:tcBorders>
            <w:shd w:val="clear" w:color="auto" w:fill="auto"/>
            <w:hideMark/>
          </w:tcPr>
          <w:p w14:paraId="565F19B6" w14:textId="7545256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sexual intercourse/ or penetrative sex/ or anal intercourse/ or coitus/ or receptive intercourse/</w:t>
            </w:r>
          </w:p>
        </w:tc>
        <w:tc>
          <w:tcPr>
            <w:tcW w:w="648" w:type="pct"/>
            <w:tcBorders>
              <w:top w:val="nil"/>
              <w:left w:val="nil"/>
              <w:bottom w:val="single" w:sz="4" w:space="0" w:color="auto"/>
              <w:right w:val="single" w:sz="4" w:space="0" w:color="auto"/>
            </w:tcBorders>
            <w:shd w:val="clear" w:color="auto" w:fill="auto"/>
            <w:hideMark/>
          </w:tcPr>
          <w:p w14:paraId="196A2CCB" w14:textId="0BFDC1C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34973</w:t>
            </w:r>
          </w:p>
        </w:tc>
        <w:tc>
          <w:tcPr>
            <w:tcW w:w="563" w:type="pct"/>
            <w:tcBorders>
              <w:top w:val="nil"/>
              <w:left w:val="nil"/>
              <w:bottom w:val="single" w:sz="4" w:space="0" w:color="auto"/>
              <w:right w:val="single" w:sz="4" w:space="0" w:color="auto"/>
            </w:tcBorders>
            <w:shd w:val="clear" w:color="auto" w:fill="auto"/>
            <w:hideMark/>
          </w:tcPr>
          <w:p w14:paraId="19451AC6" w14:textId="20FF8BFE"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77D17FE2"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0910864A" w14:textId="50140BC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19</w:t>
            </w:r>
          </w:p>
        </w:tc>
        <w:tc>
          <w:tcPr>
            <w:tcW w:w="3125" w:type="pct"/>
            <w:tcBorders>
              <w:top w:val="nil"/>
              <w:left w:val="nil"/>
              <w:bottom w:val="single" w:sz="4" w:space="0" w:color="auto"/>
              <w:right w:val="single" w:sz="4" w:space="0" w:color="auto"/>
            </w:tcBorders>
            <w:shd w:val="clear" w:color="auto" w:fill="auto"/>
            <w:hideMark/>
          </w:tcPr>
          <w:p w14:paraId="59FC6A7F" w14:textId="3FA5B45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(dyspareunia or vaginismus or vulvodynia or ((vulva* or vagin* or pelvic or pelvis?) adj3 (pain or painful or discomfort or dysfunction*)) or (painful adj (sex or sexual or intercourse))).ti,ab,kw,kf.</w:t>
            </w:r>
          </w:p>
        </w:tc>
        <w:tc>
          <w:tcPr>
            <w:tcW w:w="648" w:type="pct"/>
            <w:tcBorders>
              <w:top w:val="nil"/>
              <w:left w:val="nil"/>
              <w:bottom w:val="single" w:sz="4" w:space="0" w:color="auto"/>
              <w:right w:val="single" w:sz="4" w:space="0" w:color="auto"/>
            </w:tcBorders>
            <w:shd w:val="clear" w:color="auto" w:fill="auto"/>
            <w:hideMark/>
          </w:tcPr>
          <w:p w14:paraId="438E6B05" w14:textId="7CBECE8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39637</w:t>
            </w:r>
          </w:p>
        </w:tc>
        <w:tc>
          <w:tcPr>
            <w:tcW w:w="563" w:type="pct"/>
            <w:tcBorders>
              <w:top w:val="nil"/>
              <w:left w:val="nil"/>
              <w:bottom w:val="single" w:sz="4" w:space="0" w:color="auto"/>
              <w:right w:val="single" w:sz="4" w:space="0" w:color="auto"/>
            </w:tcBorders>
            <w:shd w:val="clear" w:color="auto" w:fill="auto"/>
            <w:hideMark/>
          </w:tcPr>
          <w:p w14:paraId="49AC7356" w14:textId="3F05F9F1"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72D865E8"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3B23F28B" w14:textId="6DC9F65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20</w:t>
            </w:r>
          </w:p>
        </w:tc>
        <w:tc>
          <w:tcPr>
            <w:tcW w:w="3125" w:type="pct"/>
            <w:tcBorders>
              <w:top w:val="nil"/>
              <w:left w:val="nil"/>
              <w:bottom w:val="single" w:sz="4" w:space="0" w:color="auto"/>
              <w:right w:val="single" w:sz="4" w:space="0" w:color="auto"/>
            </w:tcBorders>
            <w:shd w:val="clear" w:color="auto" w:fill="auto"/>
            <w:hideMark/>
          </w:tcPr>
          <w:p w14:paraId="6D1C98A2" w14:textId="2733187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(sexual adj3 (function* or dysfunction* or pleasure or complaint* or problem* or issue* or desire* or activit* or satisfaction or symptom* or life or experience* or quality of life)).ti,ab,kw,kf.</w:t>
            </w:r>
          </w:p>
        </w:tc>
        <w:tc>
          <w:tcPr>
            <w:tcW w:w="648" w:type="pct"/>
            <w:tcBorders>
              <w:top w:val="nil"/>
              <w:left w:val="nil"/>
              <w:bottom w:val="single" w:sz="4" w:space="0" w:color="auto"/>
              <w:right w:val="single" w:sz="4" w:space="0" w:color="auto"/>
            </w:tcBorders>
            <w:shd w:val="clear" w:color="auto" w:fill="auto"/>
            <w:hideMark/>
          </w:tcPr>
          <w:p w14:paraId="7D186C65" w14:textId="533CC11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93397</w:t>
            </w:r>
          </w:p>
        </w:tc>
        <w:tc>
          <w:tcPr>
            <w:tcW w:w="563" w:type="pct"/>
            <w:tcBorders>
              <w:top w:val="nil"/>
              <w:left w:val="nil"/>
              <w:bottom w:val="single" w:sz="4" w:space="0" w:color="auto"/>
              <w:right w:val="single" w:sz="4" w:space="0" w:color="auto"/>
            </w:tcBorders>
            <w:shd w:val="clear" w:color="auto" w:fill="auto"/>
            <w:hideMark/>
          </w:tcPr>
          <w:p w14:paraId="2D034E1C" w14:textId="5CC9AF95"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22578737"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72CA5809" w14:textId="0148DAD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21</w:t>
            </w:r>
          </w:p>
        </w:tc>
        <w:tc>
          <w:tcPr>
            <w:tcW w:w="3125" w:type="pct"/>
            <w:tcBorders>
              <w:top w:val="nil"/>
              <w:left w:val="nil"/>
              <w:bottom w:val="single" w:sz="4" w:space="0" w:color="auto"/>
              <w:right w:val="single" w:sz="4" w:space="0" w:color="auto"/>
            </w:tcBorders>
            <w:shd w:val="clear" w:color="auto" w:fill="auto"/>
            <w:hideMark/>
          </w:tcPr>
          <w:p w14:paraId="57A03AB1" w14:textId="3A55F1D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(coitus or coital or sex life or intercourse or sex).ti,ab,kw,kf.</w:t>
            </w:r>
          </w:p>
        </w:tc>
        <w:tc>
          <w:tcPr>
            <w:tcW w:w="648" w:type="pct"/>
            <w:tcBorders>
              <w:top w:val="nil"/>
              <w:left w:val="nil"/>
              <w:bottom w:val="single" w:sz="4" w:space="0" w:color="auto"/>
              <w:right w:val="single" w:sz="4" w:space="0" w:color="auto"/>
            </w:tcBorders>
            <w:shd w:val="clear" w:color="auto" w:fill="auto"/>
            <w:hideMark/>
          </w:tcPr>
          <w:p w14:paraId="38F88805" w14:textId="5EA55B2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1005285</w:t>
            </w:r>
          </w:p>
        </w:tc>
        <w:tc>
          <w:tcPr>
            <w:tcW w:w="563" w:type="pct"/>
            <w:tcBorders>
              <w:top w:val="nil"/>
              <w:left w:val="nil"/>
              <w:bottom w:val="single" w:sz="4" w:space="0" w:color="auto"/>
              <w:right w:val="single" w:sz="4" w:space="0" w:color="auto"/>
            </w:tcBorders>
            <w:shd w:val="clear" w:color="auto" w:fill="auto"/>
            <w:hideMark/>
          </w:tcPr>
          <w:p w14:paraId="3186FAFD" w14:textId="08A6EAD2"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256BE3E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2EB1184" w14:textId="2539607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22</w:t>
            </w:r>
          </w:p>
        </w:tc>
        <w:tc>
          <w:tcPr>
            <w:tcW w:w="3125" w:type="pct"/>
            <w:tcBorders>
              <w:top w:val="nil"/>
              <w:left w:val="nil"/>
              <w:bottom w:val="single" w:sz="4" w:space="0" w:color="auto"/>
              <w:right w:val="single" w:sz="4" w:space="0" w:color="auto"/>
            </w:tcBorders>
            <w:shd w:val="clear" w:color="auto" w:fill="auto"/>
            <w:hideMark/>
          </w:tcPr>
          <w:p w14:paraId="5F0BA1D5" w14:textId="0BF51F3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or/16-21</w:t>
            </w:r>
          </w:p>
        </w:tc>
        <w:tc>
          <w:tcPr>
            <w:tcW w:w="648" w:type="pct"/>
            <w:tcBorders>
              <w:top w:val="nil"/>
              <w:left w:val="nil"/>
              <w:bottom w:val="single" w:sz="4" w:space="0" w:color="auto"/>
              <w:right w:val="single" w:sz="4" w:space="0" w:color="auto"/>
            </w:tcBorders>
            <w:shd w:val="clear" w:color="auto" w:fill="auto"/>
            <w:hideMark/>
          </w:tcPr>
          <w:p w14:paraId="5C4C6103" w14:textId="263257A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1116388</w:t>
            </w:r>
          </w:p>
        </w:tc>
        <w:tc>
          <w:tcPr>
            <w:tcW w:w="563" w:type="pct"/>
            <w:tcBorders>
              <w:top w:val="nil"/>
              <w:left w:val="nil"/>
              <w:bottom w:val="single" w:sz="4" w:space="0" w:color="auto"/>
              <w:right w:val="single" w:sz="4" w:space="0" w:color="auto"/>
            </w:tcBorders>
            <w:shd w:val="clear" w:color="auto" w:fill="auto"/>
            <w:hideMark/>
          </w:tcPr>
          <w:p w14:paraId="79329ADC" w14:textId="74588BA9"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0ACE6345"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7130A08" w14:textId="11D1740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23</w:t>
            </w:r>
          </w:p>
        </w:tc>
        <w:tc>
          <w:tcPr>
            <w:tcW w:w="3125" w:type="pct"/>
            <w:tcBorders>
              <w:top w:val="nil"/>
              <w:left w:val="nil"/>
              <w:bottom w:val="single" w:sz="4" w:space="0" w:color="auto"/>
              <w:right w:val="single" w:sz="4" w:space="0" w:color="auto"/>
            </w:tcBorders>
            <w:shd w:val="clear" w:color="auto" w:fill="auto"/>
            <w:hideMark/>
          </w:tcPr>
          <w:p w14:paraId="7074AB12" w14:textId="0C74E79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15 and 22</w:t>
            </w:r>
          </w:p>
        </w:tc>
        <w:tc>
          <w:tcPr>
            <w:tcW w:w="648" w:type="pct"/>
            <w:tcBorders>
              <w:top w:val="nil"/>
              <w:left w:val="nil"/>
              <w:bottom w:val="single" w:sz="4" w:space="0" w:color="auto"/>
              <w:right w:val="single" w:sz="4" w:space="0" w:color="auto"/>
            </w:tcBorders>
            <w:shd w:val="clear" w:color="auto" w:fill="auto"/>
            <w:hideMark/>
          </w:tcPr>
          <w:p w14:paraId="46D3CD65" w14:textId="079DE0E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889</w:t>
            </w:r>
          </w:p>
        </w:tc>
        <w:tc>
          <w:tcPr>
            <w:tcW w:w="563" w:type="pct"/>
            <w:tcBorders>
              <w:top w:val="nil"/>
              <w:left w:val="nil"/>
              <w:bottom w:val="single" w:sz="4" w:space="0" w:color="auto"/>
              <w:right w:val="single" w:sz="4" w:space="0" w:color="auto"/>
            </w:tcBorders>
            <w:shd w:val="clear" w:color="auto" w:fill="auto"/>
            <w:hideMark/>
          </w:tcPr>
          <w:p w14:paraId="467B7F45" w14:textId="4EC97932"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4D91969B"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AC30271" w14:textId="5B392C2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24</w:t>
            </w:r>
          </w:p>
        </w:tc>
        <w:tc>
          <w:tcPr>
            <w:tcW w:w="3125" w:type="pct"/>
            <w:tcBorders>
              <w:top w:val="nil"/>
              <w:left w:val="nil"/>
              <w:bottom w:val="single" w:sz="4" w:space="0" w:color="auto"/>
              <w:right w:val="single" w:sz="4" w:space="0" w:color="auto"/>
            </w:tcBorders>
            <w:shd w:val="clear" w:color="auto" w:fill="auto"/>
            <w:hideMark/>
          </w:tcPr>
          <w:p w14:paraId="1641819E" w14:textId="0546CE6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limit 23 to english language</w:t>
            </w:r>
          </w:p>
        </w:tc>
        <w:tc>
          <w:tcPr>
            <w:tcW w:w="648" w:type="pct"/>
            <w:tcBorders>
              <w:top w:val="nil"/>
              <w:left w:val="nil"/>
              <w:bottom w:val="single" w:sz="4" w:space="0" w:color="auto"/>
              <w:right w:val="single" w:sz="4" w:space="0" w:color="auto"/>
            </w:tcBorders>
            <w:shd w:val="clear" w:color="auto" w:fill="auto"/>
            <w:hideMark/>
          </w:tcPr>
          <w:p w14:paraId="6A1658B2" w14:textId="4C55774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847</w:t>
            </w:r>
          </w:p>
        </w:tc>
        <w:tc>
          <w:tcPr>
            <w:tcW w:w="563" w:type="pct"/>
            <w:tcBorders>
              <w:top w:val="nil"/>
              <w:left w:val="nil"/>
              <w:bottom w:val="single" w:sz="4" w:space="0" w:color="auto"/>
              <w:right w:val="single" w:sz="4" w:space="0" w:color="auto"/>
            </w:tcBorders>
            <w:shd w:val="clear" w:color="auto" w:fill="auto"/>
            <w:hideMark/>
          </w:tcPr>
          <w:p w14:paraId="76559DBF" w14:textId="05CD495E"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39680A9F"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54B99A3" w14:textId="0213DE7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25</w:t>
            </w:r>
          </w:p>
        </w:tc>
        <w:tc>
          <w:tcPr>
            <w:tcW w:w="3125" w:type="pct"/>
            <w:tcBorders>
              <w:top w:val="nil"/>
              <w:left w:val="nil"/>
              <w:bottom w:val="single" w:sz="4" w:space="0" w:color="auto"/>
              <w:right w:val="single" w:sz="4" w:space="0" w:color="auto"/>
            </w:tcBorders>
            <w:shd w:val="clear" w:color="auto" w:fill="auto"/>
            <w:hideMark/>
          </w:tcPr>
          <w:p w14:paraId="2052008C" w14:textId="44CFEA0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exp animal/</w:t>
            </w:r>
          </w:p>
        </w:tc>
        <w:tc>
          <w:tcPr>
            <w:tcW w:w="648" w:type="pct"/>
            <w:tcBorders>
              <w:top w:val="nil"/>
              <w:left w:val="nil"/>
              <w:bottom w:val="single" w:sz="4" w:space="0" w:color="auto"/>
              <w:right w:val="single" w:sz="4" w:space="0" w:color="auto"/>
            </w:tcBorders>
            <w:shd w:val="clear" w:color="auto" w:fill="auto"/>
            <w:hideMark/>
          </w:tcPr>
          <w:p w14:paraId="04EBB7C8" w14:textId="732B82F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32014522</w:t>
            </w:r>
          </w:p>
        </w:tc>
        <w:tc>
          <w:tcPr>
            <w:tcW w:w="563" w:type="pct"/>
            <w:tcBorders>
              <w:top w:val="nil"/>
              <w:left w:val="nil"/>
              <w:bottom w:val="single" w:sz="4" w:space="0" w:color="auto"/>
              <w:right w:val="single" w:sz="4" w:space="0" w:color="auto"/>
            </w:tcBorders>
            <w:shd w:val="clear" w:color="auto" w:fill="auto"/>
            <w:hideMark/>
          </w:tcPr>
          <w:p w14:paraId="61F61A9E" w14:textId="674D3665"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5EC920D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76C4CD4" w14:textId="02D21DD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26</w:t>
            </w:r>
          </w:p>
        </w:tc>
        <w:tc>
          <w:tcPr>
            <w:tcW w:w="3125" w:type="pct"/>
            <w:tcBorders>
              <w:top w:val="nil"/>
              <w:left w:val="nil"/>
              <w:bottom w:val="single" w:sz="4" w:space="0" w:color="auto"/>
              <w:right w:val="single" w:sz="4" w:space="0" w:color="auto"/>
            </w:tcBorders>
            <w:shd w:val="clear" w:color="auto" w:fill="auto"/>
            <w:hideMark/>
          </w:tcPr>
          <w:p w14:paraId="40CC3D67" w14:textId="1E900B9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exp animal experiment/</w:t>
            </w:r>
          </w:p>
        </w:tc>
        <w:tc>
          <w:tcPr>
            <w:tcW w:w="648" w:type="pct"/>
            <w:tcBorders>
              <w:top w:val="nil"/>
              <w:left w:val="nil"/>
              <w:bottom w:val="single" w:sz="4" w:space="0" w:color="auto"/>
              <w:right w:val="single" w:sz="4" w:space="0" w:color="auto"/>
            </w:tcBorders>
            <w:shd w:val="clear" w:color="auto" w:fill="auto"/>
            <w:hideMark/>
          </w:tcPr>
          <w:p w14:paraId="765C70D5" w14:textId="6A63FFF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3206780</w:t>
            </w:r>
          </w:p>
        </w:tc>
        <w:tc>
          <w:tcPr>
            <w:tcW w:w="563" w:type="pct"/>
            <w:tcBorders>
              <w:top w:val="nil"/>
              <w:left w:val="nil"/>
              <w:bottom w:val="single" w:sz="4" w:space="0" w:color="auto"/>
              <w:right w:val="single" w:sz="4" w:space="0" w:color="auto"/>
            </w:tcBorders>
            <w:shd w:val="clear" w:color="auto" w:fill="auto"/>
            <w:hideMark/>
          </w:tcPr>
          <w:p w14:paraId="5361821B" w14:textId="195FA49D"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00045831"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4FDF2E8" w14:textId="3CF73EE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27</w:t>
            </w:r>
          </w:p>
        </w:tc>
        <w:tc>
          <w:tcPr>
            <w:tcW w:w="3125" w:type="pct"/>
            <w:tcBorders>
              <w:top w:val="nil"/>
              <w:left w:val="nil"/>
              <w:bottom w:val="single" w:sz="4" w:space="0" w:color="auto"/>
              <w:right w:val="single" w:sz="4" w:space="0" w:color="auto"/>
            </w:tcBorders>
            <w:shd w:val="clear" w:color="auto" w:fill="auto"/>
            <w:hideMark/>
          </w:tcPr>
          <w:p w14:paraId="7D5C9275" w14:textId="437BAC6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exp animal model/</w:t>
            </w:r>
          </w:p>
        </w:tc>
        <w:tc>
          <w:tcPr>
            <w:tcW w:w="648" w:type="pct"/>
            <w:tcBorders>
              <w:top w:val="nil"/>
              <w:left w:val="nil"/>
              <w:bottom w:val="single" w:sz="4" w:space="0" w:color="auto"/>
              <w:right w:val="single" w:sz="4" w:space="0" w:color="auto"/>
            </w:tcBorders>
            <w:shd w:val="clear" w:color="auto" w:fill="auto"/>
            <w:hideMark/>
          </w:tcPr>
          <w:p w14:paraId="636B8D16" w14:textId="247440C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1860583</w:t>
            </w:r>
          </w:p>
        </w:tc>
        <w:tc>
          <w:tcPr>
            <w:tcW w:w="563" w:type="pct"/>
            <w:tcBorders>
              <w:top w:val="nil"/>
              <w:left w:val="nil"/>
              <w:bottom w:val="single" w:sz="4" w:space="0" w:color="auto"/>
              <w:right w:val="single" w:sz="4" w:space="0" w:color="auto"/>
            </w:tcBorders>
            <w:shd w:val="clear" w:color="auto" w:fill="auto"/>
            <w:hideMark/>
          </w:tcPr>
          <w:p w14:paraId="30106520" w14:textId="1AE6AF8C"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3ED3EDCB"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1B801EE" w14:textId="7864D06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28</w:t>
            </w:r>
          </w:p>
        </w:tc>
        <w:tc>
          <w:tcPr>
            <w:tcW w:w="3125" w:type="pct"/>
            <w:tcBorders>
              <w:top w:val="nil"/>
              <w:left w:val="nil"/>
              <w:bottom w:val="single" w:sz="4" w:space="0" w:color="auto"/>
              <w:right w:val="single" w:sz="4" w:space="0" w:color="auto"/>
            </w:tcBorders>
            <w:shd w:val="clear" w:color="auto" w:fill="auto"/>
            <w:hideMark/>
          </w:tcPr>
          <w:p w14:paraId="4B2ECECB" w14:textId="63DDD6C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nonhuman/</w:t>
            </w:r>
          </w:p>
        </w:tc>
        <w:tc>
          <w:tcPr>
            <w:tcW w:w="648" w:type="pct"/>
            <w:tcBorders>
              <w:top w:val="nil"/>
              <w:left w:val="nil"/>
              <w:bottom w:val="single" w:sz="4" w:space="0" w:color="auto"/>
              <w:right w:val="single" w:sz="4" w:space="0" w:color="auto"/>
            </w:tcBorders>
            <w:shd w:val="clear" w:color="auto" w:fill="auto"/>
            <w:hideMark/>
          </w:tcPr>
          <w:p w14:paraId="5DC02673" w14:textId="45324A6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7776997</w:t>
            </w:r>
          </w:p>
        </w:tc>
        <w:tc>
          <w:tcPr>
            <w:tcW w:w="563" w:type="pct"/>
            <w:tcBorders>
              <w:top w:val="nil"/>
              <w:left w:val="nil"/>
              <w:bottom w:val="single" w:sz="4" w:space="0" w:color="auto"/>
              <w:right w:val="single" w:sz="4" w:space="0" w:color="auto"/>
            </w:tcBorders>
            <w:shd w:val="clear" w:color="auto" w:fill="auto"/>
            <w:hideMark/>
          </w:tcPr>
          <w:p w14:paraId="2F8FE86A" w14:textId="355CB1A6"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2816AC9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35662EE" w14:textId="74BFE92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29</w:t>
            </w:r>
          </w:p>
        </w:tc>
        <w:tc>
          <w:tcPr>
            <w:tcW w:w="3125" w:type="pct"/>
            <w:tcBorders>
              <w:top w:val="nil"/>
              <w:left w:val="nil"/>
              <w:bottom w:val="single" w:sz="4" w:space="0" w:color="auto"/>
              <w:right w:val="single" w:sz="4" w:space="0" w:color="auto"/>
            </w:tcBorders>
            <w:shd w:val="clear" w:color="auto" w:fill="auto"/>
            <w:hideMark/>
          </w:tcPr>
          <w:p w14:paraId="041E2AAB" w14:textId="6156C5C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exp vertebrate/</w:t>
            </w:r>
          </w:p>
        </w:tc>
        <w:tc>
          <w:tcPr>
            <w:tcW w:w="648" w:type="pct"/>
            <w:tcBorders>
              <w:top w:val="nil"/>
              <w:left w:val="nil"/>
              <w:bottom w:val="single" w:sz="4" w:space="0" w:color="auto"/>
              <w:right w:val="single" w:sz="4" w:space="0" w:color="auto"/>
            </w:tcBorders>
            <w:shd w:val="clear" w:color="auto" w:fill="auto"/>
            <w:hideMark/>
          </w:tcPr>
          <w:p w14:paraId="14578C4F" w14:textId="44141C5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31216004</w:t>
            </w:r>
          </w:p>
        </w:tc>
        <w:tc>
          <w:tcPr>
            <w:tcW w:w="563" w:type="pct"/>
            <w:tcBorders>
              <w:top w:val="nil"/>
              <w:left w:val="nil"/>
              <w:bottom w:val="single" w:sz="4" w:space="0" w:color="auto"/>
              <w:right w:val="single" w:sz="4" w:space="0" w:color="auto"/>
            </w:tcBorders>
            <w:shd w:val="clear" w:color="auto" w:fill="auto"/>
            <w:hideMark/>
          </w:tcPr>
          <w:p w14:paraId="7DAE7049" w14:textId="5290E60A"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04D2BEDD"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8E6D686" w14:textId="78267E3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30</w:t>
            </w:r>
          </w:p>
        </w:tc>
        <w:tc>
          <w:tcPr>
            <w:tcW w:w="3125" w:type="pct"/>
            <w:tcBorders>
              <w:top w:val="nil"/>
              <w:left w:val="nil"/>
              <w:bottom w:val="single" w:sz="4" w:space="0" w:color="auto"/>
              <w:right w:val="single" w:sz="4" w:space="0" w:color="auto"/>
            </w:tcBorders>
            <w:shd w:val="clear" w:color="auto" w:fill="auto"/>
            <w:hideMark/>
          </w:tcPr>
          <w:p w14:paraId="1AC08DBA" w14:textId="7CD1399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or/25-29</w:t>
            </w:r>
          </w:p>
        </w:tc>
        <w:tc>
          <w:tcPr>
            <w:tcW w:w="648" w:type="pct"/>
            <w:tcBorders>
              <w:top w:val="nil"/>
              <w:left w:val="nil"/>
              <w:bottom w:val="single" w:sz="4" w:space="0" w:color="auto"/>
              <w:right w:val="single" w:sz="4" w:space="0" w:color="auto"/>
            </w:tcBorders>
            <w:shd w:val="clear" w:color="auto" w:fill="auto"/>
            <w:hideMark/>
          </w:tcPr>
          <w:p w14:paraId="6809D124" w14:textId="1ED3C4B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34213488</w:t>
            </w:r>
          </w:p>
        </w:tc>
        <w:tc>
          <w:tcPr>
            <w:tcW w:w="563" w:type="pct"/>
            <w:tcBorders>
              <w:top w:val="nil"/>
              <w:left w:val="nil"/>
              <w:bottom w:val="single" w:sz="4" w:space="0" w:color="auto"/>
              <w:right w:val="single" w:sz="4" w:space="0" w:color="auto"/>
            </w:tcBorders>
            <w:shd w:val="clear" w:color="auto" w:fill="auto"/>
            <w:hideMark/>
          </w:tcPr>
          <w:p w14:paraId="5BA9313C" w14:textId="3D2D7D4A"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4AE54CE7"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3F0E5A0" w14:textId="5FAD84A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31</w:t>
            </w:r>
          </w:p>
        </w:tc>
        <w:tc>
          <w:tcPr>
            <w:tcW w:w="3125" w:type="pct"/>
            <w:tcBorders>
              <w:top w:val="nil"/>
              <w:left w:val="nil"/>
              <w:bottom w:val="single" w:sz="4" w:space="0" w:color="auto"/>
              <w:right w:val="single" w:sz="4" w:space="0" w:color="auto"/>
            </w:tcBorders>
            <w:shd w:val="clear" w:color="auto" w:fill="auto"/>
            <w:hideMark/>
          </w:tcPr>
          <w:p w14:paraId="6BA5ED96" w14:textId="6B69709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exp human/</w:t>
            </w:r>
          </w:p>
        </w:tc>
        <w:tc>
          <w:tcPr>
            <w:tcW w:w="648" w:type="pct"/>
            <w:tcBorders>
              <w:top w:val="nil"/>
              <w:left w:val="nil"/>
              <w:bottom w:val="single" w:sz="4" w:space="0" w:color="auto"/>
              <w:right w:val="single" w:sz="4" w:space="0" w:color="auto"/>
            </w:tcBorders>
            <w:shd w:val="clear" w:color="auto" w:fill="auto"/>
            <w:hideMark/>
          </w:tcPr>
          <w:p w14:paraId="579871C0" w14:textId="1D405A8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26737701</w:t>
            </w:r>
          </w:p>
        </w:tc>
        <w:tc>
          <w:tcPr>
            <w:tcW w:w="563" w:type="pct"/>
            <w:tcBorders>
              <w:top w:val="nil"/>
              <w:left w:val="nil"/>
              <w:bottom w:val="single" w:sz="4" w:space="0" w:color="auto"/>
              <w:right w:val="single" w:sz="4" w:space="0" w:color="auto"/>
            </w:tcBorders>
            <w:shd w:val="clear" w:color="auto" w:fill="auto"/>
            <w:hideMark/>
          </w:tcPr>
          <w:p w14:paraId="0E50C013" w14:textId="48DEA3D8"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1D74BB27"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9C41601" w14:textId="658A5DE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32</w:t>
            </w:r>
          </w:p>
        </w:tc>
        <w:tc>
          <w:tcPr>
            <w:tcW w:w="3125" w:type="pct"/>
            <w:tcBorders>
              <w:top w:val="nil"/>
              <w:left w:val="nil"/>
              <w:bottom w:val="single" w:sz="4" w:space="0" w:color="auto"/>
              <w:right w:val="single" w:sz="4" w:space="0" w:color="auto"/>
            </w:tcBorders>
            <w:shd w:val="clear" w:color="auto" w:fill="auto"/>
            <w:hideMark/>
          </w:tcPr>
          <w:p w14:paraId="528D0745" w14:textId="30798E6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exp human experiment/</w:t>
            </w:r>
          </w:p>
        </w:tc>
        <w:tc>
          <w:tcPr>
            <w:tcW w:w="648" w:type="pct"/>
            <w:tcBorders>
              <w:top w:val="nil"/>
              <w:left w:val="nil"/>
              <w:bottom w:val="single" w:sz="4" w:space="0" w:color="auto"/>
              <w:right w:val="single" w:sz="4" w:space="0" w:color="auto"/>
            </w:tcBorders>
            <w:shd w:val="clear" w:color="auto" w:fill="auto"/>
            <w:hideMark/>
          </w:tcPr>
          <w:p w14:paraId="075CB2EB" w14:textId="3C869BC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664341</w:t>
            </w:r>
          </w:p>
        </w:tc>
        <w:tc>
          <w:tcPr>
            <w:tcW w:w="563" w:type="pct"/>
            <w:tcBorders>
              <w:top w:val="nil"/>
              <w:left w:val="nil"/>
              <w:bottom w:val="single" w:sz="4" w:space="0" w:color="auto"/>
              <w:right w:val="single" w:sz="4" w:space="0" w:color="auto"/>
            </w:tcBorders>
            <w:shd w:val="clear" w:color="auto" w:fill="auto"/>
            <w:hideMark/>
          </w:tcPr>
          <w:p w14:paraId="0A48947A" w14:textId="13143A2E"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7F2F20BC"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23C8ECD" w14:textId="0AAF170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33</w:t>
            </w:r>
          </w:p>
        </w:tc>
        <w:tc>
          <w:tcPr>
            <w:tcW w:w="3125" w:type="pct"/>
            <w:tcBorders>
              <w:top w:val="nil"/>
              <w:left w:val="nil"/>
              <w:bottom w:val="single" w:sz="4" w:space="0" w:color="auto"/>
              <w:right w:val="single" w:sz="4" w:space="0" w:color="auto"/>
            </w:tcBorders>
            <w:shd w:val="clear" w:color="auto" w:fill="auto"/>
            <w:hideMark/>
          </w:tcPr>
          <w:p w14:paraId="083F1AD4" w14:textId="3A5C34A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or/31-32</w:t>
            </w:r>
          </w:p>
        </w:tc>
        <w:tc>
          <w:tcPr>
            <w:tcW w:w="648" w:type="pct"/>
            <w:tcBorders>
              <w:top w:val="nil"/>
              <w:left w:val="nil"/>
              <w:bottom w:val="single" w:sz="4" w:space="0" w:color="auto"/>
              <w:right w:val="single" w:sz="4" w:space="0" w:color="auto"/>
            </w:tcBorders>
            <w:shd w:val="clear" w:color="auto" w:fill="auto"/>
            <w:hideMark/>
          </w:tcPr>
          <w:p w14:paraId="77F4EE03" w14:textId="348A201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26740482</w:t>
            </w:r>
          </w:p>
        </w:tc>
        <w:tc>
          <w:tcPr>
            <w:tcW w:w="563" w:type="pct"/>
            <w:tcBorders>
              <w:top w:val="nil"/>
              <w:left w:val="nil"/>
              <w:bottom w:val="single" w:sz="4" w:space="0" w:color="auto"/>
              <w:right w:val="single" w:sz="4" w:space="0" w:color="auto"/>
            </w:tcBorders>
            <w:shd w:val="clear" w:color="auto" w:fill="auto"/>
            <w:hideMark/>
          </w:tcPr>
          <w:p w14:paraId="0A5BCF5F" w14:textId="31FEE1A9"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42AB4E1C"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E07D976" w14:textId="6DF4FBF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34</w:t>
            </w:r>
          </w:p>
        </w:tc>
        <w:tc>
          <w:tcPr>
            <w:tcW w:w="3125" w:type="pct"/>
            <w:tcBorders>
              <w:top w:val="nil"/>
              <w:left w:val="nil"/>
              <w:bottom w:val="single" w:sz="4" w:space="0" w:color="auto"/>
              <w:right w:val="single" w:sz="4" w:space="0" w:color="auto"/>
            </w:tcBorders>
            <w:shd w:val="clear" w:color="auto" w:fill="auto"/>
            <w:hideMark/>
          </w:tcPr>
          <w:p w14:paraId="1E2E65CD" w14:textId="3C2E4E5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30 not 33</w:t>
            </w:r>
          </w:p>
        </w:tc>
        <w:tc>
          <w:tcPr>
            <w:tcW w:w="648" w:type="pct"/>
            <w:tcBorders>
              <w:top w:val="nil"/>
              <w:left w:val="nil"/>
              <w:bottom w:val="single" w:sz="4" w:space="0" w:color="auto"/>
              <w:right w:val="single" w:sz="4" w:space="0" w:color="auto"/>
            </w:tcBorders>
            <w:shd w:val="clear" w:color="auto" w:fill="auto"/>
            <w:hideMark/>
          </w:tcPr>
          <w:p w14:paraId="75042C75" w14:textId="790CB32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7474548</w:t>
            </w:r>
          </w:p>
        </w:tc>
        <w:tc>
          <w:tcPr>
            <w:tcW w:w="563" w:type="pct"/>
            <w:tcBorders>
              <w:top w:val="nil"/>
              <w:left w:val="nil"/>
              <w:bottom w:val="single" w:sz="4" w:space="0" w:color="auto"/>
              <w:right w:val="single" w:sz="4" w:space="0" w:color="auto"/>
            </w:tcBorders>
            <w:shd w:val="clear" w:color="auto" w:fill="auto"/>
            <w:hideMark/>
          </w:tcPr>
          <w:p w14:paraId="3C2A6D2E" w14:textId="7740DB97"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16CE601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0E05E31" w14:textId="29BAFE9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35</w:t>
            </w:r>
          </w:p>
        </w:tc>
        <w:tc>
          <w:tcPr>
            <w:tcW w:w="3125" w:type="pct"/>
            <w:tcBorders>
              <w:top w:val="nil"/>
              <w:left w:val="nil"/>
              <w:bottom w:val="single" w:sz="4" w:space="0" w:color="auto"/>
              <w:right w:val="single" w:sz="4" w:space="0" w:color="auto"/>
            </w:tcBorders>
            <w:shd w:val="clear" w:color="auto" w:fill="auto"/>
            <w:hideMark/>
          </w:tcPr>
          <w:p w14:paraId="7A8A455B" w14:textId="2B5C91D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24 not 34</w:t>
            </w:r>
          </w:p>
        </w:tc>
        <w:tc>
          <w:tcPr>
            <w:tcW w:w="648" w:type="pct"/>
            <w:tcBorders>
              <w:top w:val="nil"/>
              <w:left w:val="nil"/>
              <w:bottom w:val="single" w:sz="4" w:space="0" w:color="auto"/>
              <w:right w:val="single" w:sz="4" w:space="0" w:color="auto"/>
            </w:tcBorders>
            <w:shd w:val="clear" w:color="auto" w:fill="auto"/>
            <w:hideMark/>
          </w:tcPr>
          <w:p w14:paraId="25939FCF" w14:textId="3BB4886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843</w:t>
            </w:r>
          </w:p>
        </w:tc>
        <w:tc>
          <w:tcPr>
            <w:tcW w:w="563" w:type="pct"/>
            <w:tcBorders>
              <w:top w:val="nil"/>
              <w:left w:val="nil"/>
              <w:bottom w:val="single" w:sz="4" w:space="0" w:color="auto"/>
              <w:right w:val="single" w:sz="4" w:space="0" w:color="auto"/>
            </w:tcBorders>
            <w:shd w:val="clear" w:color="auto" w:fill="auto"/>
            <w:hideMark/>
          </w:tcPr>
          <w:p w14:paraId="2B668378" w14:textId="17E12FB5"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4AA0BC34"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6486557" w14:textId="769346B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36</w:t>
            </w:r>
          </w:p>
        </w:tc>
        <w:tc>
          <w:tcPr>
            <w:tcW w:w="3125" w:type="pct"/>
            <w:tcBorders>
              <w:top w:val="nil"/>
              <w:left w:val="nil"/>
              <w:bottom w:val="single" w:sz="4" w:space="0" w:color="auto"/>
              <w:right w:val="single" w:sz="4" w:space="0" w:color="auto"/>
            </w:tcBorders>
            <w:shd w:val="clear" w:color="auto" w:fill="auto"/>
            <w:hideMark/>
          </w:tcPr>
          <w:p w14:paraId="22646312" w14:textId="22D8FEA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letter/ or case report/ or case study/</w:t>
            </w:r>
          </w:p>
        </w:tc>
        <w:tc>
          <w:tcPr>
            <w:tcW w:w="648" w:type="pct"/>
            <w:tcBorders>
              <w:top w:val="nil"/>
              <w:left w:val="nil"/>
              <w:bottom w:val="single" w:sz="4" w:space="0" w:color="auto"/>
              <w:right w:val="single" w:sz="4" w:space="0" w:color="auto"/>
            </w:tcBorders>
            <w:shd w:val="clear" w:color="auto" w:fill="auto"/>
            <w:hideMark/>
          </w:tcPr>
          <w:p w14:paraId="00396051" w14:textId="374D968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4100480</w:t>
            </w:r>
          </w:p>
        </w:tc>
        <w:tc>
          <w:tcPr>
            <w:tcW w:w="563" w:type="pct"/>
            <w:tcBorders>
              <w:top w:val="nil"/>
              <w:left w:val="nil"/>
              <w:bottom w:val="single" w:sz="4" w:space="0" w:color="auto"/>
              <w:right w:val="single" w:sz="4" w:space="0" w:color="auto"/>
            </w:tcBorders>
            <w:shd w:val="clear" w:color="auto" w:fill="auto"/>
            <w:hideMark/>
          </w:tcPr>
          <w:p w14:paraId="3430AE70" w14:textId="36947E0E"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17AC4A3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36103FD" w14:textId="2113BCB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37</w:t>
            </w:r>
          </w:p>
        </w:tc>
        <w:tc>
          <w:tcPr>
            <w:tcW w:w="3125" w:type="pct"/>
            <w:tcBorders>
              <w:top w:val="nil"/>
              <w:left w:val="nil"/>
              <w:bottom w:val="single" w:sz="4" w:space="0" w:color="auto"/>
              <w:right w:val="single" w:sz="4" w:space="0" w:color="auto"/>
            </w:tcBorders>
            <w:shd w:val="clear" w:color="auto" w:fill="auto"/>
            <w:hideMark/>
          </w:tcPr>
          <w:p w14:paraId="0BE2C65F" w14:textId="4152267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(letter or comment*).ti.</w:t>
            </w:r>
          </w:p>
        </w:tc>
        <w:tc>
          <w:tcPr>
            <w:tcW w:w="648" w:type="pct"/>
            <w:tcBorders>
              <w:top w:val="nil"/>
              <w:left w:val="nil"/>
              <w:bottom w:val="single" w:sz="4" w:space="0" w:color="auto"/>
              <w:right w:val="single" w:sz="4" w:space="0" w:color="auto"/>
            </w:tcBorders>
            <w:shd w:val="clear" w:color="auto" w:fill="auto"/>
            <w:hideMark/>
          </w:tcPr>
          <w:p w14:paraId="15E0EC9A" w14:textId="79DAA594"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246621</w:t>
            </w:r>
          </w:p>
        </w:tc>
        <w:tc>
          <w:tcPr>
            <w:tcW w:w="563" w:type="pct"/>
            <w:tcBorders>
              <w:top w:val="nil"/>
              <w:left w:val="nil"/>
              <w:bottom w:val="single" w:sz="4" w:space="0" w:color="auto"/>
              <w:right w:val="single" w:sz="4" w:space="0" w:color="auto"/>
            </w:tcBorders>
            <w:shd w:val="clear" w:color="auto" w:fill="auto"/>
            <w:hideMark/>
          </w:tcPr>
          <w:p w14:paraId="70E18B5C" w14:textId="540F06B1"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3A570E09"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7A75115" w14:textId="617DD0E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38</w:t>
            </w:r>
          </w:p>
        </w:tc>
        <w:tc>
          <w:tcPr>
            <w:tcW w:w="3125" w:type="pct"/>
            <w:tcBorders>
              <w:top w:val="nil"/>
              <w:left w:val="nil"/>
              <w:bottom w:val="single" w:sz="4" w:space="0" w:color="auto"/>
              <w:right w:val="single" w:sz="4" w:space="0" w:color="auto"/>
            </w:tcBorders>
            <w:shd w:val="clear" w:color="auto" w:fill="auto"/>
            <w:hideMark/>
          </w:tcPr>
          <w:p w14:paraId="78DE6233" w14:textId="10DE1BD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(abstract or comment or letter or editorial or note).pt.</w:t>
            </w:r>
          </w:p>
        </w:tc>
        <w:tc>
          <w:tcPr>
            <w:tcW w:w="648" w:type="pct"/>
            <w:tcBorders>
              <w:top w:val="nil"/>
              <w:left w:val="nil"/>
              <w:bottom w:val="single" w:sz="4" w:space="0" w:color="auto"/>
              <w:right w:val="single" w:sz="4" w:space="0" w:color="auto"/>
            </w:tcBorders>
            <w:shd w:val="clear" w:color="auto" w:fill="auto"/>
            <w:hideMark/>
          </w:tcPr>
          <w:p w14:paraId="066A3AFD" w14:textId="63719F5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8329571</w:t>
            </w:r>
          </w:p>
        </w:tc>
        <w:tc>
          <w:tcPr>
            <w:tcW w:w="563" w:type="pct"/>
            <w:tcBorders>
              <w:top w:val="nil"/>
              <w:left w:val="nil"/>
              <w:bottom w:val="single" w:sz="4" w:space="0" w:color="auto"/>
              <w:right w:val="single" w:sz="4" w:space="0" w:color="auto"/>
            </w:tcBorders>
            <w:shd w:val="clear" w:color="auto" w:fill="auto"/>
            <w:hideMark/>
          </w:tcPr>
          <w:p w14:paraId="3465A426" w14:textId="18FA24D2"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4C8801BF"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8C24D01" w14:textId="30B9CF8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39</w:t>
            </w:r>
          </w:p>
        </w:tc>
        <w:tc>
          <w:tcPr>
            <w:tcW w:w="3125" w:type="pct"/>
            <w:tcBorders>
              <w:top w:val="nil"/>
              <w:left w:val="nil"/>
              <w:bottom w:val="single" w:sz="4" w:space="0" w:color="auto"/>
              <w:right w:val="single" w:sz="4" w:space="0" w:color="auto"/>
            </w:tcBorders>
            <w:shd w:val="clear" w:color="auto" w:fill="auto"/>
            <w:hideMark/>
          </w:tcPr>
          <w:p w14:paraId="1111021F" w14:textId="4A3EA36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or/36-38</w:t>
            </w:r>
          </w:p>
        </w:tc>
        <w:tc>
          <w:tcPr>
            <w:tcW w:w="648" w:type="pct"/>
            <w:tcBorders>
              <w:top w:val="nil"/>
              <w:left w:val="nil"/>
              <w:bottom w:val="single" w:sz="4" w:space="0" w:color="auto"/>
              <w:right w:val="single" w:sz="4" w:space="0" w:color="auto"/>
            </w:tcBorders>
            <w:shd w:val="clear" w:color="auto" w:fill="auto"/>
            <w:hideMark/>
          </w:tcPr>
          <w:p w14:paraId="548B222C" w14:textId="52895E2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10754894</w:t>
            </w:r>
          </w:p>
        </w:tc>
        <w:tc>
          <w:tcPr>
            <w:tcW w:w="563" w:type="pct"/>
            <w:tcBorders>
              <w:top w:val="nil"/>
              <w:left w:val="nil"/>
              <w:bottom w:val="single" w:sz="4" w:space="0" w:color="auto"/>
              <w:right w:val="single" w:sz="4" w:space="0" w:color="auto"/>
            </w:tcBorders>
            <w:shd w:val="clear" w:color="auto" w:fill="auto"/>
            <w:hideMark/>
          </w:tcPr>
          <w:p w14:paraId="78AAD3B0" w14:textId="7AEE6DC9"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44DF077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18B7CB24" w14:textId="3E5F7BF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40</w:t>
            </w:r>
          </w:p>
        </w:tc>
        <w:tc>
          <w:tcPr>
            <w:tcW w:w="3125" w:type="pct"/>
            <w:tcBorders>
              <w:top w:val="nil"/>
              <w:left w:val="nil"/>
              <w:bottom w:val="single" w:sz="4" w:space="0" w:color="auto"/>
              <w:right w:val="single" w:sz="4" w:space="0" w:color="auto"/>
            </w:tcBorders>
            <w:shd w:val="clear" w:color="auto" w:fill="auto"/>
            <w:hideMark/>
          </w:tcPr>
          <w:p w14:paraId="5DF8D3E2" w14:textId="0FE29AD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35 not 39</w:t>
            </w:r>
          </w:p>
        </w:tc>
        <w:tc>
          <w:tcPr>
            <w:tcW w:w="648" w:type="pct"/>
            <w:tcBorders>
              <w:top w:val="nil"/>
              <w:left w:val="nil"/>
              <w:bottom w:val="single" w:sz="4" w:space="0" w:color="auto"/>
              <w:right w:val="single" w:sz="4" w:space="0" w:color="auto"/>
            </w:tcBorders>
            <w:shd w:val="clear" w:color="auto" w:fill="auto"/>
            <w:hideMark/>
          </w:tcPr>
          <w:p w14:paraId="2DE55A99" w14:textId="5B44EC7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495</w:t>
            </w:r>
          </w:p>
        </w:tc>
        <w:tc>
          <w:tcPr>
            <w:tcW w:w="563" w:type="pct"/>
            <w:tcBorders>
              <w:top w:val="nil"/>
              <w:left w:val="nil"/>
              <w:bottom w:val="single" w:sz="4" w:space="0" w:color="auto"/>
              <w:right w:val="single" w:sz="4" w:space="0" w:color="auto"/>
            </w:tcBorders>
            <w:shd w:val="clear" w:color="auto" w:fill="auto"/>
            <w:hideMark/>
          </w:tcPr>
          <w:p w14:paraId="52D15CB9" w14:textId="7E2F79A6"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r w:rsidR="000A2C57" w:rsidRPr="00845419" w14:paraId="5C7021CE" w14:textId="77777777" w:rsidTr="000A2C57">
        <w:trPr>
          <w:trHeight w:val="310"/>
        </w:trPr>
        <w:tc>
          <w:tcPr>
            <w:tcW w:w="663" w:type="pct"/>
            <w:tcBorders>
              <w:top w:val="single" w:sz="4" w:space="0" w:color="auto"/>
              <w:left w:val="single" w:sz="4" w:space="0" w:color="auto"/>
              <w:bottom w:val="single" w:sz="4" w:space="0" w:color="auto"/>
              <w:right w:val="single" w:sz="4" w:space="0" w:color="auto"/>
            </w:tcBorders>
            <w:shd w:val="clear" w:color="auto" w:fill="auto"/>
          </w:tcPr>
          <w:p w14:paraId="1C02CE94" w14:textId="7E5AC3E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41</w:t>
            </w:r>
          </w:p>
        </w:tc>
        <w:tc>
          <w:tcPr>
            <w:tcW w:w="3125" w:type="pct"/>
            <w:tcBorders>
              <w:top w:val="single" w:sz="4" w:space="0" w:color="auto"/>
              <w:left w:val="nil"/>
              <w:bottom w:val="single" w:sz="4" w:space="0" w:color="auto"/>
              <w:right w:val="single" w:sz="4" w:space="0" w:color="auto"/>
            </w:tcBorders>
            <w:shd w:val="clear" w:color="auto" w:fill="auto"/>
          </w:tcPr>
          <w:p w14:paraId="32BBD630" w14:textId="7B1A2C4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limit 40 to yr="2023 -Current"</w:t>
            </w:r>
          </w:p>
        </w:tc>
        <w:tc>
          <w:tcPr>
            <w:tcW w:w="648" w:type="pct"/>
            <w:tcBorders>
              <w:top w:val="single" w:sz="4" w:space="0" w:color="auto"/>
              <w:left w:val="nil"/>
              <w:bottom w:val="single" w:sz="4" w:space="0" w:color="auto"/>
              <w:right w:val="single" w:sz="4" w:space="0" w:color="auto"/>
            </w:tcBorders>
            <w:shd w:val="clear" w:color="auto" w:fill="auto"/>
          </w:tcPr>
          <w:p w14:paraId="6B14CD48" w14:textId="3621F5B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F255E6">
              <w:t>66</w:t>
            </w:r>
          </w:p>
        </w:tc>
        <w:tc>
          <w:tcPr>
            <w:tcW w:w="563" w:type="pct"/>
            <w:tcBorders>
              <w:top w:val="single" w:sz="4" w:space="0" w:color="auto"/>
              <w:left w:val="nil"/>
              <w:bottom w:val="single" w:sz="4" w:space="0" w:color="auto"/>
              <w:right w:val="single" w:sz="4" w:space="0" w:color="auto"/>
            </w:tcBorders>
            <w:shd w:val="clear" w:color="auto" w:fill="auto"/>
          </w:tcPr>
          <w:p w14:paraId="1814438C" w14:textId="77777777" w:rsidR="000A2C57" w:rsidRPr="00845419" w:rsidRDefault="000A2C57" w:rsidP="000A2C57">
            <w:pPr>
              <w:spacing w:beforeLines="0" w:before="0" w:afterLines="0" w:after="0" w:line="240" w:lineRule="auto"/>
              <w:contextualSpacing w:val="0"/>
              <w:jc w:val="center"/>
              <w:rPr>
                <w:rFonts w:ascii="Calibri" w:eastAsia="Times New Roman" w:hAnsi="Calibri" w:cs="Calibri"/>
                <w:color w:val="000000"/>
                <w:sz w:val="22"/>
                <w:szCs w:val="22"/>
                <w:lang w:eastAsia="en-GB"/>
              </w:rPr>
            </w:pPr>
          </w:p>
        </w:tc>
      </w:tr>
    </w:tbl>
    <w:p w14:paraId="5ACDD1BE" w14:textId="77777777" w:rsidR="00845419" w:rsidRDefault="00845419">
      <w:pPr>
        <w:spacing w:beforeLines="0" w:before="0" w:afterLines="0" w:after="0" w:line="259" w:lineRule="auto"/>
        <w:contextualSpacing w:val="0"/>
      </w:pPr>
    </w:p>
    <w:tbl>
      <w:tblPr>
        <w:tblW w:w="5000" w:type="pct"/>
        <w:tblLook w:val="04A0" w:firstRow="1" w:lastRow="0" w:firstColumn="1" w:lastColumn="0" w:noHBand="0" w:noVBand="1"/>
      </w:tblPr>
      <w:tblGrid>
        <w:gridCol w:w="1218"/>
        <w:gridCol w:w="5587"/>
        <w:gridCol w:w="946"/>
        <w:gridCol w:w="1429"/>
      </w:tblGrid>
      <w:tr w:rsidR="00845419" w:rsidRPr="00845419" w14:paraId="5875049A" w14:textId="77777777" w:rsidTr="000A2C57">
        <w:trPr>
          <w:trHeight w:val="795"/>
        </w:trPr>
        <w:tc>
          <w:tcPr>
            <w:tcW w:w="663" w:type="pct"/>
            <w:tcBorders>
              <w:top w:val="single" w:sz="4" w:space="0" w:color="auto"/>
              <w:left w:val="single" w:sz="4" w:space="0" w:color="auto"/>
              <w:bottom w:val="single" w:sz="4" w:space="0" w:color="auto"/>
              <w:right w:val="single" w:sz="4" w:space="0" w:color="auto"/>
            </w:tcBorders>
            <w:shd w:val="clear" w:color="000000" w:fill="49C5B1"/>
            <w:hideMark/>
          </w:tcPr>
          <w:p w14:paraId="09301580" w14:textId="77777777" w:rsidR="00845419" w:rsidRPr="00845419" w:rsidRDefault="00845419" w:rsidP="00845419">
            <w:pPr>
              <w:spacing w:beforeLines="0" w:before="0" w:afterLines="0" w:after="0" w:line="240" w:lineRule="auto"/>
              <w:contextualSpacing w:val="0"/>
              <w:rPr>
                <w:rFonts w:ascii="Calibri" w:eastAsia="Times New Roman" w:hAnsi="Calibri" w:cs="Calibri"/>
                <w:b/>
                <w:bCs/>
                <w:color w:val="auto"/>
                <w:lang w:eastAsia="en-GB"/>
              </w:rPr>
            </w:pPr>
            <w:r w:rsidRPr="00845419">
              <w:rPr>
                <w:rFonts w:ascii="Calibri" w:eastAsia="Times New Roman" w:hAnsi="Calibri" w:cs="Calibri"/>
                <w:b/>
                <w:bCs/>
                <w:color w:val="auto"/>
                <w:lang w:eastAsia="en-GB"/>
              </w:rPr>
              <w:t xml:space="preserve">Database: </w:t>
            </w:r>
          </w:p>
        </w:tc>
        <w:tc>
          <w:tcPr>
            <w:tcW w:w="3175" w:type="pct"/>
            <w:tcBorders>
              <w:top w:val="single" w:sz="4" w:space="0" w:color="auto"/>
              <w:left w:val="nil"/>
              <w:bottom w:val="single" w:sz="4" w:space="0" w:color="auto"/>
              <w:right w:val="single" w:sz="4" w:space="0" w:color="auto"/>
            </w:tcBorders>
            <w:shd w:val="clear" w:color="000000" w:fill="49C5B1"/>
            <w:hideMark/>
          </w:tcPr>
          <w:p w14:paraId="14B580CE" w14:textId="77777777" w:rsidR="00845419" w:rsidRPr="00845419" w:rsidRDefault="00845419" w:rsidP="000A2C57">
            <w:pPr>
              <w:spacing w:beforeLines="0" w:before="0" w:afterLines="0" w:after="0" w:line="240" w:lineRule="auto"/>
              <w:contextualSpacing w:val="0"/>
              <w:jc w:val="center"/>
              <w:rPr>
                <w:rFonts w:ascii="Calibri" w:eastAsia="Times New Roman" w:hAnsi="Calibri" w:cs="Calibri"/>
                <w:b/>
                <w:bCs/>
                <w:color w:val="auto"/>
                <w:lang w:eastAsia="en-GB"/>
              </w:rPr>
            </w:pPr>
            <w:r w:rsidRPr="00845419">
              <w:rPr>
                <w:rFonts w:ascii="Calibri" w:eastAsia="Times New Roman" w:hAnsi="Calibri" w:cs="Calibri"/>
                <w:b/>
                <w:bCs/>
                <w:color w:val="auto"/>
                <w:lang w:eastAsia="en-GB"/>
              </w:rPr>
              <w:t>Cochrane Central Register of Controlled Trials (CENTRAL) and Cochrane Database of Systematic Reviews (CDSR)</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49C5B1"/>
            <w:hideMark/>
          </w:tcPr>
          <w:p w14:paraId="121B263F" w14:textId="77777777" w:rsidR="00845419" w:rsidRPr="00845419" w:rsidRDefault="00845419" w:rsidP="00845419">
            <w:pPr>
              <w:spacing w:beforeLines="0" w:before="0" w:afterLines="0" w:after="0" w:line="240" w:lineRule="auto"/>
              <w:contextualSpacing w:val="0"/>
              <w:rPr>
                <w:rFonts w:ascii="Calibri" w:eastAsia="Times New Roman" w:hAnsi="Calibri" w:cs="Calibri"/>
                <w:b/>
                <w:bCs/>
                <w:color w:val="auto"/>
                <w:lang w:eastAsia="en-GB"/>
              </w:rPr>
            </w:pPr>
            <w:r w:rsidRPr="00845419">
              <w:rPr>
                <w:rFonts w:ascii="Calibri" w:eastAsia="Times New Roman" w:hAnsi="Calibri" w:cs="Calibri"/>
                <w:b/>
                <w:bCs/>
                <w:color w:val="auto"/>
                <w:lang w:eastAsia="en-GB"/>
              </w:rPr>
              <w:t>Results per line:</w:t>
            </w:r>
          </w:p>
        </w:tc>
        <w:tc>
          <w:tcPr>
            <w:tcW w:w="646" w:type="pct"/>
            <w:vMerge w:val="restart"/>
            <w:tcBorders>
              <w:top w:val="single" w:sz="4" w:space="0" w:color="auto"/>
              <w:left w:val="single" w:sz="4" w:space="0" w:color="auto"/>
              <w:bottom w:val="single" w:sz="4" w:space="0" w:color="auto"/>
              <w:right w:val="single" w:sz="4" w:space="0" w:color="auto"/>
            </w:tcBorders>
            <w:shd w:val="clear" w:color="000000" w:fill="49C5B1"/>
            <w:hideMark/>
          </w:tcPr>
          <w:p w14:paraId="3696F656" w14:textId="77777777" w:rsidR="00845419" w:rsidRPr="00845419" w:rsidRDefault="00845419" w:rsidP="00845419">
            <w:pPr>
              <w:spacing w:beforeLines="0" w:before="0" w:afterLines="0" w:after="0" w:line="240" w:lineRule="auto"/>
              <w:contextualSpacing w:val="0"/>
              <w:rPr>
                <w:rFonts w:ascii="Calibri" w:eastAsia="Times New Roman" w:hAnsi="Calibri" w:cs="Calibri"/>
                <w:b/>
                <w:bCs/>
                <w:color w:val="auto"/>
                <w:lang w:eastAsia="en-GB"/>
              </w:rPr>
            </w:pPr>
            <w:r w:rsidRPr="00845419">
              <w:rPr>
                <w:rFonts w:ascii="Calibri" w:eastAsia="Times New Roman" w:hAnsi="Calibri" w:cs="Calibri"/>
                <w:b/>
                <w:bCs/>
                <w:color w:val="auto"/>
                <w:lang w:eastAsia="en-GB"/>
              </w:rPr>
              <w:t>Number of results:</w:t>
            </w:r>
          </w:p>
        </w:tc>
      </w:tr>
      <w:tr w:rsidR="00845419" w:rsidRPr="00845419" w14:paraId="27190B97" w14:textId="77777777" w:rsidTr="000A2C57">
        <w:trPr>
          <w:trHeight w:val="720"/>
        </w:trPr>
        <w:tc>
          <w:tcPr>
            <w:tcW w:w="663" w:type="pct"/>
            <w:tcBorders>
              <w:top w:val="nil"/>
              <w:left w:val="single" w:sz="4" w:space="0" w:color="auto"/>
              <w:bottom w:val="single" w:sz="4" w:space="0" w:color="auto"/>
              <w:right w:val="single" w:sz="4" w:space="0" w:color="auto"/>
            </w:tcBorders>
            <w:shd w:val="clear" w:color="000000" w:fill="49C5B1"/>
            <w:hideMark/>
          </w:tcPr>
          <w:p w14:paraId="1C3E6D1A" w14:textId="77777777" w:rsidR="00845419" w:rsidRPr="00845419" w:rsidRDefault="00845419" w:rsidP="00845419">
            <w:pPr>
              <w:spacing w:beforeLines="0" w:before="0" w:afterLines="0" w:after="0" w:line="240" w:lineRule="auto"/>
              <w:contextualSpacing w:val="0"/>
              <w:rPr>
                <w:rFonts w:ascii="Calibri" w:eastAsia="Times New Roman" w:hAnsi="Calibri" w:cs="Calibri"/>
                <w:b/>
                <w:bCs/>
                <w:color w:val="auto"/>
                <w:lang w:eastAsia="en-GB"/>
              </w:rPr>
            </w:pPr>
            <w:r w:rsidRPr="00845419">
              <w:rPr>
                <w:rFonts w:ascii="Calibri" w:eastAsia="Times New Roman" w:hAnsi="Calibri" w:cs="Calibri"/>
                <w:b/>
                <w:bCs/>
                <w:color w:val="auto"/>
                <w:lang w:eastAsia="en-GB"/>
              </w:rPr>
              <w:t>Date:</w:t>
            </w:r>
          </w:p>
        </w:tc>
        <w:tc>
          <w:tcPr>
            <w:tcW w:w="3175" w:type="pct"/>
            <w:tcBorders>
              <w:top w:val="nil"/>
              <w:left w:val="nil"/>
              <w:bottom w:val="single" w:sz="4" w:space="0" w:color="auto"/>
              <w:right w:val="single" w:sz="4" w:space="0" w:color="auto"/>
            </w:tcBorders>
            <w:shd w:val="clear" w:color="000000" w:fill="49C5B1"/>
            <w:hideMark/>
          </w:tcPr>
          <w:p w14:paraId="21EC3A2A" w14:textId="4ABF1D65" w:rsidR="00845419" w:rsidRPr="00845419" w:rsidRDefault="000A2C57" w:rsidP="000A2C57">
            <w:pPr>
              <w:spacing w:beforeLines="0" w:before="0" w:afterLines="0" w:after="0" w:line="240" w:lineRule="auto"/>
              <w:contextualSpacing w:val="0"/>
              <w:jc w:val="center"/>
              <w:rPr>
                <w:rFonts w:ascii="Calibri" w:eastAsia="Times New Roman" w:hAnsi="Calibri" w:cs="Calibri"/>
                <w:b/>
                <w:bCs/>
                <w:color w:val="auto"/>
                <w:lang w:eastAsia="en-GB"/>
              </w:rPr>
            </w:pPr>
            <w:r>
              <w:rPr>
                <w:rFonts w:ascii="Calibri" w:eastAsia="Times New Roman" w:hAnsi="Calibri" w:cs="Calibri"/>
                <w:b/>
                <w:bCs/>
                <w:color w:val="auto"/>
                <w:lang w:eastAsia="en-GB"/>
              </w:rPr>
              <w:t>12/07/2024</w:t>
            </w: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7E802E2D" w14:textId="77777777" w:rsidR="00845419" w:rsidRPr="00845419" w:rsidRDefault="00845419" w:rsidP="00845419">
            <w:pPr>
              <w:spacing w:beforeLines="0" w:before="0" w:afterLines="0" w:after="0" w:line="240" w:lineRule="auto"/>
              <w:contextualSpacing w:val="0"/>
              <w:rPr>
                <w:rFonts w:ascii="Calibri" w:eastAsia="Times New Roman" w:hAnsi="Calibri" w:cs="Calibri"/>
                <w:b/>
                <w:bCs/>
                <w:color w:val="auto"/>
                <w:lang w:eastAsia="en-GB"/>
              </w:rPr>
            </w:pPr>
          </w:p>
        </w:tc>
        <w:tc>
          <w:tcPr>
            <w:tcW w:w="646" w:type="pct"/>
            <w:vMerge/>
            <w:tcBorders>
              <w:top w:val="single" w:sz="4" w:space="0" w:color="auto"/>
              <w:left w:val="single" w:sz="4" w:space="0" w:color="auto"/>
              <w:bottom w:val="single" w:sz="4" w:space="0" w:color="auto"/>
              <w:right w:val="single" w:sz="4" w:space="0" w:color="auto"/>
            </w:tcBorders>
            <w:vAlign w:val="center"/>
            <w:hideMark/>
          </w:tcPr>
          <w:p w14:paraId="16787B26" w14:textId="77777777" w:rsidR="00845419" w:rsidRPr="00845419" w:rsidRDefault="00845419" w:rsidP="00845419">
            <w:pPr>
              <w:spacing w:beforeLines="0" w:before="0" w:afterLines="0" w:after="0" w:line="240" w:lineRule="auto"/>
              <w:contextualSpacing w:val="0"/>
              <w:rPr>
                <w:rFonts w:ascii="Calibri" w:eastAsia="Times New Roman" w:hAnsi="Calibri" w:cs="Calibri"/>
                <w:b/>
                <w:bCs/>
                <w:color w:val="auto"/>
                <w:lang w:eastAsia="en-GB"/>
              </w:rPr>
            </w:pPr>
          </w:p>
        </w:tc>
      </w:tr>
      <w:tr w:rsidR="000A2C57" w:rsidRPr="00845419" w14:paraId="3D124A84"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06DE6ED5" w14:textId="2C37467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w:t>
            </w:r>
          </w:p>
        </w:tc>
        <w:tc>
          <w:tcPr>
            <w:tcW w:w="3175" w:type="pct"/>
            <w:tcBorders>
              <w:top w:val="nil"/>
              <w:left w:val="nil"/>
              <w:bottom w:val="single" w:sz="4" w:space="0" w:color="auto"/>
              <w:right w:val="single" w:sz="4" w:space="0" w:color="auto"/>
            </w:tcBorders>
            <w:shd w:val="clear" w:color="auto" w:fill="auto"/>
            <w:hideMark/>
          </w:tcPr>
          <w:p w14:paraId="1E4EA617" w14:textId="512C8CF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MeSH descriptor: [Anal Canal] this term only and with qualifier(s): [injuries - IN]</w:t>
            </w:r>
          </w:p>
        </w:tc>
        <w:tc>
          <w:tcPr>
            <w:tcW w:w="515" w:type="pct"/>
            <w:tcBorders>
              <w:top w:val="nil"/>
              <w:left w:val="nil"/>
              <w:bottom w:val="single" w:sz="4" w:space="0" w:color="auto"/>
              <w:right w:val="single" w:sz="4" w:space="0" w:color="auto"/>
            </w:tcBorders>
            <w:shd w:val="clear" w:color="auto" w:fill="auto"/>
            <w:hideMark/>
          </w:tcPr>
          <w:p w14:paraId="4A46897C" w14:textId="0705082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64</w:t>
            </w:r>
          </w:p>
        </w:tc>
        <w:tc>
          <w:tcPr>
            <w:tcW w:w="646" w:type="pct"/>
            <w:tcBorders>
              <w:top w:val="nil"/>
              <w:left w:val="nil"/>
              <w:bottom w:val="single" w:sz="4" w:space="0" w:color="auto"/>
              <w:right w:val="single" w:sz="4" w:space="0" w:color="auto"/>
            </w:tcBorders>
            <w:shd w:val="clear" w:color="auto" w:fill="FFFF00"/>
            <w:vAlign w:val="bottom"/>
            <w:hideMark/>
          </w:tcPr>
          <w:p w14:paraId="0F153EAE" w14:textId="46507EB1" w:rsidR="000A2C57" w:rsidRPr="00845419" w:rsidRDefault="000A2C57" w:rsidP="000A2C57">
            <w:pPr>
              <w:spacing w:beforeLines="0" w:before="0" w:afterLines="0" w:after="0" w:line="240" w:lineRule="auto"/>
              <w:contextualSpacing w:val="0"/>
              <w:rPr>
                <w:rFonts w:ascii="Calibri" w:eastAsia="Times New Roman" w:hAnsi="Calibri" w:cs="Calibri"/>
                <w:b/>
                <w:bCs/>
                <w:color w:val="auto"/>
                <w:lang w:eastAsia="en-GB"/>
              </w:rPr>
            </w:pPr>
            <w:r w:rsidRPr="00845419">
              <w:rPr>
                <w:rFonts w:ascii="Calibri" w:eastAsia="Times New Roman" w:hAnsi="Calibri" w:cs="Calibri"/>
                <w:b/>
                <w:bCs/>
                <w:color w:val="auto"/>
                <w:lang w:eastAsia="en-GB"/>
              </w:rPr>
              <w:t>CENTRAL:</w:t>
            </w:r>
            <w:r>
              <w:rPr>
                <w:rFonts w:ascii="Calibri" w:eastAsia="Times New Roman" w:hAnsi="Calibri" w:cs="Calibri"/>
                <w:b/>
                <w:bCs/>
                <w:color w:val="auto"/>
                <w:lang w:eastAsia="en-GB"/>
              </w:rPr>
              <w:t>25</w:t>
            </w:r>
            <w:r>
              <w:rPr>
                <w:rFonts w:ascii="Calibri" w:eastAsia="Times New Roman" w:hAnsi="Calibri" w:cs="Calibri"/>
                <w:b/>
                <w:bCs/>
                <w:color w:val="auto"/>
                <w:lang w:eastAsia="en-GB"/>
              </w:rPr>
              <w:br/>
            </w:r>
            <w:r w:rsidRPr="00845419">
              <w:rPr>
                <w:rFonts w:ascii="Calibri" w:eastAsia="Times New Roman" w:hAnsi="Calibri" w:cs="Calibri"/>
                <w:b/>
                <w:bCs/>
                <w:color w:val="auto"/>
                <w:lang w:eastAsia="en-GB"/>
              </w:rPr>
              <w:t xml:space="preserve">CDSR: </w:t>
            </w:r>
            <w:r>
              <w:rPr>
                <w:rFonts w:ascii="Calibri" w:eastAsia="Times New Roman" w:hAnsi="Calibri" w:cs="Calibri"/>
                <w:b/>
                <w:bCs/>
                <w:color w:val="auto"/>
                <w:lang w:eastAsia="en-GB"/>
              </w:rPr>
              <w:t>0</w:t>
            </w:r>
          </w:p>
        </w:tc>
      </w:tr>
      <w:tr w:rsidR="000A2C57" w:rsidRPr="00845419" w14:paraId="771B17F3"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01C1715D" w14:textId="10C4E7C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w:t>
            </w:r>
          </w:p>
        </w:tc>
        <w:tc>
          <w:tcPr>
            <w:tcW w:w="3175" w:type="pct"/>
            <w:tcBorders>
              <w:top w:val="nil"/>
              <w:left w:val="nil"/>
              <w:bottom w:val="single" w:sz="4" w:space="0" w:color="auto"/>
              <w:right w:val="single" w:sz="4" w:space="0" w:color="auto"/>
            </w:tcBorders>
            <w:shd w:val="clear" w:color="auto" w:fill="auto"/>
            <w:hideMark/>
          </w:tcPr>
          <w:p w14:paraId="7526B43B" w14:textId="072C099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MeSH descriptor: [Perineum] this term only and with qualifier(s): [injuries - IN]</w:t>
            </w:r>
          </w:p>
        </w:tc>
        <w:tc>
          <w:tcPr>
            <w:tcW w:w="515" w:type="pct"/>
            <w:tcBorders>
              <w:top w:val="nil"/>
              <w:left w:val="nil"/>
              <w:bottom w:val="single" w:sz="4" w:space="0" w:color="auto"/>
              <w:right w:val="single" w:sz="4" w:space="0" w:color="auto"/>
            </w:tcBorders>
            <w:shd w:val="clear" w:color="auto" w:fill="auto"/>
            <w:hideMark/>
          </w:tcPr>
          <w:p w14:paraId="68DD2528" w14:textId="303DB75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225</w:t>
            </w:r>
          </w:p>
        </w:tc>
        <w:tc>
          <w:tcPr>
            <w:tcW w:w="646" w:type="pct"/>
            <w:tcBorders>
              <w:top w:val="nil"/>
              <w:left w:val="nil"/>
              <w:bottom w:val="single" w:sz="4" w:space="0" w:color="auto"/>
              <w:right w:val="single" w:sz="4" w:space="0" w:color="auto"/>
            </w:tcBorders>
            <w:shd w:val="clear" w:color="auto" w:fill="auto"/>
            <w:vAlign w:val="bottom"/>
            <w:hideMark/>
          </w:tcPr>
          <w:p w14:paraId="06E76BB1"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4CD3394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572BD63" w14:textId="6FD3DD3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#3</w:t>
            </w:r>
          </w:p>
        </w:tc>
        <w:tc>
          <w:tcPr>
            <w:tcW w:w="3175" w:type="pct"/>
            <w:tcBorders>
              <w:top w:val="nil"/>
              <w:left w:val="nil"/>
              <w:bottom w:val="single" w:sz="4" w:space="0" w:color="auto"/>
              <w:right w:val="single" w:sz="4" w:space="0" w:color="auto"/>
            </w:tcBorders>
            <w:shd w:val="clear" w:color="auto" w:fill="auto"/>
            <w:hideMark/>
          </w:tcPr>
          <w:p w14:paraId="7DD85F65" w14:textId="62424D4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(((anal or anorectal* or ani) NEAR/3 sphincter*)):ti,ab,kw</w:t>
            </w:r>
          </w:p>
        </w:tc>
        <w:tc>
          <w:tcPr>
            <w:tcW w:w="515" w:type="pct"/>
            <w:tcBorders>
              <w:top w:val="nil"/>
              <w:left w:val="nil"/>
              <w:bottom w:val="single" w:sz="4" w:space="0" w:color="auto"/>
              <w:right w:val="single" w:sz="4" w:space="0" w:color="auto"/>
            </w:tcBorders>
            <w:shd w:val="clear" w:color="auto" w:fill="auto"/>
            <w:hideMark/>
          </w:tcPr>
          <w:p w14:paraId="70D09D20" w14:textId="285A8DB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1044</w:t>
            </w:r>
          </w:p>
        </w:tc>
        <w:tc>
          <w:tcPr>
            <w:tcW w:w="646" w:type="pct"/>
            <w:tcBorders>
              <w:top w:val="nil"/>
              <w:left w:val="nil"/>
              <w:bottom w:val="single" w:sz="4" w:space="0" w:color="auto"/>
              <w:right w:val="single" w:sz="4" w:space="0" w:color="auto"/>
            </w:tcBorders>
            <w:shd w:val="clear" w:color="auto" w:fill="auto"/>
            <w:vAlign w:val="bottom"/>
            <w:hideMark/>
          </w:tcPr>
          <w:p w14:paraId="0E28C326"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0E252F6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5E496D00" w14:textId="42DCBD4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#4</w:t>
            </w:r>
          </w:p>
        </w:tc>
        <w:tc>
          <w:tcPr>
            <w:tcW w:w="3175" w:type="pct"/>
            <w:tcBorders>
              <w:top w:val="nil"/>
              <w:left w:val="nil"/>
              <w:bottom w:val="single" w:sz="4" w:space="0" w:color="auto"/>
              <w:right w:val="single" w:sz="4" w:space="0" w:color="auto"/>
            </w:tcBorders>
            <w:shd w:val="clear" w:color="auto" w:fill="auto"/>
            <w:hideMark/>
          </w:tcPr>
          <w:p w14:paraId="41E77DC7" w14:textId="1122393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((trauma* or injur* or tear* or rupture* or damage*)):ti,ab,kw</w:t>
            </w:r>
          </w:p>
        </w:tc>
        <w:tc>
          <w:tcPr>
            <w:tcW w:w="515" w:type="pct"/>
            <w:tcBorders>
              <w:top w:val="nil"/>
              <w:left w:val="nil"/>
              <w:bottom w:val="single" w:sz="4" w:space="0" w:color="auto"/>
              <w:right w:val="single" w:sz="4" w:space="0" w:color="auto"/>
            </w:tcBorders>
            <w:shd w:val="clear" w:color="auto" w:fill="auto"/>
            <w:hideMark/>
          </w:tcPr>
          <w:p w14:paraId="68D120E5" w14:textId="56E2100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136715</w:t>
            </w:r>
          </w:p>
        </w:tc>
        <w:tc>
          <w:tcPr>
            <w:tcW w:w="646" w:type="pct"/>
            <w:tcBorders>
              <w:top w:val="nil"/>
              <w:left w:val="nil"/>
              <w:bottom w:val="single" w:sz="4" w:space="0" w:color="auto"/>
              <w:right w:val="single" w:sz="4" w:space="0" w:color="auto"/>
            </w:tcBorders>
            <w:shd w:val="clear" w:color="auto" w:fill="auto"/>
            <w:vAlign w:val="bottom"/>
            <w:hideMark/>
          </w:tcPr>
          <w:p w14:paraId="39E7D6B8"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0439742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3986519" w14:textId="1376F04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#5</w:t>
            </w:r>
          </w:p>
        </w:tc>
        <w:tc>
          <w:tcPr>
            <w:tcW w:w="3175" w:type="pct"/>
            <w:tcBorders>
              <w:top w:val="nil"/>
              <w:left w:val="nil"/>
              <w:bottom w:val="single" w:sz="4" w:space="0" w:color="auto"/>
              <w:right w:val="single" w:sz="4" w:space="0" w:color="auto"/>
            </w:tcBorders>
            <w:shd w:val="clear" w:color="auto" w:fill="auto"/>
            <w:hideMark/>
          </w:tcPr>
          <w:p w14:paraId="486B5263" w14:textId="7657C76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#3 and #4</w:t>
            </w:r>
          </w:p>
        </w:tc>
        <w:tc>
          <w:tcPr>
            <w:tcW w:w="515" w:type="pct"/>
            <w:tcBorders>
              <w:top w:val="nil"/>
              <w:left w:val="nil"/>
              <w:bottom w:val="single" w:sz="4" w:space="0" w:color="auto"/>
              <w:right w:val="single" w:sz="4" w:space="0" w:color="auto"/>
            </w:tcBorders>
            <w:shd w:val="clear" w:color="auto" w:fill="auto"/>
            <w:hideMark/>
          </w:tcPr>
          <w:p w14:paraId="584485CB" w14:textId="5C2B75B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318</w:t>
            </w:r>
          </w:p>
        </w:tc>
        <w:tc>
          <w:tcPr>
            <w:tcW w:w="646" w:type="pct"/>
            <w:tcBorders>
              <w:top w:val="nil"/>
              <w:left w:val="nil"/>
              <w:bottom w:val="single" w:sz="4" w:space="0" w:color="auto"/>
              <w:right w:val="single" w:sz="4" w:space="0" w:color="auto"/>
            </w:tcBorders>
            <w:shd w:val="clear" w:color="auto" w:fill="auto"/>
            <w:vAlign w:val="bottom"/>
            <w:hideMark/>
          </w:tcPr>
          <w:p w14:paraId="57CD90D1"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07F0D101"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2B28AD11" w14:textId="33CEED3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#6</w:t>
            </w:r>
          </w:p>
        </w:tc>
        <w:tc>
          <w:tcPr>
            <w:tcW w:w="3175" w:type="pct"/>
            <w:tcBorders>
              <w:top w:val="nil"/>
              <w:left w:val="nil"/>
              <w:bottom w:val="single" w:sz="4" w:space="0" w:color="auto"/>
              <w:right w:val="single" w:sz="4" w:space="0" w:color="auto"/>
            </w:tcBorders>
            <w:shd w:val="clear" w:color="auto" w:fill="auto"/>
            <w:hideMark/>
          </w:tcPr>
          <w:p w14:paraId="52843CEA" w14:textId="012B47B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(((third degree or 3rd degree or fourth degree or 4th degree or perineal or perineum) NEAR/3 (tear* or trauma* or damage* or injur* or lacerat* or rupture*))):ti,ab,kw</w:t>
            </w:r>
          </w:p>
        </w:tc>
        <w:tc>
          <w:tcPr>
            <w:tcW w:w="515" w:type="pct"/>
            <w:tcBorders>
              <w:top w:val="nil"/>
              <w:left w:val="nil"/>
              <w:bottom w:val="single" w:sz="4" w:space="0" w:color="auto"/>
              <w:right w:val="single" w:sz="4" w:space="0" w:color="auto"/>
            </w:tcBorders>
            <w:shd w:val="clear" w:color="auto" w:fill="auto"/>
            <w:hideMark/>
          </w:tcPr>
          <w:p w14:paraId="3621D1BF" w14:textId="7138AAA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1745</w:t>
            </w:r>
          </w:p>
        </w:tc>
        <w:tc>
          <w:tcPr>
            <w:tcW w:w="646" w:type="pct"/>
            <w:tcBorders>
              <w:top w:val="nil"/>
              <w:left w:val="nil"/>
              <w:bottom w:val="single" w:sz="4" w:space="0" w:color="auto"/>
              <w:right w:val="single" w:sz="4" w:space="0" w:color="auto"/>
            </w:tcBorders>
            <w:shd w:val="clear" w:color="auto" w:fill="auto"/>
            <w:vAlign w:val="bottom"/>
            <w:hideMark/>
          </w:tcPr>
          <w:p w14:paraId="4A786613"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229CA39A"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C8ECEA2" w14:textId="4AAC192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#7</w:t>
            </w:r>
          </w:p>
        </w:tc>
        <w:tc>
          <w:tcPr>
            <w:tcW w:w="3175" w:type="pct"/>
            <w:tcBorders>
              <w:top w:val="nil"/>
              <w:left w:val="nil"/>
              <w:bottom w:val="single" w:sz="4" w:space="0" w:color="auto"/>
              <w:right w:val="single" w:sz="4" w:space="0" w:color="auto"/>
            </w:tcBorders>
            <w:shd w:val="clear" w:color="auto" w:fill="auto"/>
            <w:hideMark/>
          </w:tcPr>
          <w:p w14:paraId="4D99EA54" w14:textId="235911B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 or #2 or #5 or #6</w:t>
            </w:r>
          </w:p>
        </w:tc>
        <w:tc>
          <w:tcPr>
            <w:tcW w:w="515" w:type="pct"/>
            <w:tcBorders>
              <w:top w:val="nil"/>
              <w:left w:val="nil"/>
              <w:bottom w:val="single" w:sz="4" w:space="0" w:color="auto"/>
              <w:right w:val="single" w:sz="4" w:space="0" w:color="auto"/>
            </w:tcBorders>
            <w:shd w:val="clear" w:color="auto" w:fill="auto"/>
            <w:hideMark/>
          </w:tcPr>
          <w:p w14:paraId="24BF6B50" w14:textId="48ADA2F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1953</w:t>
            </w:r>
          </w:p>
        </w:tc>
        <w:tc>
          <w:tcPr>
            <w:tcW w:w="646" w:type="pct"/>
            <w:tcBorders>
              <w:top w:val="nil"/>
              <w:left w:val="nil"/>
              <w:bottom w:val="single" w:sz="4" w:space="0" w:color="auto"/>
              <w:right w:val="single" w:sz="4" w:space="0" w:color="auto"/>
            </w:tcBorders>
            <w:shd w:val="clear" w:color="auto" w:fill="auto"/>
            <w:hideMark/>
          </w:tcPr>
          <w:p w14:paraId="5E84AAE3"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10F38EFE"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E3D1C51" w14:textId="58D527B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#8</w:t>
            </w:r>
          </w:p>
        </w:tc>
        <w:tc>
          <w:tcPr>
            <w:tcW w:w="3175" w:type="pct"/>
            <w:tcBorders>
              <w:top w:val="nil"/>
              <w:left w:val="nil"/>
              <w:bottom w:val="single" w:sz="4" w:space="0" w:color="auto"/>
              <w:right w:val="single" w:sz="4" w:space="0" w:color="auto"/>
            </w:tcBorders>
            <w:shd w:val="clear" w:color="auto" w:fill="auto"/>
            <w:hideMark/>
          </w:tcPr>
          <w:p w14:paraId="3974334E" w14:textId="04FDAA5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((obstetric* or labor or labour or birth or childbirth or delivery)):ti,ab,kw</w:t>
            </w:r>
          </w:p>
        </w:tc>
        <w:tc>
          <w:tcPr>
            <w:tcW w:w="515" w:type="pct"/>
            <w:tcBorders>
              <w:top w:val="nil"/>
              <w:left w:val="nil"/>
              <w:bottom w:val="single" w:sz="4" w:space="0" w:color="auto"/>
              <w:right w:val="single" w:sz="4" w:space="0" w:color="auto"/>
            </w:tcBorders>
            <w:shd w:val="clear" w:color="auto" w:fill="auto"/>
            <w:hideMark/>
          </w:tcPr>
          <w:p w14:paraId="39E1161F" w14:textId="2B0A431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108913</w:t>
            </w:r>
          </w:p>
        </w:tc>
        <w:tc>
          <w:tcPr>
            <w:tcW w:w="646" w:type="pct"/>
            <w:tcBorders>
              <w:top w:val="nil"/>
              <w:left w:val="nil"/>
              <w:bottom w:val="single" w:sz="4" w:space="0" w:color="auto"/>
              <w:right w:val="single" w:sz="4" w:space="0" w:color="auto"/>
            </w:tcBorders>
            <w:shd w:val="clear" w:color="auto" w:fill="auto"/>
            <w:hideMark/>
          </w:tcPr>
          <w:p w14:paraId="0B1A747D"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333E0E19"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6AC166DC" w14:textId="0FDFA73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#9</w:t>
            </w:r>
          </w:p>
        </w:tc>
        <w:tc>
          <w:tcPr>
            <w:tcW w:w="3175" w:type="pct"/>
            <w:tcBorders>
              <w:top w:val="nil"/>
              <w:left w:val="nil"/>
              <w:bottom w:val="single" w:sz="4" w:space="0" w:color="auto"/>
              <w:right w:val="single" w:sz="4" w:space="0" w:color="auto"/>
            </w:tcBorders>
            <w:shd w:val="clear" w:color="auto" w:fill="auto"/>
            <w:hideMark/>
          </w:tcPr>
          <w:p w14:paraId="1893F5CB" w14:textId="380F4C9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MeSH descriptor: [Delivery, Obstetric] this term only and with qualifier(s): [adverse effects - AE]</w:t>
            </w:r>
          </w:p>
        </w:tc>
        <w:tc>
          <w:tcPr>
            <w:tcW w:w="515" w:type="pct"/>
            <w:tcBorders>
              <w:top w:val="nil"/>
              <w:left w:val="nil"/>
              <w:bottom w:val="single" w:sz="4" w:space="0" w:color="auto"/>
              <w:right w:val="single" w:sz="4" w:space="0" w:color="auto"/>
            </w:tcBorders>
            <w:shd w:val="clear" w:color="auto" w:fill="auto"/>
            <w:hideMark/>
          </w:tcPr>
          <w:p w14:paraId="7F49277D" w14:textId="37E7A5A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184</w:t>
            </w:r>
          </w:p>
        </w:tc>
        <w:tc>
          <w:tcPr>
            <w:tcW w:w="646" w:type="pct"/>
            <w:tcBorders>
              <w:top w:val="nil"/>
              <w:left w:val="nil"/>
              <w:bottom w:val="single" w:sz="4" w:space="0" w:color="auto"/>
              <w:right w:val="single" w:sz="4" w:space="0" w:color="auto"/>
            </w:tcBorders>
            <w:shd w:val="clear" w:color="auto" w:fill="auto"/>
            <w:hideMark/>
          </w:tcPr>
          <w:p w14:paraId="347CCFD6"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40FE9B6C"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EAFA840" w14:textId="2C7B1A1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w:t>
            </w:r>
          </w:p>
        </w:tc>
        <w:tc>
          <w:tcPr>
            <w:tcW w:w="3175" w:type="pct"/>
            <w:tcBorders>
              <w:top w:val="nil"/>
              <w:left w:val="nil"/>
              <w:bottom w:val="single" w:sz="4" w:space="0" w:color="auto"/>
              <w:right w:val="single" w:sz="4" w:space="0" w:color="auto"/>
            </w:tcBorders>
            <w:shd w:val="clear" w:color="auto" w:fill="auto"/>
            <w:hideMark/>
          </w:tcPr>
          <w:p w14:paraId="63D690EA" w14:textId="2B0B7FD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MeSH descriptor: [Obstetric Labor Complications] this term only</w:t>
            </w:r>
          </w:p>
        </w:tc>
        <w:tc>
          <w:tcPr>
            <w:tcW w:w="515" w:type="pct"/>
            <w:tcBorders>
              <w:top w:val="nil"/>
              <w:left w:val="nil"/>
              <w:bottom w:val="single" w:sz="4" w:space="0" w:color="auto"/>
              <w:right w:val="single" w:sz="4" w:space="0" w:color="auto"/>
            </w:tcBorders>
            <w:shd w:val="clear" w:color="auto" w:fill="auto"/>
            <w:hideMark/>
          </w:tcPr>
          <w:p w14:paraId="39824FFA" w14:textId="37BCF89C"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653</w:t>
            </w:r>
          </w:p>
        </w:tc>
        <w:tc>
          <w:tcPr>
            <w:tcW w:w="646" w:type="pct"/>
            <w:tcBorders>
              <w:top w:val="nil"/>
              <w:left w:val="nil"/>
              <w:bottom w:val="single" w:sz="4" w:space="0" w:color="auto"/>
              <w:right w:val="single" w:sz="4" w:space="0" w:color="auto"/>
            </w:tcBorders>
            <w:shd w:val="clear" w:color="auto" w:fill="auto"/>
            <w:hideMark/>
          </w:tcPr>
          <w:p w14:paraId="57430408"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21FEECD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29D4306" w14:textId="240C17E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#11</w:t>
            </w:r>
          </w:p>
        </w:tc>
        <w:tc>
          <w:tcPr>
            <w:tcW w:w="3175" w:type="pct"/>
            <w:tcBorders>
              <w:top w:val="nil"/>
              <w:left w:val="nil"/>
              <w:bottom w:val="single" w:sz="4" w:space="0" w:color="auto"/>
              <w:right w:val="single" w:sz="4" w:space="0" w:color="auto"/>
            </w:tcBorders>
            <w:shd w:val="clear" w:color="auto" w:fill="auto"/>
            <w:hideMark/>
          </w:tcPr>
          <w:p w14:paraId="6620E6EA" w14:textId="6B37A66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MeSH descriptor: [Postpartum Period] this term only</w:t>
            </w:r>
          </w:p>
        </w:tc>
        <w:tc>
          <w:tcPr>
            <w:tcW w:w="515" w:type="pct"/>
            <w:tcBorders>
              <w:top w:val="nil"/>
              <w:left w:val="nil"/>
              <w:bottom w:val="single" w:sz="4" w:space="0" w:color="auto"/>
              <w:right w:val="single" w:sz="4" w:space="0" w:color="auto"/>
            </w:tcBorders>
            <w:shd w:val="clear" w:color="auto" w:fill="auto"/>
            <w:hideMark/>
          </w:tcPr>
          <w:p w14:paraId="17477F85" w14:textId="3198755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2061</w:t>
            </w:r>
          </w:p>
        </w:tc>
        <w:tc>
          <w:tcPr>
            <w:tcW w:w="646" w:type="pct"/>
            <w:tcBorders>
              <w:top w:val="nil"/>
              <w:left w:val="nil"/>
              <w:bottom w:val="single" w:sz="4" w:space="0" w:color="auto"/>
              <w:right w:val="single" w:sz="4" w:space="0" w:color="auto"/>
            </w:tcBorders>
            <w:shd w:val="clear" w:color="auto" w:fill="auto"/>
            <w:hideMark/>
          </w:tcPr>
          <w:p w14:paraId="2CF3DA00"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30ED9BC8"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4BCFFE51" w14:textId="43D1434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#12</w:t>
            </w:r>
          </w:p>
        </w:tc>
        <w:tc>
          <w:tcPr>
            <w:tcW w:w="3175" w:type="pct"/>
            <w:tcBorders>
              <w:top w:val="nil"/>
              <w:left w:val="nil"/>
              <w:bottom w:val="single" w:sz="4" w:space="0" w:color="auto"/>
              <w:right w:val="single" w:sz="4" w:space="0" w:color="auto"/>
            </w:tcBorders>
            <w:shd w:val="clear" w:color="auto" w:fill="auto"/>
            <w:hideMark/>
          </w:tcPr>
          <w:p w14:paraId="055C54F4" w14:textId="3AE639E3"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{OR #8-#11}</w:t>
            </w:r>
          </w:p>
        </w:tc>
        <w:tc>
          <w:tcPr>
            <w:tcW w:w="515" w:type="pct"/>
            <w:tcBorders>
              <w:top w:val="nil"/>
              <w:left w:val="nil"/>
              <w:bottom w:val="single" w:sz="4" w:space="0" w:color="auto"/>
              <w:right w:val="single" w:sz="4" w:space="0" w:color="auto"/>
            </w:tcBorders>
            <w:shd w:val="clear" w:color="auto" w:fill="auto"/>
            <w:hideMark/>
          </w:tcPr>
          <w:p w14:paraId="4233BADB" w14:textId="2FBF73E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109802</w:t>
            </w:r>
          </w:p>
        </w:tc>
        <w:tc>
          <w:tcPr>
            <w:tcW w:w="646" w:type="pct"/>
            <w:tcBorders>
              <w:top w:val="nil"/>
              <w:left w:val="nil"/>
              <w:bottom w:val="single" w:sz="4" w:space="0" w:color="auto"/>
              <w:right w:val="single" w:sz="4" w:space="0" w:color="auto"/>
            </w:tcBorders>
            <w:shd w:val="clear" w:color="auto" w:fill="auto"/>
            <w:hideMark/>
          </w:tcPr>
          <w:p w14:paraId="55942F76"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3A1A4A7A"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67E204C" w14:textId="4E891D2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#13</w:t>
            </w:r>
          </w:p>
        </w:tc>
        <w:tc>
          <w:tcPr>
            <w:tcW w:w="3175" w:type="pct"/>
            <w:tcBorders>
              <w:top w:val="nil"/>
              <w:left w:val="nil"/>
              <w:bottom w:val="single" w:sz="4" w:space="0" w:color="auto"/>
              <w:right w:val="single" w:sz="4" w:space="0" w:color="auto"/>
            </w:tcBorders>
            <w:shd w:val="clear" w:color="auto" w:fill="auto"/>
            <w:hideMark/>
          </w:tcPr>
          <w:p w14:paraId="4FA9D8E1" w14:textId="5EED35F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#7 and #12</w:t>
            </w:r>
          </w:p>
        </w:tc>
        <w:tc>
          <w:tcPr>
            <w:tcW w:w="515" w:type="pct"/>
            <w:tcBorders>
              <w:top w:val="nil"/>
              <w:left w:val="nil"/>
              <w:bottom w:val="single" w:sz="4" w:space="0" w:color="auto"/>
              <w:right w:val="single" w:sz="4" w:space="0" w:color="auto"/>
            </w:tcBorders>
            <w:shd w:val="clear" w:color="auto" w:fill="auto"/>
            <w:hideMark/>
          </w:tcPr>
          <w:p w14:paraId="41F1FE57" w14:textId="17424F2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1084</w:t>
            </w:r>
          </w:p>
        </w:tc>
        <w:tc>
          <w:tcPr>
            <w:tcW w:w="646" w:type="pct"/>
            <w:tcBorders>
              <w:top w:val="nil"/>
              <w:left w:val="nil"/>
              <w:bottom w:val="single" w:sz="4" w:space="0" w:color="auto"/>
              <w:right w:val="single" w:sz="4" w:space="0" w:color="auto"/>
            </w:tcBorders>
            <w:shd w:val="clear" w:color="auto" w:fill="auto"/>
            <w:hideMark/>
          </w:tcPr>
          <w:p w14:paraId="7BB717D5"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7D312772"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1DA80D27" w14:textId="4EA1137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#14</w:t>
            </w:r>
          </w:p>
        </w:tc>
        <w:tc>
          <w:tcPr>
            <w:tcW w:w="3175" w:type="pct"/>
            <w:tcBorders>
              <w:top w:val="nil"/>
              <w:left w:val="nil"/>
              <w:bottom w:val="single" w:sz="4" w:space="0" w:color="auto"/>
              <w:right w:val="single" w:sz="4" w:space="0" w:color="auto"/>
            </w:tcBorders>
            <w:shd w:val="clear" w:color="auto" w:fill="auto"/>
            <w:hideMark/>
          </w:tcPr>
          <w:p w14:paraId="530D5B0C" w14:textId="4B42D13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((obstetric* NEXT "anal sphincter" NEXT injur*) or (obstetric* NEXT anal NEXT injur*) or OASI):ti,ab,kw</w:t>
            </w:r>
          </w:p>
        </w:tc>
        <w:tc>
          <w:tcPr>
            <w:tcW w:w="515" w:type="pct"/>
            <w:tcBorders>
              <w:top w:val="nil"/>
              <w:left w:val="nil"/>
              <w:bottom w:val="single" w:sz="4" w:space="0" w:color="auto"/>
              <w:right w:val="single" w:sz="4" w:space="0" w:color="auto"/>
            </w:tcBorders>
            <w:shd w:val="clear" w:color="auto" w:fill="auto"/>
            <w:hideMark/>
          </w:tcPr>
          <w:p w14:paraId="426AB8F2" w14:textId="1AD5B9B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110</w:t>
            </w:r>
          </w:p>
        </w:tc>
        <w:tc>
          <w:tcPr>
            <w:tcW w:w="646" w:type="pct"/>
            <w:tcBorders>
              <w:top w:val="nil"/>
              <w:left w:val="nil"/>
              <w:bottom w:val="single" w:sz="4" w:space="0" w:color="auto"/>
              <w:right w:val="single" w:sz="4" w:space="0" w:color="auto"/>
            </w:tcBorders>
            <w:shd w:val="clear" w:color="auto" w:fill="auto"/>
            <w:hideMark/>
          </w:tcPr>
          <w:p w14:paraId="1345F0BC"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2EC42E3A"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1C347BC" w14:textId="33EF0D2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#15</w:t>
            </w:r>
          </w:p>
        </w:tc>
        <w:tc>
          <w:tcPr>
            <w:tcW w:w="3175" w:type="pct"/>
            <w:tcBorders>
              <w:top w:val="nil"/>
              <w:left w:val="nil"/>
              <w:bottom w:val="single" w:sz="4" w:space="0" w:color="auto"/>
              <w:right w:val="single" w:sz="4" w:space="0" w:color="auto"/>
            </w:tcBorders>
            <w:shd w:val="clear" w:color="auto" w:fill="auto"/>
            <w:hideMark/>
          </w:tcPr>
          <w:p w14:paraId="1BA3D2F0" w14:textId="2316F5E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#13 or #14</w:t>
            </w:r>
          </w:p>
        </w:tc>
        <w:tc>
          <w:tcPr>
            <w:tcW w:w="515" w:type="pct"/>
            <w:tcBorders>
              <w:top w:val="nil"/>
              <w:left w:val="nil"/>
              <w:bottom w:val="single" w:sz="4" w:space="0" w:color="auto"/>
              <w:right w:val="single" w:sz="4" w:space="0" w:color="auto"/>
            </w:tcBorders>
            <w:shd w:val="clear" w:color="auto" w:fill="auto"/>
            <w:hideMark/>
          </w:tcPr>
          <w:p w14:paraId="76DFFA48" w14:textId="7AD8A56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1091</w:t>
            </w:r>
          </w:p>
        </w:tc>
        <w:tc>
          <w:tcPr>
            <w:tcW w:w="646" w:type="pct"/>
            <w:tcBorders>
              <w:top w:val="nil"/>
              <w:left w:val="nil"/>
              <w:bottom w:val="single" w:sz="4" w:space="0" w:color="auto"/>
              <w:right w:val="single" w:sz="4" w:space="0" w:color="auto"/>
            </w:tcBorders>
            <w:shd w:val="clear" w:color="auto" w:fill="auto"/>
            <w:hideMark/>
          </w:tcPr>
          <w:p w14:paraId="099185BC"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0BCDB87F"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72E3200" w14:textId="27F5898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#16</w:t>
            </w:r>
          </w:p>
        </w:tc>
        <w:tc>
          <w:tcPr>
            <w:tcW w:w="3175" w:type="pct"/>
            <w:tcBorders>
              <w:top w:val="nil"/>
              <w:left w:val="nil"/>
              <w:bottom w:val="single" w:sz="4" w:space="0" w:color="auto"/>
              <w:right w:val="single" w:sz="4" w:space="0" w:color="auto"/>
            </w:tcBorders>
            <w:shd w:val="clear" w:color="auto" w:fill="auto"/>
            <w:hideMark/>
          </w:tcPr>
          <w:p w14:paraId="0240F60E" w14:textId="45B7F5F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([mh ^Dyspareunia] or [mh ^Vaginismus] or [mh ^Vulvodynia])</w:t>
            </w:r>
          </w:p>
        </w:tc>
        <w:tc>
          <w:tcPr>
            <w:tcW w:w="515" w:type="pct"/>
            <w:tcBorders>
              <w:top w:val="nil"/>
              <w:left w:val="nil"/>
              <w:bottom w:val="single" w:sz="4" w:space="0" w:color="auto"/>
              <w:right w:val="single" w:sz="4" w:space="0" w:color="auto"/>
            </w:tcBorders>
            <w:shd w:val="clear" w:color="auto" w:fill="auto"/>
            <w:hideMark/>
          </w:tcPr>
          <w:p w14:paraId="112C3894" w14:textId="18758AC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432</w:t>
            </w:r>
          </w:p>
        </w:tc>
        <w:tc>
          <w:tcPr>
            <w:tcW w:w="646" w:type="pct"/>
            <w:tcBorders>
              <w:top w:val="nil"/>
              <w:left w:val="nil"/>
              <w:bottom w:val="single" w:sz="4" w:space="0" w:color="auto"/>
              <w:right w:val="single" w:sz="4" w:space="0" w:color="auto"/>
            </w:tcBorders>
            <w:shd w:val="clear" w:color="auto" w:fill="auto"/>
            <w:hideMark/>
          </w:tcPr>
          <w:p w14:paraId="68832FCD"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510E1202" w14:textId="77777777" w:rsidTr="000A2C57">
        <w:trPr>
          <w:trHeight w:val="620"/>
        </w:trPr>
        <w:tc>
          <w:tcPr>
            <w:tcW w:w="663" w:type="pct"/>
            <w:tcBorders>
              <w:top w:val="nil"/>
              <w:left w:val="single" w:sz="4" w:space="0" w:color="auto"/>
              <w:bottom w:val="single" w:sz="4" w:space="0" w:color="auto"/>
              <w:right w:val="single" w:sz="4" w:space="0" w:color="auto"/>
            </w:tcBorders>
            <w:shd w:val="clear" w:color="auto" w:fill="auto"/>
            <w:hideMark/>
          </w:tcPr>
          <w:p w14:paraId="6E2B9EA0" w14:textId="4B8E9E0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#17</w:t>
            </w:r>
          </w:p>
        </w:tc>
        <w:tc>
          <w:tcPr>
            <w:tcW w:w="3175" w:type="pct"/>
            <w:tcBorders>
              <w:top w:val="nil"/>
              <w:left w:val="nil"/>
              <w:bottom w:val="single" w:sz="4" w:space="0" w:color="auto"/>
              <w:right w:val="single" w:sz="4" w:space="0" w:color="auto"/>
            </w:tcBorders>
            <w:shd w:val="clear" w:color="auto" w:fill="auto"/>
            <w:hideMark/>
          </w:tcPr>
          <w:p w14:paraId="1A714CB3" w14:textId="21988DE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([mh ^"Sexual Dysfunction, Physiological"] or [mh ^"Sexual Dysfunctions, Psychological"])</w:t>
            </w:r>
          </w:p>
        </w:tc>
        <w:tc>
          <w:tcPr>
            <w:tcW w:w="515" w:type="pct"/>
            <w:tcBorders>
              <w:top w:val="nil"/>
              <w:left w:val="nil"/>
              <w:bottom w:val="single" w:sz="4" w:space="0" w:color="auto"/>
              <w:right w:val="single" w:sz="4" w:space="0" w:color="auto"/>
            </w:tcBorders>
            <w:shd w:val="clear" w:color="auto" w:fill="auto"/>
            <w:hideMark/>
          </w:tcPr>
          <w:p w14:paraId="07982A26" w14:textId="4DBDBBA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1067</w:t>
            </w:r>
          </w:p>
        </w:tc>
        <w:tc>
          <w:tcPr>
            <w:tcW w:w="646" w:type="pct"/>
            <w:tcBorders>
              <w:top w:val="nil"/>
              <w:left w:val="nil"/>
              <w:bottom w:val="single" w:sz="4" w:space="0" w:color="auto"/>
              <w:right w:val="single" w:sz="4" w:space="0" w:color="auto"/>
            </w:tcBorders>
            <w:shd w:val="clear" w:color="auto" w:fill="auto"/>
            <w:hideMark/>
          </w:tcPr>
          <w:p w14:paraId="7395B357"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44708E83"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3D5A4E1" w14:textId="3FDAB2D2"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#18</w:t>
            </w:r>
          </w:p>
        </w:tc>
        <w:tc>
          <w:tcPr>
            <w:tcW w:w="3175" w:type="pct"/>
            <w:tcBorders>
              <w:top w:val="nil"/>
              <w:left w:val="nil"/>
              <w:bottom w:val="single" w:sz="4" w:space="0" w:color="auto"/>
              <w:right w:val="single" w:sz="4" w:space="0" w:color="auto"/>
            </w:tcBorders>
            <w:shd w:val="clear" w:color="auto" w:fill="auto"/>
            <w:hideMark/>
          </w:tcPr>
          <w:p w14:paraId="56231085" w14:textId="7443A8F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([mh ^Coitus] or [mh ^"Sexual Behavior"])</w:t>
            </w:r>
          </w:p>
        </w:tc>
        <w:tc>
          <w:tcPr>
            <w:tcW w:w="515" w:type="pct"/>
            <w:tcBorders>
              <w:top w:val="nil"/>
              <w:left w:val="nil"/>
              <w:bottom w:val="single" w:sz="4" w:space="0" w:color="auto"/>
              <w:right w:val="single" w:sz="4" w:space="0" w:color="auto"/>
            </w:tcBorders>
            <w:shd w:val="clear" w:color="auto" w:fill="auto"/>
            <w:hideMark/>
          </w:tcPr>
          <w:p w14:paraId="1A3DB4C8" w14:textId="1DA4492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3236</w:t>
            </w:r>
          </w:p>
        </w:tc>
        <w:tc>
          <w:tcPr>
            <w:tcW w:w="646" w:type="pct"/>
            <w:tcBorders>
              <w:top w:val="nil"/>
              <w:left w:val="nil"/>
              <w:bottom w:val="single" w:sz="4" w:space="0" w:color="auto"/>
              <w:right w:val="single" w:sz="4" w:space="0" w:color="auto"/>
            </w:tcBorders>
            <w:shd w:val="clear" w:color="auto" w:fill="auto"/>
            <w:hideMark/>
          </w:tcPr>
          <w:p w14:paraId="4C4D16CD"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00560964"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2D1821D7" w14:textId="645C014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#19</w:t>
            </w:r>
          </w:p>
        </w:tc>
        <w:tc>
          <w:tcPr>
            <w:tcW w:w="3175" w:type="pct"/>
            <w:tcBorders>
              <w:top w:val="nil"/>
              <w:left w:val="nil"/>
              <w:bottom w:val="single" w:sz="4" w:space="0" w:color="auto"/>
              <w:right w:val="single" w:sz="4" w:space="0" w:color="auto"/>
            </w:tcBorders>
            <w:shd w:val="clear" w:color="auto" w:fill="auto"/>
            <w:hideMark/>
          </w:tcPr>
          <w:p w14:paraId="11D6FE50" w14:textId="0C2F00A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((dyspareunia or vaginismus or vulvodynia or ((vulva* or vagin* or pelvic or pelvis?) NEAR/3 (pain or painful or discomfort or dysfunction*)) or (painful NEXT (sex or sexual or intercourse)))):ti,ab,kw</w:t>
            </w:r>
          </w:p>
        </w:tc>
        <w:tc>
          <w:tcPr>
            <w:tcW w:w="515" w:type="pct"/>
            <w:tcBorders>
              <w:top w:val="nil"/>
              <w:left w:val="nil"/>
              <w:bottom w:val="single" w:sz="4" w:space="0" w:color="auto"/>
              <w:right w:val="single" w:sz="4" w:space="0" w:color="auto"/>
            </w:tcBorders>
            <w:shd w:val="clear" w:color="auto" w:fill="auto"/>
            <w:hideMark/>
          </w:tcPr>
          <w:p w14:paraId="7FE7084B" w14:textId="5C76BC7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5799</w:t>
            </w:r>
          </w:p>
        </w:tc>
        <w:tc>
          <w:tcPr>
            <w:tcW w:w="646" w:type="pct"/>
            <w:tcBorders>
              <w:top w:val="nil"/>
              <w:left w:val="nil"/>
              <w:bottom w:val="single" w:sz="4" w:space="0" w:color="auto"/>
              <w:right w:val="single" w:sz="4" w:space="0" w:color="auto"/>
            </w:tcBorders>
            <w:shd w:val="clear" w:color="auto" w:fill="auto"/>
            <w:hideMark/>
          </w:tcPr>
          <w:p w14:paraId="5D361F27"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65F62B4E" w14:textId="77777777" w:rsidTr="000A2C57">
        <w:trPr>
          <w:trHeight w:val="930"/>
        </w:trPr>
        <w:tc>
          <w:tcPr>
            <w:tcW w:w="663" w:type="pct"/>
            <w:tcBorders>
              <w:top w:val="nil"/>
              <w:left w:val="single" w:sz="4" w:space="0" w:color="auto"/>
              <w:bottom w:val="single" w:sz="4" w:space="0" w:color="auto"/>
              <w:right w:val="single" w:sz="4" w:space="0" w:color="auto"/>
            </w:tcBorders>
            <w:shd w:val="clear" w:color="auto" w:fill="auto"/>
            <w:hideMark/>
          </w:tcPr>
          <w:p w14:paraId="7FB2FC38" w14:textId="16B10EE5"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#20</w:t>
            </w:r>
          </w:p>
        </w:tc>
        <w:tc>
          <w:tcPr>
            <w:tcW w:w="3175" w:type="pct"/>
            <w:tcBorders>
              <w:top w:val="nil"/>
              <w:left w:val="nil"/>
              <w:bottom w:val="single" w:sz="4" w:space="0" w:color="auto"/>
              <w:right w:val="single" w:sz="4" w:space="0" w:color="auto"/>
            </w:tcBorders>
            <w:shd w:val="clear" w:color="auto" w:fill="auto"/>
            <w:hideMark/>
          </w:tcPr>
          <w:p w14:paraId="1082E7B6" w14:textId="746B72E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((sexual NEAR/3 (function* or dysfunction* or pleasure or complaint* or problem* or issue* or desire* or activit* or satisfaction or symptom* or life or experience* or "quality of life"))):ti,ab,kw</w:t>
            </w:r>
          </w:p>
        </w:tc>
        <w:tc>
          <w:tcPr>
            <w:tcW w:w="515" w:type="pct"/>
            <w:tcBorders>
              <w:top w:val="nil"/>
              <w:left w:val="nil"/>
              <w:bottom w:val="single" w:sz="4" w:space="0" w:color="auto"/>
              <w:right w:val="single" w:sz="4" w:space="0" w:color="auto"/>
            </w:tcBorders>
            <w:shd w:val="clear" w:color="auto" w:fill="auto"/>
            <w:hideMark/>
          </w:tcPr>
          <w:p w14:paraId="08FFDA42" w14:textId="588BC5A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10798</w:t>
            </w:r>
          </w:p>
        </w:tc>
        <w:tc>
          <w:tcPr>
            <w:tcW w:w="646" w:type="pct"/>
            <w:tcBorders>
              <w:top w:val="nil"/>
              <w:left w:val="nil"/>
              <w:bottom w:val="single" w:sz="4" w:space="0" w:color="auto"/>
              <w:right w:val="single" w:sz="4" w:space="0" w:color="auto"/>
            </w:tcBorders>
            <w:shd w:val="clear" w:color="auto" w:fill="auto"/>
            <w:hideMark/>
          </w:tcPr>
          <w:p w14:paraId="5A64BEBC"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3C059E7D"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FE83697" w14:textId="547A6DD6"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#21</w:t>
            </w:r>
          </w:p>
        </w:tc>
        <w:tc>
          <w:tcPr>
            <w:tcW w:w="3175" w:type="pct"/>
            <w:tcBorders>
              <w:top w:val="nil"/>
              <w:left w:val="nil"/>
              <w:bottom w:val="single" w:sz="4" w:space="0" w:color="auto"/>
              <w:right w:val="single" w:sz="4" w:space="0" w:color="auto"/>
            </w:tcBorders>
            <w:shd w:val="clear" w:color="auto" w:fill="auto"/>
            <w:hideMark/>
          </w:tcPr>
          <w:p w14:paraId="7A82FDDE" w14:textId="32AC4EBD"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((coitus or coital or sex life or intercourse or sex)):ti,ab,kw</w:t>
            </w:r>
          </w:p>
        </w:tc>
        <w:tc>
          <w:tcPr>
            <w:tcW w:w="515" w:type="pct"/>
            <w:tcBorders>
              <w:top w:val="nil"/>
              <w:left w:val="nil"/>
              <w:bottom w:val="single" w:sz="4" w:space="0" w:color="auto"/>
              <w:right w:val="single" w:sz="4" w:space="0" w:color="auto"/>
            </w:tcBorders>
            <w:shd w:val="clear" w:color="auto" w:fill="auto"/>
            <w:hideMark/>
          </w:tcPr>
          <w:p w14:paraId="0E5224A3" w14:textId="41FE6DE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70419</w:t>
            </w:r>
          </w:p>
        </w:tc>
        <w:tc>
          <w:tcPr>
            <w:tcW w:w="646" w:type="pct"/>
            <w:tcBorders>
              <w:top w:val="nil"/>
              <w:left w:val="nil"/>
              <w:bottom w:val="single" w:sz="4" w:space="0" w:color="auto"/>
              <w:right w:val="single" w:sz="4" w:space="0" w:color="auto"/>
            </w:tcBorders>
            <w:shd w:val="clear" w:color="auto" w:fill="auto"/>
            <w:hideMark/>
          </w:tcPr>
          <w:p w14:paraId="005445C7"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228847AE"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3E9DE7EB" w14:textId="010F76F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#22</w:t>
            </w:r>
          </w:p>
        </w:tc>
        <w:tc>
          <w:tcPr>
            <w:tcW w:w="3175" w:type="pct"/>
            <w:tcBorders>
              <w:top w:val="nil"/>
              <w:left w:val="nil"/>
              <w:bottom w:val="single" w:sz="4" w:space="0" w:color="auto"/>
              <w:right w:val="single" w:sz="4" w:space="0" w:color="auto"/>
            </w:tcBorders>
            <w:shd w:val="clear" w:color="auto" w:fill="auto"/>
            <w:hideMark/>
          </w:tcPr>
          <w:p w14:paraId="4AD707AC" w14:textId="56933AEE"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{OR #16-#21}</w:t>
            </w:r>
          </w:p>
        </w:tc>
        <w:tc>
          <w:tcPr>
            <w:tcW w:w="515" w:type="pct"/>
            <w:tcBorders>
              <w:top w:val="nil"/>
              <w:left w:val="nil"/>
              <w:bottom w:val="single" w:sz="4" w:space="0" w:color="auto"/>
              <w:right w:val="single" w:sz="4" w:space="0" w:color="auto"/>
            </w:tcBorders>
            <w:shd w:val="clear" w:color="auto" w:fill="auto"/>
            <w:hideMark/>
          </w:tcPr>
          <w:p w14:paraId="364E4181" w14:textId="2072FCE1"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83648</w:t>
            </w:r>
          </w:p>
        </w:tc>
        <w:tc>
          <w:tcPr>
            <w:tcW w:w="646" w:type="pct"/>
            <w:tcBorders>
              <w:top w:val="nil"/>
              <w:left w:val="nil"/>
              <w:bottom w:val="single" w:sz="4" w:space="0" w:color="auto"/>
              <w:right w:val="single" w:sz="4" w:space="0" w:color="auto"/>
            </w:tcBorders>
            <w:shd w:val="clear" w:color="auto" w:fill="auto"/>
            <w:hideMark/>
          </w:tcPr>
          <w:p w14:paraId="7333BA8A"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32FC00B2"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6132A850" w14:textId="45077E0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#23</w:t>
            </w:r>
          </w:p>
        </w:tc>
        <w:tc>
          <w:tcPr>
            <w:tcW w:w="3175" w:type="pct"/>
            <w:tcBorders>
              <w:top w:val="nil"/>
              <w:left w:val="nil"/>
              <w:bottom w:val="single" w:sz="4" w:space="0" w:color="auto"/>
              <w:right w:val="single" w:sz="4" w:space="0" w:color="auto"/>
            </w:tcBorders>
            <w:shd w:val="clear" w:color="auto" w:fill="auto"/>
            <w:hideMark/>
          </w:tcPr>
          <w:p w14:paraId="6F6FF78D" w14:textId="474BFD8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#15 and #22</w:t>
            </w:r>
          </w:p>
        </w:tc>
        <w:tc>
          <w:tcPr>
            <w:tcW w:w="515" w:type="pct"/>
            <w:tcBorders>
              <w:top w:val="nil"/>
              <w:left w:val="nil"/>
              <w:bottom w:val="single" w:sz="4" w:space="0" w:color="auto"/>
              <w:right w:val="single" w:sz="4" w:space="0" w:color="auto"/>
            </w:tcBorders>
            <w:shd w:val="clear" w:color="auto" w:fill="auto"/>
            <w:hideMark/>
          </w:tcPr>
          <w:p w14:paraId="3578CB0B" w14:textId="0D8AB1DA"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192</w:t>
            </w:r>
          </w:p>
        </w:tc>
        <w:tc>
          <w:tcPr>
            <w:tcW w:w="646" w:type="pct"/>
            <w:tcBorders>
              <w:top w:val="nil"/>
              <w:left w:val="nil"/>
              <w:bottom w:val="single" w:sz="4" w:space="0" w:color="auto"/>
              <w:right w:val="single" w:sz="4" w:space="0" w:color="auto"/>
            </w:tcBorders>
            <w:shd w:val="clear" w:color="auto" w:fill="auto"/>
            <w:hideMark/>
          </w:tcPr>
          <w:p w14:paraId="76123158"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36819E15"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08B36CBB" w14:textId="4BCBBB4B"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#24</w:t>
            </w:r>
          </w:p>
        </w:tc>
        <w:tc>
          <w:tcPr>
            <w:tcW w:w="3175" w:type="pct"/>
            <w:tcBorders>
              <w:top w:val="nil"/>
              <w:left w:val="nil"/>
              <w:bottom w:val="single" w:sz="4" w:space="0" w:color="auto"/>
              <w:right w:val="single" w:sz="4" w:space="0" w:color="auto"/>
            </w:tcBorders>
            <w:shd w:val="clear" w:color="auto" w:fill="auto"/>
            <w:hideMark/>
          </w:tcPr>
          <w:p w14:paraId="665F0105" w14:textId="79B1EF78"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#23 in Cochrane Reviews with Cochrane Library publication date Between Nov 2023 and Dec 2024, in Cochrane Reviews</w:t>
            </w:r>
          </w:p>
        </w:tc>
        <w:tc>
          <w:tcPr>
            <w:tcW w:w="515" w:type="pct"/>
            <w:tcBorders>
              <w:top w:val="nil"/>
              <w:left w:val="nil"/>
              <w:bottom w:val="single" w:sz="4" w:space="0" w:color="auto"/>
              <w:right w:val="single" w:sz="4" w:space="0" w:color="auto"/>
            </w:tcBorders>
            <w:shd w:val="clear" w:color="auto" w:fill="auto"/>
            <w:hideMark/>
          </w:tcPr>
          <w:p w14:paraId="65B71AC5" w14:textId="475DD64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0</w:t>
            </w:r>
          </w:p>
        </w:tc>
        <w:tc>
          <w:tcPr>
            <w:tcW w:w="646" w:type="pct"/>
            <w:tcBorders>
              <w:top w:val="nil"/>
              <w:left w:val="nil"/>
              <w:bottom w:val="single" w:sz="4" w:space="0" w:color="auto"/>
              <w:right w:val="single" w:sz="4" w:space="0" w:color="auto"/>
            </w:tcBorders>
            <w:shd w:val="clear" w:color="auto" w:fill="auto"/>
            <w:hideMark/>
          </w:tcPr>
          <w:p w14:paraId="3C8ADE5E"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r w:rsidR="000A2C57" w:rsidRPr="00845419" w14:paraId="3793D620" w14:textId="77777777" w:rsidTr="000A2C57">
        <w:trPr>
          <w:trHeight w:val="310"/>
        </w:trPr>
        <w:tc>
          <w:tcPr>
            <w:tcW w:w="663" w:type="pct"/>
            <w:tcBorders>
              <w:top w:val="nil"/>
              <w:left w:val="single" w:sz="4" w:space="0" w:color="auto"/>
              <w:bottom w:val="single" w:sz="4" w:space="0" w:color="auto"/>
              <w:right w:val="single" w:sz="4" w:space="0" w:color="auto"/>
            </w:tcBorders>
            <w:shd w:val="clear" w:color="auto" w:fill="auto"/>
            <w:hideMark/>
          </w:tcPr>
          <w:p w14:paraId="259A4E9E" w14:textId="15C222DF"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#25</w:t>
            </w:r>
          </w:p>
        </w:tc>
        <w:tc>
          <w:tcPr>
            <w:tcW w:w="3175" w:type="pct"/>
            <w:tcBorders>
              <w:top w:val="nil"/>
              <w:left w:val="nil"/>
              <w:bottom w:val="single" w:sz="4" w:space="0" w:color="auto"/>
              <w:right w:val="single" w:sz="4" w:space="0" w:color="auto"/>
            </w:tcBorders>
            <w:shd w:val="clear" w:color="auto" w:fill="auto"/>
            <w:hideMark/>
          </w:tcPr>
          <w:p w14:paraId="2BC6C5B6" w14:textId="18EF6FB0"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#23 in Trials with Publication Year from 2023 to 2024, in Trials</w:t>
            </w:r>
          </w:p>
        </w:tc>
        <w:tc>
          <w:tcPr>
            <w:tcW w:w="515" w:type="pct"/>
            <w:tcBorders>
              <w:top w:val="nil"/>
              <w:left w:val="nil"/>
              <w:bottom w:val="single" w:sz="4" w:space="0" w:color="auto"/>
              <w:right w:val="single" w:sz="4" w:space="0" w:color="auto"/>
            </w:tcBorders>
            <w:shd w:val="clear" w:color="auto" w:fill="auto"/>
            <w:hideMark/>
          </w:tcPr>
          <w:p w14:paraId="039BA772" w14:textId="73A68D69"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001022">
              <w:t>25</w:t>
            </w:r>
          </w:p>
        </w:tc>
        <w:tc>
          <w:tcPr>
            <w:tcW w:w="646" w:type="pct"/>
            <w:tcBorders>
              <w:top w:val="nil"/>
              <w:left w:val="nil"/>
              <w:bottom w:val="single" w:sz="4" w:space="0" w:color="auto"/>
              <w:right w:val="single" w:sz="4" w:space="0" w:color="auto"/>
            </w:tcBorders>
            <w:shd w:val="clear" w:color="auto" w:fill="auto"/>
            <w:hideMark/>
          </w:tcPr>
          <w:p w14:paraId="0573691B" w14:textId="77777777" w:rsidR="000A2C57" w:rsidRPr="00845419" w:rsidRDefault="000A2C57" w:rsidP="000A2C57">
            <w:pPr>
              <w:spacing w:beforeLines="0" w:before="0" w:afterLines="0" w:after="0" w:line="240" w:lineRule="auto"/>
              <w:contextualSpacing w:val="0"/>
              <w:rPr>
                <w:rFonts w:ascii="Calibri" w:eastAsia="Times New Roman" w:hAnsi="Calibri" w:cs="Calibri"/>
                <w:color w:val="000000"/>
                <w:lang w:eastAsia="en-GB"/>
              </w:rPr>
            </w:pPr>
            <w:r w:rsidRPr="00845419">
              <w:rPr>
                <w:rFonts w:ascii="Calibri" w:eastAsia="Times New Roman" w:hAnsi="Calibri" w:cs="Calibri"/>
                <w:color w:val="000000"/>
                <w:lang w:eastAsia="en-GB"/>
              </w:rPr>
              <w:t> </w:t>
            </w:r>
          </w:p>
        </w:tc>
      </w:tr>
    </w:tbl>
    <w:p w14:paraId="128317EB" w14:textId="77777777" w:rsidR="00845419" w:rsidRDefault="00845419">
      <w:pPr>
        <w:spacing w:beforeLines="0" w:before="0" w:afterLines="0" w:after="0" w:line="259" w:lineRule="auto"/>
        <w:contextualSpacing w:val="0"/>
      </w:pPr>
    </w:p>
    <w:p w14:paraId="46981599" w14:textId="53816A98" w:rsidR="00845419" w:rsidRDefault="00D345C0">
      <w:pPr>
        <w:spacing w:beforeLines="0" w:before="0" w:afterLines="0" w:after="0" w:line="259" w:lineRule="auto"/>
        <w:contextualSpacing w:val="0"/>
      </w:pPr>
      <w:r>
        <w:br w:type="page"/>
      </w:r>
    </w:p>
    <w:p w14:paraId="5924981F" w14:textId="77777777" w:rsidR="00D345C0" w:rsidRPr="003F3840" w:rsidRDefault="00D345C0" w:rsidP="00D345C0">
      <w:pPr>
        <w:keepNext/>
        <w:keepLines/>
        <w:outlineLvl w:val="1"/>
        <w:rPr>
          <w:rFonts w:eastAsiaTheme="majorEastAsia" w:cstheme="majorBidi"/>
          <w:bCs/>
          <w:color w:val="000000" w:themeColor="text1"/>
          <w:sz w:val="48"/>
          <w:szCs w:val="26"/>
        </w:rPr>
      </w:pPr>
      <w:bookmarkStart w:id="9" w:name="_Toc54691843"/>
      <w:bookmarkStart w:id="10" w:name="_Toc131071383"/>
      <w:bookmarkStart w:id="11" w:name="_Toc171689209"/>
      <w:r w:rsidRPr="003F3840">
        <w:rPr>
          <w:rFonts w:eastAsiaTheme="majorEastAsia" w:cstheme="majorBidi"/>
          <w:bCs/>
          <w:color w:val="000000" w:themeColor="text1"/>
          <w:sz w:val="48"/>
          <w:szCs w:val="26"/>
        </w:rPr>
        <w:t>Search results</w:t>
      </w:r>
      <w:bookmarkEnd w:id="9"/>
      <w:bookmarkEnd w:id="10"/>
      <w:bookmarkEnd w:id="11"/>
    </w:p>
    <w:p w14:paraId="6BECC21D" w14:textId="77777777" w:rsidR="00D345C0" w:rsidRPr="003F3840" w:rsidRDefault="00D345C0" w:rsidP="00D345C0">
      <w:pPr>
        <w:rPr>
          <w:i/>
          <w:color w:val="0000FF"/>
          <w:u w:val="single"/>
        </w:rPr>
      </w:pPr>
      <w:r w:rsidRPr="003F3840">
        <w:t xml:space="preserve">Links will take you to full text where RCS England holds a subscription. For ease of access, we strongly recommend that you log in to the RCS website before viewing any articles or journal issues. If you require assistance with your login or with full text access, please email us: </w:t>
      </w:r>
      <w:hyperlink r:id="rId13" w:history="1">
        <w:r w:rsidRPr="003F3840">
          <w:rPr>
            <w:color w:val="0000FF"/>
            <w:u w:val="single"/>
          </w:rPr>
          <w:t>evidencesupport@rcseng.ac.uk</w:t>
        </w:r>
      </w:hyperlink>
    </w:p>
    <w:p w14:paraId="3E90A675" w14:textId="218586E0" w:rsidR="005B4B41" w:rsidRDefault="005B4B41" w:rsidP="00551783">
      <w:pPr>
        <w:spacing w:beforeLines="0" w:before="0" w:afterLines="0" w:after="0" w:line="259" w:lineRule="auto"/>
        <w:contextualSpacing w:val="0"/>
      </w:pPr>
    </w:p>
    <w:p w14:paraId="5694217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w:t>
      </w:r>
      <w:r>
        <w:rPr>
          <w:rFonts w:ascii="Calibri" w:hAnsi="Calibri" w:cs="Calibri"/>
          <w:color w:val="auto"/>
          <w:sz w:val="22"/>
          <w:szCs w:val="22"/>
        </w:rPr>
        <w:t xml:space="preserve"> Zambrano Guevara, L. M., et al. (2024). </w:t>
      </w:r>
    </w:p>
    <w:p w14:paraId="0BD52D7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"Evidence Based Management of Labor."</w:t>
      </w:r>
      <w:r>
        <w:rPr>
          <w:rFonts w:ascii="Calibri" w:hAnsi="Calibri" w:cs="Calibri"/>
          <w:color w:val="auto"/>
          <w:sz w:val="22"/>
          <w:szCs w:val="22"/>
        </w:rPr>
        <w:t xml:space="preserve"> </w:t>
      </w:r>
    </w:p>
    <w:p w14:paraId="0C3E40D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Obstetrical and Gynecological Survey</w:t>
      </w:r>
      <w:r>
        <w:rPr>
          <w:rFonts w:ascii="Calibri" w:hAnsi="Calibri" w:cs="Calibri"/>
          <w:color w:val="auto"/>
          <w:sz w:val="22"/>
          <w:szCs w:val="22"/>
        </w:rPr>
        <w:t xml:space="preserve"> 79(1): 39-53.</w:t>
      </w:r>
    </w:p>
    <w:p w14:paraId="4B4B4A2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269B62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http://journals.lww.com/obgynsurvey</w:t>
      </w:r>
    </w:p>
    <w:p w14:paraId="4C7CEDA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http://ovidsp.ovid.com/ovidweb.cgi?T=JS&amp;PAGE=reference&amp;D=emexb&amp;NEWS=N&amp;AN=2030084898</w:t>
      </w:r>
    </w:p>
    <w:p w14:paraId="6FB5D51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DBCC0C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Importance: Induction of labor (IOL) is a common obstetric intervention. Augmentation of labor and active management of the second stage is frequently required in obstetric practice. However, techniques around labor and induction management vary widely. Evidence-based practice regarding induction and labor management can reduce birth complications such as infection and hemorrhage and decrease rates of cesarean delivery. Objective(s): To review existing evidence on IOL and labor management strategies with respect to preparing for induction, cervical ripening, induction and augmentation, and second stage of labor techniques. Evidence Acquisition: Review of recent original research, review articles, and guidelines on IOL using PubMed (2000-2022). Result(s): Preinduction, pelvic floor training and perineal massage reduce postpartum urinary incontinence and perineal trauma, respectively. Timely membrane sweeping (38 weeks) can promote spontaneous labor and prevent postterm inductions. Outpatient Foley bulb placement in low-risk nulliparous patients with planned IOL reduces time to delivery. Inpatient Foley bulb use beyond 6 to 12 hours shows no benefit. When synthetic prostaglandins are indicated, vaginal misoprostol should be preferred. For nulliparous patients and those with obesity, oxytocin should be titrated using a high-dose protocol. Once cervical dilation is complete, pushing should begin immediately. Warm compresses and perineal massage decrease risk of perineal trauma. Conclusion and relevance: Several strategies exist to assist in successful IOL and promote vaginal delivery. Evidence-based strategies should be used to improve outcomes and decrease risk of complications and cesarean delivery. Recommendations should be shared across interdisciplinary team members, creating a model that promotes safe patient care. Target Audience: Obstetricians and gynecologists, family physicians Learning Objectives: Discuss the current evidence and best practices regarding prelabor interventions to improve delivery outcomes; describe evidence-based methods of cervical ripening; outline data-driven practices to progress induction; and explain methods to improve birth outcomes and reduce risks in the second stage of labor.Copyright © 2024 Wolters Kluwer Health, Inc. All rights reserved.</w:t>
      </w:r>
    </w:p>
    <w:p w14:paraId="3D3B671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AEE689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w:t>
      </w:r>
      <w:r>
        <w:rPr>
          <w:rFonts w:ascii="Calibri" w:hAnsi="Calibri" w:cs="Calibri"/>
          <w:color w:val="auto"/>
          <w:sz w:val="22"/>
          <w:szCs w:val="22"/>
        </w:rPr>
        <w:t xml:space="preserve"> z6gw, R. B. R. (2024). </w:t>
      </w:r>
    </w:p>
    <w:p w14:paraId="172F728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"Research on pelvic floor health and abdominal muscle separation in pregnant and postpartum women: prevention and treatment."</w:t>
      </w:r>
      <w:r>
        <w:rPr>
          <w:rFonts w:ascii="Calibri" w:hAnsi="Calibri" w:cs="Calibri"/>
          <w:color w:val="auto"/>
          <w:sz w:val="22"/>
          <w:szCs w:val="22"/>
        </w:rPr>
        <w:t xml:space="preserve"> </w:t>
      </w:r>
    </w:p>
    <w:p w14:paraId="124865D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https://trialsearch.who.int/Trial2.aspx?TrialID=RBR-32z6gw2</w:t>
      </w:r>
      <w:r>
        <w:rPr>
          <w:rFonts w:ascii="Calibri" w:hAnsi="Calibri" w:cs="Calibri"/>
          <w:color w:val="auto"/>
          <w:sz w:val="22"/>
          <w:szCs w:val="22"/>
        </w:rPr>
        <w:t>.</w:t>
      </w:r>
    </w:p>
    <w:p w14:paraId="7E773AD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F1A7A7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https://www.cochranelibrary.com/central/doi/10.1002/central/CN-02697389/full</w:t>
      </w:r>
    </w:p>
    <w:p w14:paraId="75D81D9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EF3E9D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INTERVENTION: All researchers involved in data acquisition (primary and secondary outcome measures), data analysis, and/or statistics will be blinded regarding group allocation. The physiotherapist responsible for physiotherapeutic treatment will not be blinded regarding patient allocation to groups and therefore will not be involved in data acquisition, data analysis, and/or statistics. Nulliparous and multiparous pregnant women with gestational age = 20 weeks and habitual risk gestation will be included. Women with high‐risk pregnancies and/or diseases that may interfere with participation will not be included. Respecting the inclusion criteria, pregnant women will be divided into two groups: Group I (n=30) (pelvic floor muscle training + pelvic mobility + perineal massage + perineal expander) and Group II (n=30) (pelvic floor muscle training), randomly, using a computer‐generated random number table. Sample characterization will be performed. Demographic characteristics [age, body mass inde X(BMI), race, education level, obstetric history (number of pregnancies, deliveries, miscarriages), childbirth data (date, type, duration, newborn information, complications, presence of laceration, and episiotomy)] and clinical characteristics (pelvic floor dysfunction symptoms, pelvic floor muscle function) will be used as parameters. Symptoms will be assessed using the Australian Pelvic Floor Questionnaire. This is a validated instrument for assessing pelvic floor function and includes domains: urinary function, bowel function, prolapse, and sexuality. This assessment will be conducted pre‐intervention, between the 37th and 38th gestational week, and 40 days after delivery. Vaginal palpation through bidigital touch will be used to assess pelvic floor muscle function. The examiner, using lubr CONDITION: C12.050 Pelvic Floor Disorders PRIMARY OUTCOME: To evaluate the effects of combining pelvic floor muscle training associated with pelvic mobility exercises, perineal massage and perineal expander on the prevention of perineal trauma and episiotomy, and on the prevalence of pelvic floor dysfunctions before and after childbirth; It is expected that at the end of treatment, participants who perform pelvic mobility exercises, perineal massage and perineal expander, in addition to pelvic floor muscle training, will show a reduction in the incidence of severe perineal trauma and episiotomy, and pelvic floor dysfunctions pre and post childbirth in both groups. To evaluate the effects of pelvic floor muscle training for the prevention and treatment of pelvic floor dysfunctions in the postpartum period; It is expected that at the end of treatment, participants will show a reduction in symptoms of pelvic floor dysfunction through muscle training. To evaluate whether exercises for the pelvic floor and abdominal muscles are superior to abdominal exercises in the management of diastasis rectus abdominis and low back pain in the postpartum period; At the end of the treatment, we hope to discover whether the combination of abdominal exercises and pelvic floor muscle training are superior to abdominal exercises alone in reducing diastasis rectus abdominis and low back pain in the postpartum period. SECONDARY OUTCOME: At the end of the treatment, we hope to discover whether the combination of abdominal exercises and pelvic floor muscle training are superior to abdominal exercises alone in reducing diastasis of the rectus abdominis and low back pain in the postpartum period, verified through an ultrasound examination of the abdominal wall; abdominal circumference; low back pain questionnaire; Australian Pelvic Floor Questionnaire; functional assessment of the pelvic floor using bidigital palpation, dynamometry and electromyography, pre and post‐intervention. It is also expected to find good adherence to abdominal exercises and pelvic floor muscle training, after 3 months of intervention, verified through the exercise diary. It is expected that at the end of treatment, participants who perform pelvic floor muscle training, pelvic mobi ity exercises, perineal massage and perineal expander will show a reduction in the incidence of severe perineal trauma and episiotomy, and a reduction in pelvic floor dysfunctions pre and post treatment. delivery in both groups, verified through the birth outcome (type of delivery, perineal trauma and episiotomy); Australian Pelvic Floor Questionnaire; functional assessment of the pelvic floor using bidigital palpation, dynamometry and electromyography, pre and postpartum; increased perception of the effectiveness of pelvic floor muscle training exercises after 3 months of training, using the Self‐Efficacy Scale for Practicing Pelvic Floor Exercises; and good adherence to exercises, after 3 months of pelvic floor muscle training, verified through the exercise diary. It is expected to find a reduction in symptoms of pelvic floor dysfunction in the experimental group after 3 months of pelvic floor muscle training, verified using the Australian Pelvic Floor Questionnaire; the Fecal Incontinence Quality of Life Questionnaire; the Fecal Incontinence Severity Index; functional assessment of the pelvic floor using bidigital palpation, dynamometry and electromyography, pre and post‐intervention; increased perception of the effectiveness of pelvic floor muscle training exercises, in the experimental group, through the Self‐Efficacy Scale for Practicing Pelvic Floor Exercises, post‐intervention; good adherence to exercises, after 3 months of pelvic floor muscle training, verified through the exercise diary; and high satisfaction with the treatment, in the experimental group, verified by the post‐intervention Subjective Cure question. INCLUSION CRITERIA: Pregnant women ‐ nulliparous and multiparous women at 20 weeks of gestation with a pregnancy of usual risk. Postpartum women (abdominal diastasis, intact perineum, first and second‐degree lacerations) ‐ women with abdominal rectus muscle diastasis, who have an intact perineum, cesarean delivery, or first or second‐degree lacerations, within one year postpartum. Postpartum women (third and fourth‐degree lacerations) ‐ women with or without pelvic floor dysfunction (urinary incontinence, flatus or fecal incontinence, genital prolapse, genital laxity), with third or fourth‐degree lacerations, within one year postpartum</w:t>
      </w:r>
    </w:p>
    <w:p w14:paraId="6E5EE21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914E92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w:t>
      </w:r>
      <w:r>
        <w:rPr>
          <w:rFonts w:ascii="Calibri" w:hAnsi="Calibri" w:cs="Calibri"/>
          <w:color w:val="auto"/>
          <w:sz w:val="22"/>
          <w:szCs w:val="22"/>
        </w:rPr>
        <w:t xml:space="preserve"> Schmidt, P. C. and D. E. Fenner (2024). </w:t>
      </w:r>
    </w:p>
    <w:p w14:paraId="4241FBD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"Repair of episiotomy and obstetrical perineal lacerations (first-fourth)."</w:t>
      </w:r>
      <w:r>
        <w:rPr>
          <w:rFonts w:ascii="Calibri" w:hAnsi="Calibri" w:cs="Calibri"/>
          <w:color w:val="auto"/>
          <w:sz w:val="22"/>
          <w:szCs w:val="22"/>
        </w:rPr>
        <w:t xml:space="preserve"> </w:t>
      </w:r>
    </w:p>
    <w:p w14:paraId="78679CE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American journal of obstetrics and gynecology</w:t>
      </w:r>
      <w:r>
        <w:rPr>
          <w:rFonts w:ascii="Calibri" w:hAnsi="Calibri" w:cs="Calibri"/>
          <w:color w:val="auto"/>
          <w:sz w:val="22"/>
          <w:szCs w:val="22"/>
        </w:rPr>
        <w:t xml:space="preserve"> 230(3 Supplement): S1005-S1013.</w:t>
      </w:r>
    </w:p>
    <w:p w14:paraId="39FA56E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3E4BCC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https://www.sciencedirect.com/science/journal/00029378</w:t>
      </w:r>
    </w:p>
    <w:p w14:paraId="092BD8F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http://ovidsp.ovid.com/ovidweb.cgi?T=JS&amp;PAGE=reference&amp;D=emexb&amp;NEWS=N&amp;AN=2030887016</w:t>
      </w:r>
    </w:p>
    <w:p w14:paraId="72305DE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48FCB7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Perineal injury after vaginal delivery is common, affecting up to 90% of women. Perineal trauma is associated with both short- and long-term morbidity, including persistent pain, dyspareunia, pelvic floor disorders, and depression, and may negatively affect a new mother's ability to care for her newborn. The morbidity experienced after perineal injury is dependent on the type of laceration incurred, the technique and materials used for repair, and the skill and knowledge of the birth attendant. After all vaginal deliveries, a systematic evaluation including visual inspection and vaginal, perineal, and rectal exams is recommended to accurately diagnose perineal lacerations. Optimal management of perineal trauma after vaginal birth includes accurate diagnosis, appropriate technique and materials used for repair, providers experienced in perineal laceration repair, and close follow-up. In this article, we review the prevalence, classification, diagnosis, and evidence supporting different closure methods for first- through fourth-degree perineal lacerations and episiotomies. Recommended surgical techniques and materials for different perineal laceration repairs are provided. Finally, best practices for perioperative and postoperative care after advanced perineal trauma are reviewed.Copyright © 2022 Elsevier Inc.</w:t>
      </w:r>
    </w:p>
    <w:p w14:paraId="5B7CD4E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F01028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4.</w:t>
      </w:r>
      <w:r>
        <w:rPr>
          <w:rFonts w:ascii="Calibri" w:hAnsi="Calibri" w:cs="Calibri"/>
          <w:color w:val="auto"/>
          <w:sz w:val="22"/>
          <w:szCs w:val="22"/>
        </w:rPr>
        <w:t xml:space="preserve"> Saliba, S. (2024). </w:t>
      </w:r>
    </w:p>
    <w:p w14:paraId="44CBCA7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"Can a Postpartum Pelvic Floor Health Workshop Improve Symptoms of Pelvic Floor Dysfunction in a High-Risk Population: a Randomized Controlled Trial."</w:t>
      </w:r>
      <w:r>
        <w:rPr>
          <w:rFonts w:ascii="Calibri" w:hAnsi="Calibri" w:cs="Calibri"/>
          <w:color w:val="auto"/>
          <w:sz w:val="22"/>
          <w:szCs w:val="22"/>
        </w:rPr>
        <w:t xml:space="preserve"> </w:t>
      </w:r>
    </w:p>
    <w:p w14:paraId="5924137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Journal of obstetrics and gynaecology Canada</w:t>
      </w:r>
      <w:r>
        <w:rPr>
          <w:rFonts w:ascii="Calibri" w:hAnsi="Calibri" w:cs="Calibri"/>
          <w:color w:val="auto"/>
          <w:sz w:val="22"/>
          <w:szCs w:val="22"/>
        </w:rPr>
        <w:t xml:space="preserve"> 46(5).</w:t>
      </w:r>
    </w:p>
    <w:p w14:paraId="580CD32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F0DDEE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https://www.cochranelibrary.com/central/doi/10.1002/central/CN-02703993/full</w:t>
      </w:r>
    </w:p>
    <w:p w14:paraId="522D2C4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A09142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Objective(s): To study the impact of targeted postpartum education on pelvic floor symptoms in women who have sustained a significant obstetrical insult to their pelvic floor. Methods: This is a randomized control trial of 100 participants who have sustained significant pelvic floor insults during vaginal delivery, defined as obstetrical anal sphincter injury, instrumental delivery, or birth weight greater than 4000 g. The intervention includes a virtual workshop with a pelvic floor physiotherapist, whereas the control group received no dedicated postpartum perineal education beyond routine discharge instructions from hospital. The primary outcome includes pelvic floor distress inventory (PFDI) scores at the time of enrollment, and three, six and twelve months later. Secondary outcomes included. Secondary outcomes included a questionnaire to assess their understanding of pelvic floor health, use of pelvic floor exercises and health seeking behaviours, at the same time points. Statistical power was calculated at 80%. Results: Mixed linear regression models showed there were no statistically significant differences between groups in the primary or secondary outcomes at any of the time points. There were statistically significant changes in PFDI scores observed over time at three, six and twelve months compared to the baseline. The adjusted model, controlling for age, BMI, and previous pelvic floor insults yielded the same results. Conclusion(s): Virtual delivery of standardized postpartum pelvic floor education alone does not impact the development of postpartum pelvic floor dysfunction, use of pelvic floor exercises, understand of pelvic floor health, or health seeking behaviours in women with recognized risk factors.</w:t>
      </w:r>
    </w:p>
    <w:p w14:paraId="395642D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D4F919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5.</w:t>
      </w:r>
      <w:r>
        <w:rPr>
          <w:rFonts w:ascii="Calibri" w:hAnsi="Calibri" w:cs="Calibri"/>
          <w:color w:val="auto"/>
          <w:sz w:val="22"/>
          <w:szCs w:val="22"/>
        </w:rPr>
        <w:t xml:space="preserve"> Perslev, K., et al. (2024). </w:t>
      </w:r>
    </w:p>
    <w:p w14:paraId="30922DD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"The REPAIR study: oral antibiotics to prevent infection and wound dehiscence after obstetric perineal tear—a double-blinded placebo controlled randomized trial."</w:t>
      </w:r>
      <w:r>
        <w:rPr>
          <w:rFonts w:ascii="Calibri" w:hAnsi="Calibri" w:cs="Calibri"/>
          <w:color w:val="auto"/>
          <w:sz w:val="22"/>
          <w:szCs w:val="22"/>
        </w:rPr>
        <w:t xml:space="preserve"> </w:t>
      </w:r>
    </w:p>
    <w:p w14:paraId="72F684D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Trials</w:t>
      </w:r>
      <w:r>
        <w:rPr>
          <w:rFonts w:ascii="Calibri" w:hAnsi="Calibri" w:cs="Calibri"/>
          <w:color w:val="auto"/>
          <w:sz w:val="22"/>
          <w:szCs w:val="22"/>
        </w:rPr>
        <w:t xml:space="preserve"> 25(1).</w:t>
      </w:r>
    </w:p>
    <w:p w14:paraId="7652710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3C8478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https://www.cochranelibrary.com/central/doi/10.1002/central/CN-02683754/full</w:t>
      </w:r>
    </w:p>
    <w:p w14:paraId="456DFD3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797C64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Approximately 85% of women experience an obstetric tear at delivery and up to 25% subsequently experience wound dehiscence and/or infection. Previous publications suggest that intravenous antibiotics administrated during delivery reduces this risk. We do not know if oral antibiotics given after delivery can reduce the risk of wound dehiscence or infection. Our aim is to investigate whether three doses of oral antibiotics (amoxicillin 500 mg/clavulanic acid 125 mg) given after delivery can reduce the risk of wound dehiscence and infection in patients with a second‐degree obstetric tear or episiotomy. Methods: We will perform a randomized, controlled, double‐blinded study including 221women in each arm with allocation 1:1 in relation to the randomization. The study is carried out at Department of Obstetrics &amp; Gynecology, Herlev University Hospital, Copenhagen, Denmark. The women will be included after delivery if they have had a second‐degree tear or episiotomy. After inclusion, the women will have a clinical follow‐up visit after 1 week. The tear and healing will be evaluated regarding signs of infection and/or dehiscence. The women will again be invited for a 1‐year clinical examination including ultrasound. Questionnaires exploring symptoms related to the obstetric tear and possible complications will be answered at both visits. Our primary outcome is wound dehiscence and/or wound infection, which will be calculated using χ2 tests to compare groups. Secondary outcomes are variables that relate to wound healing, as pain, use of painkillers and antibiotics, need for further follow‐up, as well as outcomes that may be related to the birth or healing process, urinary or anal incontinence, symptoms of prolapse, female body image, and sexual problems. Discussion: Reducing the risk of wound dehiscence and/or infection would decrease the number of control visits, prevent the need for longer antibiotic treatment, and possibly also decrease both short‐term and long‐term symptoms. This would be of great importance so the mother, her partner, and the baby could establish and optimize their initial family relation. Trial registration: The conduction of this study is approved the 2/2–2023 with the EU‐CT number: 2022–501930‐49–00. ClinicalTrials.gov Identifier: NCT05830162.</w:t>
      </w:r>
    </w:p>
    <w:p w14:paraId="049F4EF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EA52F2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6.</w:t>
      </w:r>
      <w:r>
        <w:rPr>
          <w:rFonts w:ascii="Calibri" w:hAnsi="Calibri" w:cs="Calibri"/>
          <w:color w:val="auto"/>
          <w:sz w:val="22"/>
          <w:szCs w:val="22"/>
        </w:rPr>
        <w:t xml:space="preserve"> Nct (2024). </w:t>
      </w:r>
    </w:p>
    <w:p w14:paraId="520EA15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"Epsom Salt Compresses to Relieve Perineal for Postpartum Care: a Clinical Trial."</w:t>
      </w:r>
      <w:r>
        <w:rPr>
          <w:rFonts w:ascii="Calibri" w:hAnsi="Calibri" w:cs="Calibri"/>
          <w:color w:val="auto"/>
          <w:sz w:val="22"/>
          <w:szCs w:val="22"/>
        </w:rPr>
        <w:t xml:space="preserve"> </w:t>
      </w:r>
    </w:p>
    <w:p w14:paraId="16506D0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https://clinicaltrials.gov/ct2/show/NCT06393608</w:t>
      </w:r>
      <w:r>
        <w:rPr>
          <w:rFonts w:ascii="Calibri" w:hAnsi="Calibri" w:cs="Calibri"/>
          <w:color w:val="auto"/>
          <w:sz w:val="22"/>
          <w:szCs w:val="22"/>
        </w:rPr>
        <w:t>.</w:t>
      </w:r>
    </w:p>
    <w:p w14:paraId="2673B15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F67EE0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https://www.cochranelibrary.com/central/doi/10.1002/central/CN-02695369/full</w:t>
      </w:r>
    </w:p>
    <w:p w14:paraId="1122CFE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F8E3FC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Despite the high frequency of perineal trauma in obstetrics, management of perineal care and pain is highly variable, relying on very few studies, if any. Treatment of the perineum with compresses soaked in a magnesium sulfate (Epsom salt) solution has not previously been studied but is routinely used in some hospitals in Quebec, Canada. Objectives: This study aims to determine whether compresses soaked in 25% magnesium sulfate in sterile water can alleviate perineal pain in women immediately after childbirth. Population and intervention: Women who have just given birth vaginally and report perineal or vulvar pain of 3/10 or more will be recruited and randomized into an intervention group receiving the treatment (compresses soaked in 25% magnesium sulfate) or a control group receiving a placebo (compresses soaked in water). Methods: This multi‐centric, double‐blinded randomized clinical trial will be conducted in four hospitals in the province of Quebec, Canada. The investigators plan to recruit a total of 104 participants. Participants will be instructed to apply the compresses on the vulva and perineum for 15 minutes, four times per day, if needed. They will be asked to score their pain before and after using the compresses for the length of their hospital stay, typically between 24 and 48 hours. Secondary outcomes include analgesic use, incidence of complications, participant satisfaction, opinions on feasibility, and any adverse effects caused by the compresses. Discussion: This randomized controlled trial will assess whether the treatment is more effective in relieving pain than the placebo. The study will also determine the safety and feasibility of this method for routine postnatal care. This study could contribute in the long term to the standardization of evidence‐based practices for the management of postpartum perineal pain in Canadian hospitals</w:t>
      </w:r>
    </w:p>
    <w:p w14:paraId="0F30DED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0E12D7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7.</w:t>
      </w:r>
      <w:r>
        <w:rPr>
          <w:rFonts w:ascii="Calibri" w:hAnsi="Calibri" w:cs="Calibri"/>
          <w:color w:val="auto"/>
          <w:sz w:val="22"/>
          <w:szCs w:val="22"/>
        </w:rPr>
        <w:t xml:space="preserve"> Nct (2024). </w:t>
      </w:r>
    </w:p>
    <w:p w14:paraId="399A7F9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"Comparison Low-Level Laser Therapy With Cryotherapy in Parturients With Laceration and/or Episiotomy on Pain Reduction."</w:t>
      </w:r>
      <w:r>
        <w:rPr>
          <w:rFonts w:ascii="Calibri" w:hAnsi="Calibri" w:cs="Calibri"/>
          <w:color w:val="auto"/>
          <w:sz w:val="22"/>
          <w:szCs w:val="22"/>
        </w:rPr>
        <w:t xml:space="preserve"> </w:t>
      </w:r>
    </w:p>
    <w:p w14:paraId="771D3DE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https://clinicaltrials.gov/ct2/show/NCT06370910</w:t>
      </w:r>
      <w:r>
        <w:rPr>
          <w:rFonts w:ascii="Calibri" w:hAnsi="Calibri" w:cs="Calibri"/>
          <w:color w:val="auto"/>
          <w:sz w:val="22"/>
          <w:szCs w:val="22"/>
        </w:rPr>
        <w:t>.</w:t>
      </w:r>
    </w:p>
    <w:p w14:paraId="37DDEC9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7CB275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https://www.cochranelibrary.com/central/doi/10.1002/central/CN-02690235/full</w:t>
      </w:r>
    </w:p>
    <w:p w14:paraId="27B1FCF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241817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Faced with the scarcity of evidence indicating the best approach to reducing edema and relieving pain in the postpartum period, there is a need to evaluate new methods for pain relief during this time to ensure better well‐being for women in the postpartum period. Lacerations and episiotomies, which can occur during vaginal delivery, exacerbate this pain, making it even more necessary to utilize resources to alleviate discomfort and perineal and vulvar edema, which can consequently worsen pain. The postpartum period is challenging, with numerous adjustments, and pain can be debilitating, making this period particularly challenging. However, it is possible to minimize it with non‐pharmacological interventions. Cryotherapy has proven to be a valuable resource already utilized in the immediate postpartum period, and low‐intensity laser therapy has also demonstrated effectiveness in pain relief, both with low associated risks and costs. Therefore, it is crucial to compare which therapeutic approach is most effective during the immediate postpartum period. While vaginal delivery offers many benefits, such as rapid recovery, it can be associated with perineal trauma, leading to pain, breastfeeding difficulties, and discomfort, which directly interfere with activities of daily living The use of an ice pack is inexpensive and effective in relieving pain in the immediate postpartum period, whereas low‐level laser therapy (LLLT) promotes tissue repair, enhances wound healing, reduces inflammatory responses, and alleviates pain.</w:t>
      </w:r>
    </w:p>
    <w:p w14:paraId="560FA85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1BAC93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8.</w:t>
      </w:r>
      <w:r>
        <w:rPr>
          <w:rFonts w:ascii="Calibri" w:hAnsi="Calibri" w:cs="Calibri"/>
          <w:color w:val="auto"/>
          <w:sz w:val="22"/>
          <w:szCs w:val="22"/>
        </w:rPr>
        <w:t xml:space="preserve"> Nct (2024). </w:t>
      </w:r>
    </w:p>
    <w:p w14:paraId="65C6C74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"Impact of Pelvic Floor Rehabilitation Combined With Ultrasound Therapy on Osteomyoarticular Symptoms in Chronic Perineal Pain."</w:t>
      </w:r>
      <w:r>
        <w:rPr>
          <w:rFonts w:ascii="Calibri" w:hAnsi="Calibri" w:cs="Calibri"/>
          <w:color w:val="auto"/>
          <w:sz w:val="22"/>
          <w:szCs w:val="22"/>
        </w:rPr>
        <w:t xml:space="preserve"> </w:t>
      </w:r>
    </w:p>
    <w:p w14:paraId="15D7EFB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https://clinicaltrials.gov/ct2/show/NCT06262490</w:t>
      </w:r>
      <w:r>
        <w:rPr>
          <w:rFonts w:ascii="Calibri" w:hAnsi="Calibri" w:cs="Calibri"/>
          <w:color w:val="auto"/>
          <w:sz w:val="22"/>
          <w:szCs w:val="22"/>
        </w:rPr>
        <w:t>.</w:t>
      </w:r>
    </w:p>
    <w:p w14:paraId="18153D0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1D2990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https://www.cochranelibrary.com/central/doi/10.1002/central/CN-02680330/full</w:t>
      </w:r>
    </w:p>
    <w:p w14:paraId="0744409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06F6F9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Chronic perineal pain is the anorectal and perineal pain without underlying organic disease, anorectal or endopelvic, which has been excluded by careful physical examination, radiological and endoscopic investigations. So, perineal and vaginal pain after vaginal delivery has been associated with tissue trauma related to operative vaginal delivery, perineal laceration, and episiotomy. Studies assessing chronic pain after vaginal delivery report 2% to 10% of women with pain at six months and later, almost exclusively in mothers who had an assisted vaginal birth. Postpartum pain intensity is usually higher when it is related to vaginal delivery than to cesarean delivery and more severely affects the woman's quality of life and mood.</w:t>
      </w:r>
    </w:p>
    <w:p w14:paraId="2E182F2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0D52CF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9.</w:t>
      </w:r>
      <w:r>
        <w:rPr>
          <w:rFonts w:ascii="Calibri" w:hAnsi="Calibri" w:cs="Calibri"/>
          <w:color w:val="auto"/>
          <w:sz w:val="22"/>
          <w:szCs w:val="22"/>
        </w:rPr>
        <w:t xml:space="preserve"> Nct (2024). </w:t>
      </w:r>
    </w:p>
    <w:p w14:paraId="3D2B55C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"The Effect of Video-assisted Episiotomy Repair Training on Anxiety and Self-efficacy Levels in Midwifery Students."</w:t>
      </w:r>
      <w:r>
        <w:rPr>
          <w:rFonts w:ascii="Calibri" w:hAnsi="Calibri" w:cs="Calibri"/>
          <w:color w:val="auto"/>
          <w:sz w:val="22"/>
          <w:szCs w:val="22"/>
        </w:rPr>
        <w:t xml:space="preserve"> </w:t>
      </w:r>
    </w:p>
    <w:p w14:paraId="4287715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https://clinicaltrials.gov/ct2/show/NCT06348680</w:t>
      </w:r>
      <w:r>
        <w:rPr>
          <w:rFonts w:ascii="Calibri" w:hAnsi="Calibri" w:cs="Calibri"/>
          <w:color w:val="auto"/>
          <w:sz w:val="22"/>
          <w:szCs w:val="22"/>
        </w:rPr>
        <w:t>.</w:t>
      </w:r>
    </w:p>
    <w:p w14:paraId="6114D91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7D9658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https://www.cochranelibrary.com/central/doi/10.1002/central/CN-02687755/full</w:t>
      </w:r>
    </w:p>
    <w:p w14:paraId="6A18D6E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5F8C39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Episiotomy is one of the most commonly performed surgical interventions in normal vaginal birth. Episiotomy, also known as perineotomy, can be defined as an incision made in the perineum to ensure easy delivery of the fetus, shorten the active phase of labor, prevent lacerations, and protect the perineal tissue and anal sphincter. This procedure is a surgical intervention applied to the bulbo‐cavernos muscle located in the perineum in the second phase of labor. It can be said that episiotomy has become widespread as a result of medicalization in birth, as in all areas of health. In particular, moving births from homes to hospital environments can be cited as one of the leading reasons for the increase in episiotomy rates. Routine episiotomy may cause pelvic organ prolapse and damage the muscles in the anal sphincters and perineal structure. In addition, studies on the subject have shown that episiotomy may be associated with problems such as postpartum pain, dyspareunia and incontinence. It is also known that the rate of perineal trauma is high in countries where episiotomy is frequently performed. For this reason, episiotomy, which is basically done to prevent uncontrolled damage that may occur in the perineal area, is not routinely preferred today. The recommendation of the American College of Obstetricians and Gynecologists (ACOG) regarding episiotomy is as follows: Episiotomy may be preferred in cases of risk arising from the mother or the baby, such as protecting against perineal tears that may occur in the mother during vaginal birth, facilitating or accelerating birth, but its use should be limited in cases where it is not necessary. Self‐efficacy is defined as the individual's beliefs about his ability to perform significantly in events that will affect his life. Self‐efficacy perception determines how individuals feel, think, motivate themselves and behave. It is known that motivation increases as the level of self‐efficacy increases). It has also been reported that individuals with high self‐efficacy have a higher potential to cope with problems, experience less stress and anxiety, and make more effort to achieve their desired results. It is estimated that people with low self‐efficacy often experience stress, anxiety and depression, and their academic and social success decreases. As a matter of fact, some studies have found that the academic performance of university students increases in parallel with their self‐efficacy score averages. The goal of midwifery undergraduate education is; To provide students with basic professional knowledge, skills and attitudes in cognitive, affective and psychomotor dimensions. Various practices are used to provide students with midwifery skills. Case studies, maintenance processes, laboratory applications, field studies, simulation application and video monitoring are some of these applications. Each of these approaches, which are especially preferred in applied courses, has an important place in increasing students' self‐efficacy and reducing their anxiety. Episiotomy is one of the obstetric interventions that negatively affects the self‐efficacy of midwifery students and causes anxiety. Midwives are responsible for performing and caring for episiotomy. In many countries, episiotomy repair training is given to midwifery students using sponges or models. However, today the use of calf tongue, which is very similar to perineal tissue, has become widespread. There are a limited number of studies in the literature using calf tongue simulation. These studies suggested that the practice improved the skills of midwifery students. No study has been found in the literature using video‐assisted episiotomy repair training.</w:t>
      </w:r>
    </w:p>
    <w:p w14:paraId="43736A3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DBF9AD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10.</w:t>
      </w:r>
      <w:r>
        <w:rPr>
          <w:rFonts w:ascii="Calibri" w:hAnsi="Calibri" w:cs="Calibri"/>
          <w:color w:val="auto"/>
          <w:sz w:val="22"/>
          <w:szCs w:val="22"/>
        </w:rPr>
        <w:t xml:space="preserve"> Nct (2024). </w:t>
      </w:r>
    </w:p>
    <w:p w14:paraId="7AA3635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"The Effect of Perineal Protective Package Application on Pelvic Floor in Labor."</w:t>
      </w:r>
      <w:r>
        <w:rPr>
          <w:rFonts w:ascii="Calibri" w:hAnsi="Calibri" w:cs="Calibri"/>
          <w:color w:val="auto"/>
          <w:sz w:val="22"/>
          <w:szCs w:val="22"/>
        </w:rPr>
        <w:t xml:space="preserve"> </w:t>
      </w:r>
    </w:p>
    <w:p w14:paraId="692821B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https://clinicaltrials.gov/ct2/show/NCT06428812</w:t>
      </w:r>
      <w:r>
        <w:rPr>
          <w:rFonts w:ascii="Calibri" w:hAnsi="Calibri" w:cs="Calibri"/>
          <w:color w:val="auto"/>
          <w:sz w:val="22"/>
          <w:szCs w:val="22"/>
        </w:rPr>
        <w:t>.</w:t>
      </w:r>
    </w:p>
    <w:p w14:paraId="43A2E44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B1BDCA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https://www.cochranelibrary.com/central/doi/10.1002/central/CN-02702415/full</w:t>
      </w:r>
    </w:p>
    <w:p w14:paraId="56ED6F6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DD78FB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The pelvic floor plays a critical and important role in maintaining healthy functions of the urinary, genital and gastrointestinal systems. When tissues in a region of the pelvic floor are damaged for any reason, pelvic floor dysfunction develops. Pregnancy and childbirth are important risk factors for pelvic floor dysfunction. Hormonal and mechanical changes during pregnancy predispose to impaired pelvic floor function. During pregnancy, weight gain and increase in uterine weight increase intra‐abdominal pressure. Therefore, ligaments and pelvic floor muscles are overstretched. He states that the main factor in pelvic floor dysfunction is vaginal delivery and that the passage of a particularly large fetal head through the birth canal is the trigger. During the passage and descent of the fetal head through the vaginal canal, the pelvic floor muscles can be overstretched, torn or damaged. Obstetric factors that cause pelvic floor damage include early or late age at first birth, high body mass index, large baby, length of the second stage of trauma (labor), forceps, vacuum, episiotomy and fundal compression. Damage to the pelvic floor during labor has many short‐ and long‐term effects on a woman's quality of life. These can be summarized as chronic perineal pain, pelvic organ prolapse, urinary and anal incontinence, fistula, sexual dysfunction, labor dissatisfaction, physical and psychological morbidities, and decreased quality of life. In addition, breastfeeding and mother‐infant attachment problems may also occur due to perineal pain in the early postpartum period. Therefore, it is important to prevent pelvic floor damage in childbirth, which negatively affects physical, social and psychological well‐being and leads to many short and long‐term morbidities. The World Health Organization recommends the use of techniques such as hot compresses to reduce perineal damage and facilitate spontaneous delivery. In the literature, there are many studies examining interventions to protect the pelvic floor in labor. Studies show that perineal massage, perineal warm application, birth positions, hand maneuvers, pushing techniques, and limited episiotomy reduce the incidence of perineal injury. However, studies on these techniques and practices are generally studies investigating the effectiveness of a single method. In a recent qualitative study, midwives were asked to evaluate the effect of some protective practices called; perineal package; as a whole. However, in this study, midwives; own practices and opinions were evaluated, and their effects on the pelvic floor or labor were not examined. International organizations recommend the application of evidence‐based, perineal, and pelvic floor supportive and protective methods to pregnant women in labor. However, the relationship between these practices and postpartum pelvic floor muscle strength and the presence of incontinence, which are indicators of pelvic floor damage, is unclear and studies to evaluate this relationship are limited. The research will be conducted in 4 stages. In Phase 1, pregnant women who meet the inclusion criteria will be interviewed when they are admitted to the delivery room. In the first interview, the relevant sections of the data collection form will be filled out, pelvic floor muscle strength will be measured with a perineometer, and the IIQ‐7 and UDI‐6 scales will be filled out. Pregnant women with incontinence detected in these scales will be excluded. Then, pregnant women will be randomized using the true random number generation method on the random.org website and assigned to the study and control groups. Then, the delivery process of all pregnant women in the study and control groups will be monitored and recorded using the relevant section of the data collection form. In phase 2, the perineal pain felt by pregnant women in both groups will be evaluated using VAS when the second stage of labor begins. The second stage of labor is the time from complete dilatation of the cervix until the fetal head is born. During this stag , the study group will receive a perineal protection package while the control group will receive routine care. Postpartum perineal pain, episiotomy length if episiotomy was applied and perineal length will be measured in both groups. The results of the trauma will be recorded in the labor follow‐up form. In the 3rd stage, pregnant women in both groups will be interviewed at the 1st hour postpartum and perineal pain will be evaluated with VAS. In the 4th stage, the pregnant women in the study and control groups will be measured pelvic muscle strength with a perineometer, perineal length will be measured and recorded on the relevant form during routine hospital control at the 6th week postpartum. UDI‐6 (urinary distress inventory) and IIQ‐7 (incontinence impact questionnaire) will be completed.</w:t>
      </w:r>
    </w:p>
    <w:p w14:paraId="01B2574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1C9E30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11.</w:t>
      </w:r>
      <w:r>
        <w:rPr>
          <w:rFonts w:ascii="Calibri" w:hAnsi="Calibri" w:cs="Calibri"/>
          <w:color w:val="auto"/>
          <w:sz w:val="22"/>
          <w:szCs w:val="22"/>
        </w:rPr>
        <w:t xml:space="preserve"> Nct (2024). </w:t>
      </w:r>
    </w:p>
    <w:p w14:paraId="291766E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"TRESPASS Clinical Study."</w:t>
      </w:r>
      <w:r>
        <w:rPr>
          <w:rFonts w:ascii="Calibri" w:hAnsi="Calibri" w:cs="Calibri"/>
          <w:color w:val="auto"/>
          <w:sz w:val="22"/>
          <w:szCs w:val="22"/>
        </w:rPr>
        <w:t xml:space="preserve"> </w:t>
      </w:r>
    </w:p>
    <w:p w14:paraId="01D370D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https://clinicaltrials.gov/ct2/show/NCT06443736</w:t>
      </w:r>
      <w:r>
        <w:rPr>
          <w:rFonts w:ascii="Calibri" w:hAnsi="Calibri" w:cs="Calibri"/>
          <w:color w:val="auto"/>
          <w:sz w:val="22"/>
          <w:szCs w:val="22"/>
        </w:rPr>
        <w:t>.</w:t>
      </w:r>
    </w:p>
    <w:p w14:paraId="279D393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5A964B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https://www.cochranelibrary.com/central/doi/10.1002/central/CN-02707482/full</w:t>
      </w:r>
    </w:p>
    <w:p w14:paraId="5E8916D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C3D506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Perineal trauma from delivery correlates with an increased incidence of perineal pain and discomfort, dyspareunia and sexual dysfunction, as well as urinary and anal incontinence and therefore have a significant impact on women's physical and mental health. Prepartum perineal massage has been shown to reduce the incidence of spontaneous vagino‐perineal tears and promote better anatomo‐functional recovery of the perineum in the postpartum period. To date, there are no guidelines on the best modes of perineal massage, and there is a lack of true standardization of the process in the literature. The authors developed, on the basis of the evidence available at the present time, a peculiar type of perineal massage, embedded in a standardized clinical process including training and follow‐up of the patient. All pregnant patients who meet the inclusion criteria will be selected and offered participation in the study by delivering the information brochure at the 2nd trimester obstetrical visit. If at the 3rd trimester obstetrical visit the patient expresses willingness to participate in the study, consent will be signed and enrollment and randomization to the study will be performed. The patient will then be notified of the date of the training meeting held by the investigator and/or co‐authors; at this meeting, a brief lecture on aspects of primary pelvic floor prevention will be offered to patients in group A, who will also be educated on the perineal massage proposed by the Authors. Group B patients will equally be offered a short lecture on aspects of primary prevention, leaving the patient free choice in pelvic floor education in pregnancy. Group A patients will perform the learned perineal massage at home, reporting their adherence to the study in a diary. After delivery, at the time of discharge, a data collection form regarding postpartum perineal pain will be given to the patient and the date of the 45‐day follow‐up visit will be communicated. Thus, the primary endpoint of the present study is to assess the difference in incidence in the two study groups of the absence of vagino‐perineal tears (intact perineum). Secondary endpoints to be assessed are the superiority of perineal massage on the duration of the second stage of labor, on incidence of operative delivery and episiotomies, and on perineal pain and dyspareunia in postpartum. Investigating the relationship between prepartum perineal massage and perineal tears (and related short‐ and long‐term morbidity) could lead to improvement in obstetric clinical practice by giving the right guidance to the pregnant woman in pelvic floor education.</w:t>
      </w:r>
    </w:p>
    <w:p w14:paraId="6743532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CD97B5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12.</w:t>
      </w:r>
      <w:r>
        <w:rPr>
          <w:rFonts w:ascii="Calibri" w:hAnsi="Calibri" w:cs="Calibri"/>
          <w:color w:val="auto"/>
          <w:sz w:val="22"/>
          <w:szCs w:val="22"/>
        </w:rPr>
        <w:t xml:space="preserve"> Madej-Lukasiak, D., et al. (2024). </w:t>
      </w:r>
    </w:p>
    <w:p w14:paraId="5E5DD50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"The use of capacitive and resistive energy transfer in postpartum perineal pain management."</w:t>
      </w:r>
      <w:r>
        <w:rPr>
          <w:rFonts w:ascii="Calibri" w:hAnsi="Calibri" w:cs="Calibri"/>
          <w:color w:val="auto"/>
          <w:sz w:val="22"/>
          <w:szCs w:val="22"/>
        </w:rPr>
        <w:t xml:space="preserve"> </w:t>
      </w:r>
    </w:p>
    <w:p w14:paraId="50C35E1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European Journal of Obstetrics and Gynecology and Reproductive Biology</w:t>
      </w:r>
      <w:r>
        <w:rPr>
          <w:rFonts w:ascii="Calibri" w:hAnsi="Calibri" w:cs="Calibri"/>
          <w:color w:val="auto"/>
          <w:sz w:val="22"/>
          <w:szCs w:val="22"/>
        </w:rPr>
        <w:t xml:space="preserve"> 293: 31.</w:t>
      </w:r>
    </w:p>
    <w:p w14:paraId="71FE6B2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862AC1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https://www.cochranelibrary.com/central/doi/10.1002/central/CN-02666786/full</w:t>
      </w:r>
    </w:p>
    <w:p w14:paraId="0C70A2E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825783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Introduction: First‐ and second‐degree perineal tears occur in 22.8% of women giving birth, while third‐ and fourth‐degree tears in 1.8‐5.9% of cases. During the first day after a vaginal delivery, perineal pain occurs in more than 95% of women who have had an episiotomy, or first‐ or second‐degree perineal tear. Aims: To assess the effect of capacitive and resistive energy transfer (TECAR) on the perineal pain level in the first two days after vaginal delivery with perineal trauma. Materials and methods: The randomized, double‐blind study included history, transvaginal physiotherapeutic examination, and interventions with TECAR on the first and second day after delivery. Subjects were randomized into the study and control (sham) group. The pain level at rest and while walking were measured using the Numerical Rating Scale (NRS) at baseline and after the first and second interventions. Data were analyzed as a distribution of the differences between measurements within and between the groups. Results: The study included 121 women (60 primiparas and 61 multiparous) with a mean age 30.7±4.2 years and a median BMI 26.1kg/m2 (24.1; 28.9). In the study group, significant differences between baseline and first and second interventions for pain at rest and pain while walking were observed (p=0.00), while in the control group, only between baseline and the second intervention (p=0.002). In a comparison between groups, statistically significant results were obtained for the distribution of differences between the baseline and after the second TECAR intervention for the pain at rest parameter: median difference ‐2(‐3;‐1) (p=0.045) and for the distribution of differences before and after the first intervention for the pain while walking: median difference ‐0.5(‐2;0) (p&lt;0.01). Conclusions: TECAR therapy is a non‐invasive method, which might accelerate recovery and can be considered as an adjunct to pain management in the first days after delivery for perineal injuries.</w:t>
      </w:r>
    </w:p>
    <w:p w14:paraId="3082A89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F8A2F9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13.</w:t>
      </w:r>
      <w:r>
        <w:rPr>
          <w:rFonts w:ascii="Calibri" w:hAnsi="Calibri" w:cs="Calibri"/>
          <w:color w:val="auto"/>
          <w:sz w:val="22"/>
          <w:szCs w:val="22"/>
        </w:rPr>
        <w:t xml:space="preserve"> Luxey, X., et al. (2024). </w:t>
      </w:r>
    </w:p>
    <w:p w14:paraId="1350E7C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"Acute pain management after vaginal delivery with perineal tears or episiotomy."</w:t>
      </w:r>
      <w:r>
        <w:rPr>
          <w:rFonts w:ascii="Calibri" w:hAnsi="Calibri" w:cs="Calibri"/>
          <w:color w:val="auto"/>
          <w:sz w:val="22"/>
          <w:szCs w:val="22"/>
        </w:rPr>
        <w:t xml:space="preserve"> </w:t>
      </w:r>
    </w:p>
    <w:p w14:paraId="21D7DBE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Regional anesthesia and pain medicine</w:t>
      </w:r>
      <w:r>
        <w:rPr>
          <w:rFonts w:ascii="Calibri" w:hAnsi="Calibri" w:cs="Calibri"/>
          <w:color w:val="auto"/>
          <w:sz w:val="22"/>
          <w:szCs w:val="22"/>
        </w:rPr>
        <w:t>: rapm-2024-105478.</w:t>
      </w:r>
    </w:p>
    <w:p w14:paraId="711B683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379A3C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https://rapm.bmj.com/content/by/year/2019</w:t>
      </w:r>
    </w:p>
    <w:p w14:paraId="2C8DD4B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http://ovidsp.ovid.com/ovidweb.cgi?T=JS&amp;PAGE=reference&amp;D=emexb&amp;NEWS=N&amp;AN=2032392994</w:t>
      </w:r>
    </w:p>
    <w:p w14:paraId="5825C01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B468C1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A vaginal delivery may be associated with acute postpartum pain, particularly after perineal trauma. However, pain management in this setting remains poorly explored. Objective(s): The aim of this systematic review was to evaluate the literature and to develop recommendations for pain management after a vaginal delivery with perineal trauma. Evidence review: MEDLINE, Embase, and Cochrane databases were searched for randomized controlled trials (RCTs) and systematic reviews assessing pain after a vaginal delivery with perineal tears or episiotomy until March 2023. Cochrane Covidence quality assessment generic tool and the RoB Vis 2 tool were used to grade the quality of evidence. Finding(s): Overall, 79 studies (69 RCTs and 10 systematic reviews and meta-analyses) of good quality of evidence were included. Acetaminophen and non-steroidal anti-inflammatory drugs (NSAIDs) are recommended as first-line treatment. Epidural morphine (&lt;=2 mg) is recommended among women with labor epidural analgesia and severe perineal tears, with adequate respiratory monitoring. Local anesthetic infiltration, topical local anesthetic, ointment application, and pudendal nerve block are not recommended due to insufficient or lack of evidence. Ice or chemical cold packs are recommended for postpartum pain first-line treatment due to their simplicity of use. Transcutaneous nerve stimulation and acupuncture are recommended as adjuvants. When a perineal suture is indicated, a continuous suture compared with an interrupted suture for the repair of episiotomy or second-degree perineal tears is recommended for the outcome of pain. For women with first-degree or second-degree perineal tears, no suturing or glue compared with suturing is recommended for the outcome of pain. Conclusion(s): Postpartum pain management after a vaginal delivery with perineal trauma should include acetaminophen, NSAIDs, and ice or chemical cold packs. Epidural morphine should be reserved for severe perineal tears. A surgical repair technique should depend on perineal tear severity.Copyright © American Society of Regional Anesthesia &amp; Pain Medicine 2024. No commercial re-use. See rights and permissions. Published by BMJ.</w:t>
      </w:r>
    </w:p>
    <w:p w14:paraId="1C7848F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D94B91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14.</w:t>
      </w:r>
      <w:r>
        <w:rPr>
          <w:rFonts w:ascii="Calibri" w:hAnsi="Calibri" w:cs="Calibri"/>
          <w:color w:val="auto"/>
          <w:sz w:val="22"/>
          <w:szCs w:val="22"/>
        </w:rPr>
        <w:t xml:space="preserve"> Horvath, B., et al. (2024). </w:t>
      </w:r>
    </w:p>
    <w:p w14:paraId="5D8DCDD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"Persistent Postpartum Pain - A Somatic and Psychologic Perfect Storm."</w:t>
      </w:r>
      <w:r>
        <w:rPr>
          <w:rFonts w:ascii="Calibri" w:hAnsi="Calibri" w:cs="Calibri"/>
          <w:color w:val="auto"/>
          <w:sz w:val="22"/>
          <w:szCs w:val="22"/>
        </w:rPr>
        <w:t xml:space="preserve"> </w:t>
      </w:r>
    </w:p>
    <w:p w14:paraId="241EC88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Journal of Pain Research</w:t>
      </w:r>
      <w:r>
        <w:rPr>
          <w:rFonts w:ascii="Calibri" w:hAnsi="Calibri" w:cs="Calibri"/>
          <w:color w:val="auto"/>
          <w:sz w:val="22"/>
          <w:szCs w:val="22"/>
        </w:rPr>
        <w:t xml:space="preserve"> 17: 35-44.</w:t>
      </w:r>
    </w:p>
    <w:p w14:paraId="4C000D4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90A510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https://www.dovepress.com/getfile.php?fileID=95739</w:t>
      </w:r>
    </w:p>
    <w:p w14:paraId="5BD2890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http://ovidsp.ovid.com/ovidweb.cgi?T=JS&amp;PAGE=reference&amp;D=emexb&amp;NEWS=N&amp;AN=2027550493</w:t>
      </w:r>
    </w:p>
    <w:p w14:paraId="36DEA59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683242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Persistent postpartum pain is common and has a complex etiology. It has both somatic and psychosocial provoking factors and has both functional and psychological ramifications following childbirth. Pain that limits the functional capacity of a person who has the daunting task to take care of all the demands of managing a growing newborn and infant can have debilitating consequences for several people simultaneously. We will review the incidence of persistent postpartum pain, analyze the risk factors, and discuss obstetric, anesthetic, and psychological tools for prevention and management. Based on the current knowledge, early antenatal screening and management is described as the most likely measure to identify patients at risk for persistent postpartum pain. Such antenatal management should be based on the close collaboration between obstetricians, anesthesiologists, and psychologists to tailor peripartum pain management and psychological support-based individual needs.Copyright © 2024 Horvath et al. This work is published and licensed by Dove Medical Press Limited.</w:t>
      </w:r>
    </w:p>
    <w:p w14:paraId="400E38D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CA7800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15.</w:t>
      </w:r>
      <w:r>
        <w:rPr>
          <w:rFonts w:ascii="Calibri" w:hAnsi="Calibri" w:cs="Calibri"/>
          <w:color w:val="auto"/>
          <w:sz w:val="22"/>
          <w:szCs w:val="22"/>
        </w:rPr>
        <w:t xml:space="preserve"> Filippini, M., et al. (2024). </w:t>
      </w:r>
    </w:p>
    <w:p w14:paraId="40E8346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"The Utility of CO2 Laser Treatment of Pelvic Symptoms in Women with Previous Perineal Trauma during Delivery."</w:t>
      </w:r>
      <w:r>
        <w:rPr>
          <w:rFonts w:ascii="Calibri" w:hAnsi="Calibri" w:cs="Calibri"/>
          <w:color w:val="auto"/>
          <w:sz w:val="22"/>
          <w:szCs w:val="22"/>
        </w:rPr>
        <w:t xml:space="preserve"> </w:t>
      </w:r>
    </w:p>
    <w:p w14:paraId="27306BB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Journal of personalized medicine</w:t>
      </w:r>
      <w:r>
        <w:rPr>
          <w:rFonts w:ascii="Calibri" w:hAnsi="Calibri" w:cs="Calibri"/>
          <w:color w:val="auto"/>
          <w:sz w:val="22"/>
          <w:szCs w:val="22"/>
        </w:rPr>
        <w:t xml:space="preserve"> 14(1): 60.</w:t>
      </w:r>
    </w:p>
    <w:p w14:paraId="07A0A90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980C30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http://www.mdpi.com/journal/jpm</w:t>
      </w:r>
    </w:p>
    <w:p w14:paraId="1BC62BA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http://ovidsp.ovid.com/ovidweb.cgi?T=JS&amp;PAGE=reference&amp;D=emexb&amp;NEWS=N&amp;AN=2028067698</w:t>
      </w:r>
    </w:p>
    <w:p w14:paraId="1C8545D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FD4137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This study aimed to examine the impact of fractional CO2 laser treatment of pelvic symptoms in women who have undergone perineal trauma from vaginal delivery. It was a retrospective, monocentric analysis that encompassed all women assessed for pelvic discomfort or signs of vulvovaginal atrophy following vaginal delivery between 2013 and 2018. The severity of symptoms was assessed using the Visual Analogue Scale (VAS). Twenty-seven patients met the inclusion criteria and were sorted into two groups: (1) women who had undergone episiotomies during labor (n = 11); and (2) women who had experienced spontaneous tears during vaginal delivery (n = 16). For women with episiotomies, each treatment and subsequent evaluation consistently showed a significant reduction in dyspareunia intensity. A similar positive trend was observed regarding pain at the introitus (7.5 vs. 6.5 after the first treatment, p = 0.03; 6.5 vs. 3 after the second treatment, p = 0.01; 3 vs. 1 after the third treatment, p = 0.01). Among women experiencing spontaneous perineal tears during delivery, there was a notable decrease in dyspareunia following all treatments (8 vs. 7 after the first treatment, p = 0.01; 8 vs. 4 after the second treatment, p = 0.02; 3 vs. 1 after the third treatment, p = 0.03). The impact of laser treatment did not exhibit significant differences between women who underwent episiotomies and those who experienced spontaneous perineal tears. In conclusion, fractional CO2 laser can be regarded as a non-pharmacological option for managing pelvic floor symptoms in women who encountered perineal trauma during delivery, independently from the nature, spontaneity, or iatrogenesis of the perineal laceration.Copyright © 2023 by the authors.</w:t>
      </w:r>
    </w:p>
    <w:p w14:paraId="45FC242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5030D0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16.</w:t>
      </w:r>
      <w:r>
        <w:rPr>
          <w:rFonts w:ascii="Calibri" w:hAnsi="Calibri" w:cs="Calibri"/>
          <w:color w:val="auto"/>
          <w:sz w:val="22"/>
          <w:szCs w:val="22"/>
        </w:rPr>
        <w:t xml:space="preserve"> Dube, S., et al. (2024). </w:t>
      </w:r>
    </w:p>
    <w:p w14:paraId="1116EBB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"Do perfectionism, body image concerns, and intimacy predict genitopelvic pain in the postpartum? A prospective study of new mothers."</w:t>
      </w:r>
      <w:r>
        <w:rPr>
          <w:rFonts w:ascii="Calibri" w:hAnsi="Calibri" w:cs="Calibri"/>
          <w:color w:val="auto"/>
          <w:sz w:val="22"/>
          <w:szCs w:val="22"/>
        </w:rPr>
        <w:t xml:space="preserve"> </w:t>
      </w:r>
    </w:p>
    <w:p w14:paraId="375D3A7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Journal of Sexual Medicine</w:t>
      </w:r>
      <w:r>
        <w:rPr>
          <w:rFonts w:ascii="Calibri" w:hAnsi="Calibri" w:cs="Calibri"/>
          <w:color w:val="auto"/>
          <w:sz w:val="22"/>
          <w:szCs w:val="22"/>
        </w:rPr>
        <w:t xml:space="preserve"> 21(6): 566-572.</w:t>
      </w:r>
    </w:p>
    <w:p w14:paraId="0E9904E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F5D0C2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https://academic.oup.com/jsm</w:t>
      </w:r>
    </w:p>
    <w:p w14:paraId="4FA8C50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http://ovidsp.ovid.com/ovidweb.cgi?T=JS&amp;PAGE=reference&amp;D=emexc&amp;NEWS=N&amp;AN=2032595917</w:t>
      </w:r>
    </w:p>
    <w:p w14:paraId="189C987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A91895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Genitopelvic pain following childbirth is common and likely to challenge the psychological, relational, and sexual well-being of new mothers. While genitopelvic pain generally decreases during the postpartum period, personal and interpersonal characteristics may explain why genitopelvic pain persists beyond the period of physical recovery in some mothers. Body image concerns, increased stress, and relationship challenges would be particularly salient during pregnancy and the postpartum period, which could put new mothers at greater risk of sexual difficulties. Also, mothers may display a negative appraisal regarding genitopelvic pain and doubt their ability to cope with it, which may contribute to the pain. Aim(s): The current study aimed to examine the role of perfectionism, body image concerns, and perceived intimacy in the occurrence and change in genitopelvic pain in new mothers in postpartum. Method(s): A total of 211 new mothers and their partners were recruited for a larger prospective dyadic study on the transition to parenthood. Outcome(s): Mothers completed a single item assessing genitopelvic pain, in addition to brief validated questionnaires measuring perfectionism, body image concerns, and perceived couple intimacy during pregnancy and at 4, 8, and 12 months postpartum. Result(s): Five multilevel modeling analyses revealed that adaptive perfectionism, maladaptive perfectionism, and body image concerns were associated with a higher occurrence of genitopelvic pain from 4 to 12 months postpartum. Mothers' and partners' perceived intimacy was not significantly related to new mothers' genitopelvic pain. None of the predictors modified the trajectory of genitopelvic pain over time. Clinical Implications: Raising awareness among health care professionals regarding the role of perfectionism and body image concerns in genitopelvic pain may help them identify new mothers at risk of chronic genitopelvic pain, while offering a new avenue of intervention. Strengths and Limitations: There has been little research examining the role of perfectionism, body image concerns, and intimacy in postpartum genitopelvic pain. Based on a longitudinal prospective approach, this study identified perfectionism and body image concerns as significant predictors of postpartum genitopelvic pain. However, prepregnancy genitopelvic pain, genitopelvic pain intensity, and sexual distress were not measured. Conclusion(s): Adaptive and maladaptive perfectionism and body image concerns are associated with new mothers' genitopelvic pain up to 12 months postpartum.Copyright © 2024 The Author(s). Published by Oxford University Press on behalf of The International Society of Sexual Medicine.</w:t>
      </w:r>
    </w:p>
    <w:p w14:paraId="4C4E70F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851CEC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17.</w:t>
      </w:r>
      <w:r>
        <w:rPr>
          <w:rFonts w:ascii="Calibri" w:hAnsi="Calibri" w:cs="Calibri"/>
          <w:color w:val="auto"/>
          <w:sz w:val="22"/>
          <w:szCs w:val="22"/>
        </w:rPr>
        <w:t xml:space="preserve"> de Sena Fraga, C. D., et al. (2024). </w:t>
      </w:r>
    </w:p>
    <w:p w14:paraId="7576E14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"Use of a peanut ball, positioning and pelvic mobility in parturient women shortens labour and improves maternal satisfaction with childbirth: a randomised trial."</w:t>
      </w:r>
      <w:r>
        <w:rPr>
          <w:rFonts w:ascii="Calibri" w:hAnsi="Calibri" w:cs="Calibri"/>
          <w:color w:val="auto"/>
          <w:sz w:val="22"/>
          <w:szCs w:val="22"/>
        </w:rPr>
        <w:t xml:space="preserve"> </w:t>
      </w:r>
    </w:p>
    <w:p w14:paraId="6CADBFD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Journal of physiotherapy</w:t>
      </w:r>
      <w:r>
        <w:rPr>
          <w:rFonts w:ascii="Calibri" w:hAnsi="Calibri" w:cs="Calibri"/>
          <w:color w:val="auto"/>
          <w:sz w:val="22"/>
          <w:szCs w:val="22"/>
        </w:rPr>
        <w:t xml:space="preserve"> 70(2): 134‐141.</w:t>
      </w:r>
    </w:p>
    <w:p w14:paraId="60A604A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C0D819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https://www.cochranelibrary.com/central/doi/10.1002/central/CN-02678569/full</w:t>
      </w:r>
    </w:p>
    <w:p w14:paraId="0D32430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C42E31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QUESTION: What is the effect of a protocol targeted at the various stages of labour ‐ with a peanut ball, positioning and pelvic mobility ‐ on the duration of labour, pain severity, fatigue, maternal outcomes, neonatal outcomes and satisfaction in parturients without analgesia? DESIGN: A randomised trial with concealed allocation, blinding of assessors and intention‐to‐treat analysis. PARTICIPANTS: One hundred women in active labour. INTERVENTION: The experimental group received the protocol targeted at the various stages of labour, with a peanut ball, positioning and pelvic mobility, whilst the control group received usual care. OUTCOME MEASURES: The primary outcomes were the duration of labour and pain severity. The secondary outcomes were maternal fatigue, mode of delivery, risk of perineal laceration, severity of perineal laceration, use of synthetic oxytocin, satisfaction with delivery, Apgar scores, admission of the neonate to an intensive care unit and resuscitation of the neonate in the delivery room. In the active phase of labour, the numerical rating scale and maternal perception of childbirth fatigue questionnaire were applied; they were taken again when the parturient had 8 to 10 cm of dilation. The numerical rating scale was also applied postpartum to evaluate satisfaction with childbirth. RESULTS: The use of the protocol with a peanut ball reduced the duration of active and expulsive phases and the total duration of labour, with mean differences of 82 minutes (95% CI 41 to 125), 8 minutes (95% CI 0 to 18) and 89 minutes (95% CI 45 to 132), respectively. Maternal satisfaction was better in the experimental group: mean between‐group difference on the 10‐point scale was 1.1 (95% CI 0.4 to 1.8). The effects on the other outcomes were either similar between groups or unclear. CONCLUSION: A protocol with a peanut ball, positioning and pelvic mobility reduced the duration of labour and improved maternal satisfaction with childbirth. REGISTRATION: RBR‐74wcnjc.</w:t>
      </w:r>
    </w:p>
    <w:p w14:paraId="0D100C3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BB10EF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18.</w:t>
      </w:r>
      <w:r>
        <w:rPr>
          <w:rFonts w:ascii="Calibri" w:hAnsi="Calibri" w:cs="Calibri"/>
          <w:color w:val="auto"/>
          <w:sz w:val="22"/>
          <w:szCs w:val="22"/>
        </w:rPr>
        <w:t xml:space="preserve"> Ctri (2024). </w:t>
      </w:r>
    </w:p>
    <w:p w14:paraId="1297FF0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"Effect of ‘Routine episiotomy’ versus ‘No episiotomy’ on perineal injury and pelvic floor dysfunction during normal vaginal delivery among primigravida women: a Pilot study."</w:t>
      </w:r>
      <w:r>
        <w:rPr>
          <w:rFonts w:ascii="Calibri" w:hAnsi="Calibri" w:cs="Calibri"/>
          <w:color w:val="auto"/>
          <w:sz w:val="22"/>
          <w:szCs w:val="22"/>
        </w:rPr>
        <w:t xml:space="preserve"> </w:t>
      </w:r>
    </w:p>
    <w:p w14:paraId="6C1FC5E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https://trialsearch.who.int/Trial2.aspx?TrialID=CTRI/2024/03/064216</w:t>
      </w:r>
      <w:r>
        <w:rPr>
          <w:rFonts w:ascii="Calibri" w:hAnsi="Calibri" w:cs="Calibri"/>
          <w:color w:val="auto"/>
          <w:sz w:val="22"/>
          <w:szCs w:val="22"/>
        </w:rPr>
        <w:t>.</w:t>
      </w:r>
    </w:p>
    <w:p w14:paraId="19F8DDC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B60FC9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https://www.cochranelibrary.com/central/doi/10.1002/central/CN-02684729/full</w:t>
      </w:r>
    </w:p>
    <w:p w14:paraId="52C85E1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BCE7BC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INTERVENTION: Intervention1: Routine Episiotomy: Mediolateral episiotomy will be performed using specific episiotomy scissors at the time of crowning during second stage of labour. Local anaesthesia( Injection lidocaine) will be given in the hymeneal plane, 1mL subcutaneously at the incision point and 9mL in a fan‐like fashion from the incision point. Distance from incision point to the posterior fourchette between 1‐3 cm and angle from the sagittal or parasagittal plane: 60° (45°–80°, aim at the ischial tuberosity). Length of the incision: 4 cm (3–5 cm). Control Intervention1: NO EPISIOTOMY: For women allocated to ‘no episiotomy’, the resident conducting delivery will be instructed to base their management on the principle that episiotomy is unnecessary even in situations where literature suggests that it may confer some benefit. Hence in this group, perineum will possibly remain intact or tear spontaneously. The resident conducting delivery may only perform episiotomy if severe fetal distress is suspected/or if instrumental delivery is required. Any episiotomy should be mediolateral. All women will receive perineal protection using verbal guiding and manual support of the perineum during the delivery of the fetal head and body irrespective of the group allocated. They will be accompanied during delivery according to the WHO recommendations for positive childbirth experience. This model favors non‐supine positions, non‐pharmacological pain relief methods, continuous support during delivery and techniques for protecting the perineum like perineal massage, warm compresses, and ‘hands on’ guarding of the perineum(all in accordance with the woman’s preferences). Perineal massage would involve inserting two fingers into the vagina and applying mild, downward pressure to the vagina toward CONDITION: Health Condition 1: O80‐ Encounter for full‐term uncomplicated delivery PRIMARY OUTCOME: Grade of perineal injury,Characteristics of suturing,Perineal pain, Urinary retention, Complications of perineal suturing, Symptoms of pelvic floor dysfunction, Clinical assessment of pelvic floor muscle function,Prolapse staging, degree of perineal injury, change in the level of serum biomarkers from baseline among the two groups, postpartum pelvic floor outcomes like anal incontinence, Urinary incontinenceTimepoint: 1.Within 24 hours of delivery ; 2. At 36 hours after delivery ; 3. At 3 months after delivery SECONDARY OUTCOME: With in 24 hours after delivery ; ‐ Duration of second stage of labour ; ‐Perineal pain and childbirth experience on Visual Analogue Scale ; ‐Need for pain killer/frequency of use of pain killer/epidural top ups/iv paracetamol/flexon/other analgesics ; ‐Parauretheral tears ; ‐Need for instrumental delivery ; 2. At 36 hours after delivery ; ‐ Need for pain killer/frequency of use of pain killer/epidural top ups/iv paracetamol/flexon/other analgesics ; 3. At 3 months after delivery ; ‐ Dyspareunia ; Timepoint: With in 24 hours after delivery ; At 36 hours after delivery ; At 3 months after delivery INCLUSION CRITERIA: Antenatal women admitted in third trimester with singleton pregnancy having cephalic presentation at &gt;34 weeks who are expected to have a normal vaginal delivery</w:t>
      </w:r>
    </w:p>
    <w:p w14:paraId="6B6FA94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5BE124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19.</w:t>
      </w:r>
      <w:r>
        <w:rPr>
          <w:rFonts w:ascii="Calibri" w:hAnsi="Calibri" w:cs="Calibri"/>
          <w:color w:val="auto"/>
          <w:sz w:val="22"/>
          <w:szCs w:val="22"/>
        </w:rPr>
        <w:t xml:space="preserve"> Ctri (2024). </w:t>
      </w:r>
    </w:p>
    <w:p w14:paraId="57D0605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"Study of the impact of delivery without episiotomy among primigravida women."</w:t>
      </w:r>
      <w:r>
        <w:rPr>
          <w:rFonts w:ascii="Calibri" w:hAnsi="Calibri" w:cs="Calibri"/>
          <w:color w:val="auto"/>
          <w:sz w:val="22"/>
          <w:szCs w:val="22"/>
        </w:rPr>
        <w:t xml:space="preserve"> </w:t>
      </w:r>
    </w:p>
    <w:p w14:paraId="700D0A6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https://trialsearch.who.int/Trial2.aspx?TrialID=CTRI/2024/03/064111</w:t>
      </w:r>
      <w:r>
        <w:rPr>
          <w:rFonts w:ascii="Calibri" w:hAnsi="Calibri" w:cs="Calibri"/>
          <w:color w:val="auto"/>
          <w:sz w:val="22"/>
          <w:szCs w:val="22"/>
        </w:rPr>
        <w:t>.</w:t>
      </w:r>
    </w:p>
    <w:p w14:paraId="3F54E39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6ACE1E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https://www.cochranelibrary.com/central/doi/10.1002/central/CN-02684792/full</w:t>
      </w:r>
    </w:p>
    <w:p w14:paraId="2163ACB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7E5D91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INTERVENTION: Intervention1: Routine episiotomy: Mediolateral episiotomy will be performed using specific episiotomy scissors at the time of crowning during second stage of labour. Local anaesthesia( Injection lidocaine) will be given in the hymeneal plane, 1mL subcutaneously at the incision point and 9mL in a fan‐like fashion from the incision point. Distance from incision point to the posterior fourchette between 1‐3 cm and angle from the sagittal or parasagittal plane: 60° (45°–80°, aim at the ischial tuberosity). Length of the incision: 4 cm (3–5 cm). Thickness of perineum just before delivery Control Intervention1: No episiotomy: Episiotomy will not be given and either the perineum will tear or remain intact CONDITION: Health Condition 1: O80‐ Encounter for full‐term uncomplicated delivery PRIMARY OUTCOME: 1st Outcome Grade of perineal injury by digital examination by senior obstetrician according to RCOG 2017 along with number of tears direction of tears and length of tears ; Characteristics of suturing including duration of suturing, number of suture packs used, subjective grading ; of suturing difficulty and need for extended suturing in the operation room ; 2nd outcome Perineal pain evaluation using 11 points verbal numeric scale ; Urinary retention for more than 6 h after delivery urinary catheter extraction ; Symptoms of pelvic floor dysfunction ; 3rd Outcome ; Questionnaire for postpartum pelvic floor outcomes among study participants ; Anal incontinence is assessed by St Marks Vaizey incontinence score ; Urinary incontinence is assessed International Consultation on incontinence questionnaire ; short form ; Impact on pelvic floor will be assessed by Pelvic floor impact questionnaire Short form ; Resumption of sexual activityTimepoint: 1st With in 24 hours after delivery ; 2nd At 36 hrs after delivery ; 3rd At 3 months after delivery SECONDARY OUTCOME: DyspareuniaTimepoint: At 3 months after delivery ; Need for pain killer or frequency of use of pain killer or epidural top ups or iv paracetamol or flexon or other ; analgesicsTimepoint: At 36 hours after delivery With in 24 hours after delivery ; Duration of second stage of labour ; Perineal pain and childbirth experience on Visual Analogue Scale ; Need for pain killer, frequency of use of pain killer or epidural top ups or iv paracetamol,flexon,other ; analgesics ; Parauretheral tears ; Need for instrumental deliveryTimepoint: With in 24 hours after delivery INCLUSION CRITERIA: Antenatal women with singleton cephalic presentation age 18 yrs to 40 yrs Antenatal women admitted in the third trimester with singleton pregnancy having a cephalic presentation at more than 34 weeks who are expected to have a normal vaginal delivery</w:t>
      </w:r>
    </w:p>
    <w:p w14:paraId="17C66E2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27C680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20.</w:t>
      </w:r>
      <w:r>
        <w:rPr>
          <w:rFonts w:ascii="Calibri" w:hAnsi="Calibri" w:cs="Calibri"/>
          <w:color w:val="auto"/>
          <w:sz w:val="22"/>
          <w:szCs w:val="22"/>
        </w:rPr>
        <w:t xml:space="preserve"> Chi, X., et al. (2024). </w:t>
      </w:r>
    </w:p>
    <w:p w14:paraId="69AF54D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"Delivery Mode and the Pelvic Floor Function of Primiparous Women at Early Postpartum: An Observational Retrospective Cohort Study."</w:t>
      </w:r>
      <w:r>
        <w:rPr>
          <w:rFonts w:ascii="Calibri" w:hAnsi="Calibri" w:cs="Calibri"/>
          <w:color w:val="auto"/>
          <w:sz w:val="22"/>
          <w:szCs w:val="22"/>
        </w:rPr>
        <w:t xml:space="preserve"> </w:t>
      </w:r>
    </w:p>
    <w:p w14:paraId="0656B1D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Clinical and Experimental Obstetrics and Gynecology</w:t>
      </w:r>
      <w:r>
        <w:rPr>
          <w:rFonts w:ascii="Calibri" w:hAnsi="Calibri" w:cs="Calibri"/>
          <w:color w:val="auto"/>
          <w:sz w:val="22"/>
          <w:szCs w:val="22"/>
        </w:rPr>
        <w:t xml:space="preserve"> 51(1): ceog5101020.</w:t>
      </w:r>
    </w:p>
    <w:p w14:paraId="46F0867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463D13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https://www.imrpress.com/journal/CEOG/51/1/10.31083/j.ceog5101020</w:t>
      </w:r>
    </w:p>
    <w:p w14:paraId="545DC4C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http://ovidsp.ovid.com/ovidweb.cgi?T=JS&amp;PAGE=reference&amp;D=emexb&amp;NEWS=N&amp;AN=2029914449</w:t>
      </w:r>
    </w:p>
    <w:p w14:paraId="2C520C8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2B7B73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Different modes of delivery are strongly associated with postpartum pelvic floor muscle (PFM) injury and postpartum pelvic floor dysfunction. This study used Glazer PFM surface electromyography (sEMG) to objectively assess postpartum PFM function to determine the effects of different modes of delivery on pelvic floor function in the early postpartum period in primiparous women. Method(s): There were 1286 cases of cesarean delivery (CD) and 2099 cases of vaginal delivery (VD). The vaginal delivery group was further divided into four subgroups (A: intact perineum without laceration and first-degree laceration; B: second-degree laceration; C: mediolateral episiotomy; D: forceps delivery). Pelvic floor sEMG indices of the subjects were analyzed at 6-8 weeks postpartum. Result(s): The results showed that the mean peak amplitude of phasic (flick) contractions and the mean amplitude of tonic contractions were both significantly higher in CD than in VD (p &lt; 0.01). In contrast, the mean amplitude variability of tonic contractions was lower in CD than in VD (p &lt; 0.01). The mean peak amplitude of phasic (flick) contractions and the mean amplitude of tonic contractions were statistically lower in the forceps group than in the other vaginal delivery groups (p &lt; 0.05). The mean amplitude variability of tonic contractions was greater in the forceps group than in groups A, B and C (p &lt; 0.01). Conclusion(s): Vaginal delivery, especially forceps delivery, may result in impaired pelvic floor muscle function in the early postpartum period compared to cesarean delivery.Copyright © 2024 The Author(s).</w:t>
      </w:r>
    </w:p>
    <w:p w14:paraId="3CFD865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5176FA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21.</w:t>
      </w:r>
      <w:r>
        <w:rPr>
          <w:rFonts w:ascii="Calibri" w:hAnsi="Calibri" w:cs="Calibri"/>
          <w:color w:val="auto"/>
          <w:sz w:val="22"/>
          <w:szCs w:val="22"/>
        </w:rPr>
        <w:t xml:space="preserve"> Bergendahl, S., et al. (2024). </w:t>
      </w:r>
    </w:p>
    <w:p w14:paraId="4F232E6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"Pelvic floor dysfunction after intervention, compared with expectant management, in prolonged second stage of labour: A population-based questionnaire and cohort study."</w:t>
      </w:r>
      <w:r>
        <w:rPr>
          <w:rFonts w:ascii="Calibri" w:hAnsi="Calibri" w:cs="Calibri"/>
          <w:color w:val="auto"/>
          <w:sz w:val="22"/>
          <w:szCs w:val="22"/>
        </w:rPr>
        <w:t xml:space="preserve"> </w:t>
      </w:r>
    </w:p>
    <w:p w14:paraId="13B85CB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BJOG: An International Journal of Obstetrics and Gynaecology</w:t>
      </w:r>
      <w:r>
        <w:rPr>
          <w:rFonts w:ascii="Calibri" w:hAnsi="Calibri" w:cs="Calibri"/>
          <w:color w:val="auto"/>
          <w:sz w:val="22"/>
          <w:szCs w:val="22"/>
        </w:rPr>
        <w:t>.</w:t>
      </w:r>
    </w:p>
    <w:p w14:paraId="22C8D76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DFB7F5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http://obgyn.onlinelibrary.wiley.com/hub/journal/10.1111/(ISSN)1471-0528/</w:t>
      </w:r>
    </w:p>
    <w:p w14:paraId="045174B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http://ovidsp.ovid.com/ovidweb.cgi?T=JS&amp;PAGE=reference&amp;D=emexb&amp;NEWS=N&amp;AN=2028614319</w:t>
      </w:r>
    </w:p>
    <w:p w14:paraId="43F856B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923A57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Objective: To investigate the effect of vacuum extraction (VE) or caesarean section (CS), compared with expectant management, on pelvic floor dysfunction (PFD) 1-2 years postpartum in primiparous women with a prolonged second stage of labour. Design(s): A population-based questionnaire and cohort study. Setting(s): Stockholm, Sweden. Population: A cohort of 1302 primiparous women with a second stage duration of &gt;=3 h, delivering from December 2017 to November 2018. Method(s): The 1-year follow-up questionnaire from the Swedish National Perineal Laceration Register was distributed 12-24 months postpartum. Exposure was VE or CS at 3-4 h or 4-5 h, compared with expectant management. Main Outcome Measure(s): Pelvic floor dysfunction was defined as at least weekly symptoms of urinary incontinence, pelvic organ prolapse or a Wexner score of &gt;=4. The risk of PFD was calculated using Poisson regression with robust variance estimation, presented as crude and adjusted relative risks (RRs and aRRs) with 95% confidence intervals (95% CIs). The implication of obstetric anal sphincter injury (OASI) on pelvic floor disorders was investigated through mediation analysis. Result(s): In total, 35.1% of women reported PFD. Compared with expectant management, the risk of PFD was increased after VE at 3-4 h (aRR 1.33, 95% CI 1.06-1.65) and 4-5 h (aRR 1.34, 95% CI 1.05-1.70), but remained unchanged after CS. The increased risk after VE was not mediated by OASI. Conclusion(s): Pelvic floor dysfunction was common in primiparous women after a prolonged second stage, and the risk of PFD increased after VE but was unaffected by CS, compared with expectant management. If a spontaneous vaginal delivery eventually occurred, allowing an extended duration of labour did not increase the risk of PFD.Copyright © 2024 The Authors. BJOG: An International Journal of Obstetrics and Gynaecology published by John Wiley &amp; Sons Ltd.</w:t>
      </w:r>
    </w:p>
    <w:p w14:paraId="578E964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428CEE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22.</w:t>
      </w:r>
      <w:r>
        <w:rPr>
          <w:rFonts w:ascii="Calibri" w:hAnsi="Calibri" w:cs="Calibri"/>
          <w:color w:val="auto"/>
          <w:sz w:val="22"/>
          <w:szCs w:val="22"/>
        </w:rPr>
        <w:t xml:space="preserve"> xtxhtz, R. B. R. (2023). </w:t>
      </w:r>
    </w:p>
    <w:p w14:paraId="7C975AD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"Effect of Low Pressure Fitness (LPF) on abdominal diastasis in postpartum women."</w:t>
      </w:r>
      <w:r>
        <w:rPr>
          <w:rFonts w:ascii="Calibri" w:hAnsi="Calibri" w:cs="Calibri"/>
          <w:color w:val="auto"/>
          <w:sz w:val="22"/>
          <w:szCs w:val="22"/>
        </w:rPr>
        <w:t xml:space="preserve"> </w:t>
      </w:r>
    </w:p>
    <w:p w14:paraId="55842CB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https://trialsearch.who.int/Trial2.aspx?TrialID=RBR-3xtxhtz</w:t>
      </w:r>
      <w:r>
        <w:rPr>
          <w:rFonts w:ascii="Calibri" w:hAnsi="Calibri" w:cs="Calibri"/>
          <w:color w:val="auto"/>
          <w:sz w:val="22"/>
          <w:szCs w:val="22"/>
        </w:rPr>
        <w:t>.</w:t>
      </w:r>
    </w:p>
    <w:p w14:paraId="4AB531A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43E386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https://www.cochranelibrary.com/central/doi/10.1002/central/CN-02656895/full</w:t>
      </w:r>
    </w:p>
    <w:p w14:paraId="0206500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7393ED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INTERVENTION: This is a randomized controlled clinical trial type study. Women will be recruited with Diastasis of the Rectus Abdominis Muscle (RADM), 12 weeks or more postpartum, and with a separation of the rectus abdominis muscles &gt;2cm and 2 fingers wide, above, below or at the level of the navel. All participants, after the first assessment, will undergo an 8‐week intervention and will receive a second assessment after 8 sessions, and a third assessment after 16 sessions. During 8 weeks of intervention, both groups will undergo treatment programs twice a week, in person, and each session will last 30 to 45 minutes; In addition, participants will receive guidance to perform the exercises daily at home. Women will be randomly allocated into two groups: control (CG=43, kinesiotherapy) and experimental (GE=43, Low Pressure Fitness (LPF®)). The CG will do a set of kinesiotherapy exercises consisting of: abdominal crunch, posterior pelvic tilt, TMAP and Russian twist, and the GE will perform LPF® method exercises with variation in postures. Blinding: Each participant&amp;apos;s random allocation will be revealed shortly before the intervention. All participants will be informed about the aim of the study to test two different types of treatments for abdominal diastasis, but will not know which group they will be allocated to. All assessments will be conducted by a researcher who will not be involved in the interventions and will remain blind to the treatment groups. The results of the evaluations will not be disclosed to the researchers responsible for the interventions. The researcher responsible for the statistical analysis will not participate in the evaluations or interventions and will receive the data without the subjects or groups being identified CONDITION: C05.550.518.288 G08.686.702 Rectus Abdominis PRIMARY OUTCOME: Abdominal diastasis: To evaluate the presence of rectus abdominis diastasis and the distance between the rectus abdominis in postpartum women. It will be checked using palpation and caliper methods, at the level of the navel and 4.5 cm above and below it. The presence of significant DMRA will be considered when there is a separation of values above =2 fingers wide and 2cm from the middle edges of these muscles. Assessments will take place pre‐intervention, after 8 intervention sessions and post‐intervention (at the end of 8 weeks) SECONDARY OUTCOME: Functionality: Evaluate functionality. It will be verified using the World Health Organization Disability Assessment Schedule (WHODAS) 2.0 questionnaire. Assessments will take place pre‐intervention, after 8 intervention sessions and post‐intervention (at the end of 8 weeks). Pain intensity: Assess whether there is associated abdominal pain, low back pain and pain in the pelvic girdle. Pain will be quantified separately using visual analogue scales (VAS). Abdominal pain will be assessed during the upper trunk flexion movement in the supine position. The examination of the lumbar spine will be carried out during flexion/extension movements, lateral rotations, lateral flexions and through the Lasegue test. Pain in the pelvic girdle will be assessed through the following tests: Posterior Pelvic Pain Provocation test (P4), distraction test, compression test, pubic symphysis palpation, modified Trendelenburg test, and active straight leg raise test (ASLR). Assessments will take place pre‐intervention, after 8 intervention sessions and post‐intervention (at the end of 8 weeks). Patient expectations: Assess the patient&amp;apos;s expectations regarding the treatment. It will be assessed through the question “With the treatment you will receive, do you think you will:”, with the possible answers being: (1) get much worse, (2) get a little worse, (3) neither get better nor get worse (4) get a little better and (5) improve a lot. Pre‐intervention will be assessed. Pelvic floor assessment: Assess the function of the Pelvic Floor Muscles. It will be evaluated by observation and also through vaginal palpation, where the PERFECT scheme will be used. Assessments will take place pre‐intervention, after 8 intervention sessions and post‐intervention (at the end of 8 weeks). Perception of the overall effect of the treatment: Evaluate how the patient perceives the effect of the treatment on abdominal diastasis. It will be evaluated using the Global Perceived Effect Scale (GPE). Assessments will take place after all interventions. Postural assessment: Assess posture. Photographic images of the participants will be captured, with a total of 4 photos in the views: previous; left side; rear; and right side view. Assessments will take place pre‐intervention, after 8 intervention sessions and post‐intervention (at the end of 8 weeks). Quality of life: Assess the quality of life. It will be assessed using the Maternal Postpartum Quality of Life Questionnaire (MAPP‐QOL). Assessments will take place pre‐intervention, after 8 intervention sessions and post‐intervention (at the end of 8 weeks). Tone: Assess the tone of the abdominal linea alba by observation and palpation. It will be checked by palpating the tension of the linea alba at the level of the navel and 4.5 cm above and below it during the forward flexion movement of the trunk. Assessments will take place pre‐intervention, after 8 intervention sessions and post‐intervention (at the end of 8 weeks). Trunk resistance: Assess trunk resistance. It will be assessed through the static and dynamic trunk resistance test. Assessments will take place pre‐intervention, after 8 intervention sessions and post‐intervention (at the end of 8 weeks). Waist measurement: Assess your waist circumference. It will be assessed with an unstretched measuring tape. Assessments will take place pre‐intervention, after 8 intervention sessions and post‐intervention (at the end of 8 weeks). INCLUSION CRITERIA: Primiparous or multiparous women aged 18 or over; from 12 weeks after birth, BMI less than or equal to 29 kg/m27; who gave birth vaginally to a single fetus after a full‐term pregnancy; parity &lt;4; with a separation of the rectus abdominis muscles &gt;2 cm and =2 fingers wide, above, below or at the level of the navel; with the ability to adequately contract the Pelvic Floor Muscles and perform the hypopressive maneuver of the LPF® Method adequately; who do not have: history of previous cesarean section; perineal laceration; medical restriction that prevents participation in the proposed assessments and interventions (cardiorespiratory, respiratory (including excessive coughing or sneezing), neurological and/or musculoskeletal changes); any form of vulvovaginal pain, low back pain, pelvic pain, prolapse or incontinence; a pathology of the lower limb (e.g. fracture, surgery, neoplasm); history of pelvic or abdominal surgery; or with a history of smoking; history of</w:t>
      </w:r>
    </w:p>
    <w:p w14:paraId="7A2C823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88C6D1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23.</w:t>
      </w:r>
      <w:r>
        <w:rPr>
          <w:rFonts w:ascii="Calibri" w:hAnsi="Calibri" w:cs="Calibri"/>
          <w:color w:val="auto"/>
          <w:sz w:val="22"/>
          <w:szCs w:val="22"/>
        </w:rPr>
        <w:t xml:space="preserve"> Rotstein, E., et al. (2023). </w:t>
      </w:r>
    </w:p>
    <w:p w14:paraId="5E4207F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"One-year follow-up after standardized perineal reconstruction in women with deficient perineum after vaginal delivery."</w:t>
      </w:r>
      <w:r>
        <w:rPr>
          <w:rFonts w:ascii="Calibri" w:hAnsi="Calibri" w:cs="Calibri"/>
          <w:color w:val="auto"/>
          <w:sz w:val="22"/>
          <w:szCs w:val="22"/>
        </w:rPr>
        <w:t xml:space="preserve"> </w:t>
      </w:r>
    </w:p>
    <w:p w14:paraId="263844D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Acta obstetricia et gynecologica Scandinavica</w:t>
      </w:r>
      <w:r>
        <w:rPr>
          <w:rFonts w:ascii="Calibri" w:hAnsi="Calibri" w:cs="Calibri"/>
          <w:color w:val="auto"/>
          <w:sz w:val="22"/>
          <w:szCs w:val="22"/>
        </w:rPr>
        <w:t xml:space="preserve"> 102(10): 1338-1346.</w:t>
      </w:r>
    </w:p>
    <w:p w14:paraId="57B5586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30D23A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http://obgyn.onlinelibrary.wiley.com/hub/journal/10.1111/(ISSN)1600-0412/</w:t>
      </w:r>
    </w:p>
    <w:p w14:paraId="0A1DE5B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http://ovidsp.ovid.com/ovidweb.cgi?T=JS&amp;PAGE=reference&amp;D=emexa&amp;NEWS=N&amp;AN=2024929740</w:t>
      </w:r>
    </w:p>
    <w:p w14:paraId="380320E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B1151C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Introduction: Perineal tears are common after childbirth and, if not surgically repaired, they may result in a deficient perineum that can cause symptoms of pelvic floor dysfunction. Perineal reconstruction aims to restore the perineal body and increase the support of the pelvic floor. The objective of the present study was to estimate symptom reduction after perineal reconstruction in patients with deficient perineum after vaginal delivery and to compare outcomes between participants with or without concomitant levator ani muscle deficiency. Material(s) and Method(s): Participants presenting at the Karolinska Pelvic Floor Center with symptoms of deficient perineum at least 1 year after vaginal birth were invited to the study. Inclusion criteria were a visible perineal scar and confirmed anatomic defect. Levator ani defects were assessed using the Levator Ani Deficiency score. A perineal reconstruction was performed in a standardized way. Subjective symptoms were evaluated using the validated "Karolinska Symptoms After Perineal Tear Inventory" at baseline and 1-year follow-up. A score difference in the symptom of an acquired sensation of a wide vagina was the primary outcome. Results were stratified by the presence or absence of a levator ani deficiency. Result(s): A perineal reconstruction was performed in 131 patients and 128 patients completed the Karolinska Symptoms After Perineal Tear Inventory at baseline and 119 at follow-up. Median age was 36.1 (interquartile range [IQR] 7.9), median body mass index 22.3 (IQR 5.1) and a median of two vaginal deliveries. Fifty-four women (41.2%) had a levator ani deficiency. The mean score reduction for the item "Do you feel that your vagina is too wide/loose?" was -1.56 (SD 0.96; P &lt; 0.001) from a mean score of 2.75 (maximum 3) at baseline. The mean total score reduction was -9.1 points (SD 5.3; P &lt; 0.001) from a mean score of 18.4 (maximum 33) points at baseline. There were no significant differences between groups when stratifying by levator ani deficiency. Conclusion(s): Our results show that perineal reconstructive surgery significantly decreases symptoms of deficient perineum after vaginal delivery. A concomitant levator ani defect does not affect the symptom reduction of an acquired sensation of a wide vagina or the total score reduction after surgery.Copyright © 2023 The Authors. Acta Obstetricia et Gynecologica Scandinavica published by John Wiley &amp; Sons Ltd on behalf of Nordic Federation of Societies of Obstetrics and Gynecology (NFOG).</w:t>
      </w:r>
    </w:p>
    <w:p w14:paraId="127BD4D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3A09B1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24.</w:t>
      </w:r>
      <w:r>
        <w:rPr>
          <w:rFonts w:ascii="Calibri" w:hAnsi="Calibri" w:cs="Calibri"/>
          <w:color w:val="auto"/>
          <w:sz w:val="22"/>
          <w:szCs w:val="22"/>
        </w:rPr>
        <w:t xml:space="preserve"> Reis, Y. A., et al. (2023). </w:t>
      </w:r>
    </w:p>
    <w:p w14:paraId="33698AA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"The Effect of Clinical Pilates Exercises and Prenatal Education on Maternal and Fetal Health."</w:t>
      </w:r>
      <w:r>
        <w:rPr>
          <w:rFonts w:ascii="Calibri" w:hAnsi="Calibri" w:cs="Calibri"/>
          <w:color w:val="auto"/>
          <w:sz w:val="22"/>
          <w:szCs w:val="22"/>
        </w:rPr>
        <w:t xml:space="preserve"> </w:t>
      </w:r>
    </w:p>
    <w:p w14:paraId="72FA153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Zeitschrift fur Geburtshilfe und Neonatologie</w:t>
      </w:r>
      <w:r>
        <w:rPr>
          <w:rFonts w:ascii="Calibri" w:hAnsi="Calibri" w:cs="Calibri"/>
          <w:color w:val="auto"/>
          <w:sz w:val="22"/>
          <w:szCs w:val="22"/>
        </w:rPr>
        <w:t xml:space="preserve"> 227(5): 354-363.</w:t>
      </w:r>
    </w:p>
    <w:p w14:paraId="7F0BECC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787E21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https://www.thieme-connect.com/products/ejournals/journal/10.1055/s-00000095</w:t>
      </w:r>
    </w:p>
    <w:p w14:paraId="02FA5F8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http://ovidsp.ovid.com/ovidweb.cgi?T=JS&amp;PAGE=reference&amp;D=emexa&amp;NEWS=N&amp;AN=2026381223</w:t>
      </w:r>
    </w:p>
    <w:p w14:paraId="5A30AF7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8C7484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Objective The mental, physical and sexual health of women as well as maternal and fetal health should be considered during the prenatal and postnatal periods. Investigating the effect of clinical Pilates exercises and prenatal education (CPE &amp; PE) on obstetric and neonatal outcomes as well as the mental, physical, and sexual health of women was intended. Methods In the second trimester, mothers with singleton pregnancies who attended (n=79, study group) or did not attend (n=80, control group) CPE &amp; PR were recruited to this prospective cohort study, and were evaluated in the prenatal and postnatal periods. Depression was assessed with Beck Depression Inventory (BDI), sexual functions with Female Sexual Function Index (FSFI), muscle strength with Gross Muscle Scales (GMS), and labor pain with Visual Analogue Scale (VAS). In addition, the presence of low back pain (LBP) was questioned. Results No significant association of CPE &amp; PE with obstetric outcomes such as cesarean rates, preterm birth, and neonatal outcomes such as birth weight and Apgar scores were identified. Changes in VAS scores, the incidence of perineal trauma, and episiotomy were not associated with CPE &amp; PE. However, CPE &amp; PE was associated with lower BDI scores, a gradual increase in the total scores of FSFI, increased GMS, and reduced LBP. Conclusion CPE &amp; PE had no adverse effects on obstetric and neonatal outcomes and was associated with improved mental, physical, sexual health scores during pregnancy and postpartum.Copyright © 2023 Georg Thieme Verlag. All rights reserved.</w:t>
      </w:r>
    </w:p>
    <w:p w14:paraId="302C046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3B11FD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25.</w:t>
      </w:r>
      <w:r>
        <w:rPr>
          <w:rFonts w:ascii="Calibri" w:hAnsi="Calibri" w:cs="Calibri"/>
          <w:color w:val="auto"/>
          <w:sz w:val="22"/>
          <w:szCs w:val="22"/>
        </w:rPr>
        <w:t xml:space="preserve"> Nct (2023). </w:t>
      </w:r>
    </w:p>
    <w:p w14:paraId="5D1F0E5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"Efficacy of Antenatal Perineal Massage in Reducing Postpartum Morbidities."</w:t>
      </w:r>
      <w:r>
        <w:rPr>
          <w:rFonts w:ascii="Calibri" w:hAnsi="Calibri" w:cs="Calibri"/>
          <w:color w:val="auto"/>
          <w:sz w:val="22"/>
          <w:szCs w:val="22"/>
        </w:rPr>
        <w:t xml:space="preserve"> </w:t>
      </w:r>
    </w:p>
    <w:p w14:paraId="0B76D36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https://clinicaltrials.gov/ct2/show/NCT06162312</w:t>
      </w:r>
      <w:r>
        <w:rPr>
          <w:rFonts w:ascii="Calibri" w:hAnsi="Calibri" w:cs="Calibri"/>
          <w:color w:val="auto"/>
          <w:sz w:val="22"/>
          <w:szCs w:val="22"/>
        </w:rPr>
        <w:t>.</w:t>
      </w:r>
    </w:p>
    <w:p w14:paraId="689943E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ACDD55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https://www.cochranelibrary.com/central/doi/10.1002/central/CN-02632084/full</w:t>
      </w:r>
    </w:p>
    <w:p w14:paraId="257D88A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BF11F2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Vaginal births often result in perineal trauma, leading to substantial morbidity. This study hypothesized that antenatal perineal massage (APM) could mitigate the incidence of perineal injuries and related postpartum morbidities. Participants at 34‐35 weeks of gestation were randomly assigned by a computer program to either the Antenatal Perineal Massage (APM ) group or the control group. The APM group received training in self‐perineal massage and performed a daily 5‐minute massage using water‐based jelly until delivery, while the control group did not receive such intervention. The technique involved inserting the thumb finger 3‐5 cm into the vagina, using a water‐based jelly for lubrication. The procedure included maintaining the thumb steady on the perineum for 1 minute, applying up‐and‐down pressure for 1 minute, and performing downward and sideways sweeping motions for 3 minutes. Initial massage sessions were conducted under supervision at the antenatal clinic. Participants were advised to discontinue APM in case of premature rupture of membranes (PROM), bleeding, or infection, seeking prompt hospital management. Additionally, they were instructed to maintain a diary documenting their daily APM sessions. Both groups received standard antenatal, intrapartum, and postpartum care. Obstetric care providers, investigator and outcomes assessor remained blinded to participants' study group allocations. During labor at the casualty department, routine care was administered without intervention in labor management or cesarean delivery decisions. Recorded data encompassed the duration of each labor stage, perineal tears and their degrees, episiotomy occurrences, urgency for cesarean section or operative vaginal delivery, infant weight, sex, Apgar scores at 1 and 5 minutes, and postpartum pain using a verbal numerical rating scale within 24 hours. Participants were followed up at 3 months post‐delivery to evaluate the anal incontinence, urinary incontinence (assessed via the validated Thai version of Pelvic Floor Distress Inventory ‐ 20 (PFDI‐20)), and dyspareunia (using a verbal numerical rating scale</w:t>
      </w:r>
    </w:p>
    <w:p w14:paraId="4C45E26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00A85B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26.</w:t>
      </w:r>
      <w:r>
        <w:rPr>
          <w:rFonts w:ascii="Calibri" w:hAnsi="Calibri" w:cs="Calibri"/>
          <w:color w:val="auto"/>
          <w:sz w:val="22"/>
          <w:szCs w:val="22"/>
        </w:rPr>
        <w:t xml:space="preserve"> Nct (2023). </w:t>
      </w:r>
    </w:p>
    <w:p w14:paraId="1EB7CB1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"The PAIN (Pelvic Area Injection for Numbness) Study."</w:t>
      </w:r>
      <w:r>
        <w:rPr>
          <w:rFonts w:ascii="Calibri" w:hAnsi="Calibri" w:cs="Calibri"/>
          <w:color w:val="auto"/>
          <w:sz w:val="22"/>
          <w:szCs w:val="22"/>
        </w:rPr>
        <w:t xml:space="preserve"> </w:t>
      </w:r>
    </w:p>
    <w:p w14:paraId="0BF6170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https://clinicaltrials.gov/ct2/show/NCT05972681</w:t>
      </w:r>
      <w:r>
        <w:rPr>
          <w:rFonts w:ascii="Calibri" w:hAnsi="Calibri" w:cs="Calibri"/>
          <w:color w:val="auto"/>
          <w:sz w:val="22"/>
          <w:szCs w:val="22"/>
        </w:rPr>
        <w:t>.</w:t>
      </w:r>
    </w:p>
    <w:p w14:paraId="7ADD544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7F8377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https://www.cochranelibrary.com/central/doi/10.1002/central/CN-02587872/full</w:t>
      </w:r>
    </w:p>
    <w:p w14:paraId="28747EE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83590B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The prevalence of perineal lacerations is more than 75% of all vaginal deliveries. The repair of such lacerations in the institution is usually done using lidocaine for non‐epiduralized patients versus no local injection in patients with a pre‐existing epidural analgesia. The prevalence of epidural analgesia use among women who underwent vaginal delivery in cross‐sectional study of over 2 million deliveries in the United States was 71.1%. Once the analgesic effect of the epidural analgesia fades, the laceration may cause uncontrolled postpartum pain which can affect both the physical and mental recovery period, extend hospital stays, and increase the potential for serious adverse reactions with pain medications. The research hypothesis of this study is that adding a locally injected analgesic, which will take effect once the epidural analgesia fades, may alleviate perineal pain and improve women's overall well‐being and satisfaction. This is a superiority two‐arm, quadruple‐blinded, prospective randomized controlled trial with the objective to determine if prolonged analgesia and higher rate of maternal satisfaction are found when bupivacaine with epinephrine infiltration is used for perineal repair as compared to sham injection in patients with pre‐existing effective epidural analgesia at time of perineal laceration repair. Women with a working epidural analgesia, and status post a vaginal delivery involving a second‐degree laceration will be invited to participate. Women in the local anesthesia (LA) arm will get a LA injected to the laceration and women in the sham arm will get an injection with saline. The differences in perineal pain between the groups will be evaluated at time of the first analgesic (TFA) demand, maternal satisfaction at 24 hours, and visual analog scale (VAS) pain score.</w:t>
      </w:r>
    </w:p>
    <w:p w14:paraId="59FD1DF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E74292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27.</w:t>
      </w:r>
      <w:r>
        <w:rPr>
          <w:rFonts w:ascii="Calibri" w:hAnsi="Calibri" w:cs="Calibri"/>
          <w:color w:val="auto"/>
          <w:sz w:val="22"/>
          <w:szCs w:val="22"/>
        </w:rPr>
        <w:t xml:space="preserve"> Nct (2023). </w:t>
      </w:r>
    </w:p>
    <w:p w14:paraId="295BD0D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"Oral Antibiotics After Obstetric Perineal Tear."</w:t>
      </w:r>
      <w:r>
        <w:rPr>
          <w:rFonts w:ascii="Calibri" w:hAnsi="Calibri" w:cs="Calibri"/>
          <w:color w:val="auto"/>
          <w:sz w:val="22"/>
          <w:szCs w:val="22"/>
        </w:rPr>
        <w:t xml:space="preserve"> </w:t>
      </w:r>
    </w:p>
    <w:p w14:paraId="4268158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https://clinicaltrials.gov/show/NCT05830162</w:t>
      </w:r>
      <w:r>
        <w:rPr>
          <w:rFonts w:ascii="Calibri" w:hAnsi="Calibri" w:cs="Calibri"/>
          <w:color w:val="auto"/>
          <w:sz w:val="22"/>
          <w:szCs w:val="22"/>
        </w:rPr>
        <w:t>.</w:t>
      </w:r>
    </w:p>
    <w:p w14:paraId="2E0FEB0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3B89B2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https://www.cochranelibrary.com/central/doi/10.1002/central/CN-02559691/full</w:t>
      </w:r>
    </w:p>
    <w:p w14:paraId="4C25DE3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3C9FDA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Obstetric tear occurs in more than 90% of nulliparous women and up to 25% subsequently experience wound dehiscence and/or infection. Some data shows that intravenous antibiotics given during delivery reduces this risk. It is unknown if oral antibiotics given after delivery can reduce the risk of wound dehiscence or infection. The study‐goupe want to investigate whether three doses of antibiotics (amoxicillin 500 mg / clavulanic acid 125 mg) given after delivery can reduce the risk of wound dehiscence and infection. Methods: The investigators will perform a randomized, controlled, double‐blinded study and plan to include 221 women in each arm with allocation 1:1 in relation to the randomization. The study is carried out at Department of Obstetrics &amp; Gynecology, Herlev University Hospital, Copenhagen, Denmark. The women will be included after delivery if they have had a second‐degree tear or episiotomy. The first tabelt has to be taken with in 6 hours from the delivery. After inclusion, the women will have a clinical follow up visit after one week. The tear and healing will be evaluated regarding infection and/or dehiscence. The women will again be invited for a one year clinical examination including ultrasound. Questionaries exploring symptoms related to the vaginal tear and possible complications will be answered at both visits. The primary outcome is wound dehiscence and/or wound infection, which will be calculated using χ2‐tests to compare groups. Secondary outcomes are variables that relate to wound healing, for example pain, use of painkillers, need for further follow‐up, as well as other outcomes that may be related to the birth or healing process; urinary or anal incontinence, symptoms of prolapse, female body image and sexual problems. Discussion: Reducing the risk of wound dehiscence and/or infection would decrease the number of control visits, prevent the need for longer antibiotic treatment and possibly also decrease both short‐term and long‐term symptoms. This would be of great importance since the period after a delivery is a crucial time for the whole family.</w:t>
      </w:r>
    </w:p>
    <w:p w14:paraId="5713DEA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052A73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28.</w:t>
      </w:r>
      <w:r>
        <w:rPr>
          <w:rFonts w:ascii="Calibri" w:hAnsi="Calibri" w:cs="Calibri"/>
          <w:color w:val="auto"/>
          <w:sz w:val="22"/>
          <w:szCs w:val="22"/>
        </w:rPr>
        <w:t xml:space="preserve"> Nct (2023). </w:t>
      </w:r>
    </w:p>
    <w:p w14:paraId="6DE5689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"Perineal Massage and Warm Application in Labor."</w:t>
      </w:r>
      <w:r>
        <w:rPr>
          <w:rFonts w:ascii="Calibri" w:hAnsi="Calibri" w:cs="Calibri"/>
          <w:color w:val="auto"/>
          <w:sz w:val="22"/>
          <w:szCs w:val="22"/>
        </w:rPr>
        <w:t xml:space="preserve"> </w:t>
      </w:r>
    </w:p>
    <w:p w14:paraId="14EADFA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https://clinicaltrials.gov/ct2/show/NCT06005077</w:t>
      </w:r>
      <w:r>
        <w:rPr>
          <w:rFonts w:ascii="Calibri" w:hAnsi="Calibri" w:cs="Calibri"/>
          <w:color w:val="auto"/>
          <w:sz w:val="22"/>
          <w:szCs w:val="22"/>
        </w:rPr>
        <w:t>.</w:t>
      </w:r>
    </w:p>
    <w:p w14:paraId="1193898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410A54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https://www.cochranelibrary.com/central/doi/10.1002/central/CN-02592354/full</w:t>
      </w:r>
    </w:p>
    <w:p w14:paraId="6DA2C5A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8857E7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Perineal trauma is the damage caused by rupture, laceration or episiotomy during birth. Birth‐related perineal trauma can lead to many short and long‐term physical and psychological morbidities that affect the woman's life. Problems such as pain, bleeding and delay in the attachment of mother and newborn appear in the early postpartum period. In the following period problems such as prolapse, incontinence, sexual dysfunction and anxiety may be experienced. This randomised controlled study was executed at a research hospital between May 2018 ‐ September 2019. The sample of study is made consisted of three intervention groups and a control group of total 120 pregnant women by randomisation method. Perineal massage, perineal warm compress application, perineal massage and warm compress was done to the intervention groups respectively. Nothing was done to the control group. Perineal massage was given for 10 minutes, warm compress application was done 30 minutes three times when cervical dilatation 3‐4 cm, 5‐7 cm and 8‐10 cm respectively. The data was collected by using Socio‐Demographic and Obstetric Data Collection Form, First and Second Stage of Labor Stage Data Collection Form, Childbirth Comfort Scale, Newborn Data Collection Form, Perineal Trauma and Bleeding Monitorisation/ Measurement Form, Visual Analogue Scale, Birth Satisfaction Scale and Perineal Massage and Perineal Warm Compress Application Satisfaction Evaluation Form. When evaluating the data; number, percentage, mean, standard deviation, median, ANOVA Test, Tukey Test, Kruskal Wallis Test, Paired Sample T Test, Friedman Test, Ki‐Square Test and Fisher's Exact was used.</w:t>
      </w:r>
    </w:p>
    <w:p w14:paraId="5451A38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AFB350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29.</w:t>
      </w:r>
      <w:r>
        <w:rPr>
          <w:rFonts w:ascii="Calibri" w:hAnsi="Calibri" w:cs="Calibri"/>
          <w:color w:val="auto"/>
          <w:sz w:val="22"/>
          <w:szCs w:val="22"/>
        </w:rPr>
        <w:t xml:space="preserve"> Nagi, K., et al. (2023). </w:t>
      </w:r>
    </w:p>
    <w:p w14:paraId="722E363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"Do doctors preferring forceps encounter more obstetric anal sphincter injuries: A retrospective analysis."</w:t>
      </w:r>
      <w:r>
        <w:rPr>
          <w:rFonts w:ascii="Calibri" w:hAnsi="Calibri" w:cs="Calibri"/>
          <w:color w:val="auto"/>
          <w:sz w:val="22"/>
          <w:szCs w:val="22"/>
        </w:rPr>
        <w:t xml:space="preserve"> </w:t>
      </w:r>
    </w:p>
    <w:p w14:paraId="71E2D2A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Australian and New Zealand Journal of Obstetrics and Gynaecology</w:t>
      </w:r>
      <w:r>
        <w:rPr>
          <w:rFonts w:ascii="Calibri" w:hAnsi="Calibri" w:cs="Calibri"/>
          <w:color w:val="auto"/>
          <w:sz w:val="22"/>
          <w:szCs w:val="22"/>
        </w:rPr>
        <w:t xml:space="preserve"> 63(2): 187-192.</w:t>
      </w:r>
    </w:p>
    <w:p w14:paraId="25B8B92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AA498B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http://obgyn.onlinelibrary.wiley.com/hub/journal/10.1111/(ISSN)1479-828X/</w:t>
      </w:r>
    </w:p>
    <w:p w14:paraId="578456A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http://ovidsp.ovid.com/ovidweb.cgi?T=JS&amp;PAGE=reference&amp;D=emed25&amp;NEWS=N&amp;AN=2018350547</w:t>
      </w:r>
    </w:p>
    <w:p w14:paraId="0AFC8C1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5976F9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Obstetric anal sphincter injuries (OASIS) is a hospital-acquired injury and can affect a woman's quality of life with problems such as anal incontinence, perineal pain, dyspareunia, mental health, psychosexual issues, and concerns about future childbirth choices. Aim(s): The aim of this study was to determine whether there is a correlation between a doctor's preference for instruments, their individual OASIS rate and whether factors such as their fully dilated caesarean section rate, rate of double instrumental and seniority, influences their individual rate of OASIS. Material(s) and Method(s): A population-based retrospective cohort study was performed on 1340 term nulliparous women with singleton pregnancies who underwent an instrumental delivery or fully dilated caesarean section. A survey of doctors involved in these deliveries was performed. The risk of OASIS was analysed for maternal age, ethnicity, birth position, level of training and doctor's instrument preference using a generalised linear mixed model. Doctors' instrument preferences were established in two ways: a self-reported survey and data-inferred preference based on the most used instrument per doctor. The OASIS rate for individual doctors was calculated. Result(s): The overall risk of OASIS is higher for forceps compared to vacuum deliveries. Doctors with a preference for forceps compared to vacuum, correlated with both a lower OASIS rate and a higher fully dilated caesarean section rate. Conclusion(s): Doctors preferring forceps report a lower OASIS and higher fully dilated caesarean section rate. Doctors preferring vacuum must consider carefully whether forceps should follow if a vacuum fails as OASIS is more likely to occur.Copyright © 2022 Royal Australian and New Zealand College of Obstetricians and Gynaecologists.</w:t>
      </w:r>
    </w:p>
    <w:p w14:paraId="6DA13C9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D9E37E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30.</w:t>
      </w:r>
      <w:r>
        <w:rPr>
          <w:rFonts w:ascii="Calibri" w:hAnsi="Calibri" w:cs="Calibri"/>
          <w:color w:val="auto"/>
          <w:sz w:val="22"/>
          <w:szCs w:val="22"/>
        </w:rPr>
        <w:t xml:space="preserve"> Naeem, S., et al. (2023). </w:t>
      </w:r>
    </w:p>
    <w:p w14:paraId="19D4A5F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"PERINEAL TEARS: STILL STIGMATIZING WOMEN IN THE 21ST CENTURY."</w:t>
      </w:r>
      <w:r>
        <w:rPr>
          <w:rFonts w:ascii="Calibri" w:hAnsi="Calibri" w:cs="Calibri"/>
          <w:color w:val="auto"/>
          <w:sz w:val="22"/>
          <w:szCs w:val="22"/>
        </w:rPr>
        <w:t xml:space="preserve"> </w:t>
      </w:r>
    </w:p>
    <w:p w14:paraId="0DEFBBE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Journal of Population Therapeutics and Clinical Pharmacology</w:t>
      </w:r>
      <w:r>
        <w:rPr>
          <w:rFonts w:ascii="Calibri" w:hAnsi="Calibri" w:cs="Calibri"/>
          <w:color w:val="auto"/>
          <w:sz w:val="22"/>
          <w:szCs w:val="22"/>
        </w:rPr>
        <w:t xml:space="preserve"> 30(17): 2236-2240.</w:t>
      </w:r>
    </w:p>
    <w:p w14:paraId="4108C8E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91088B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https://jptcp.com/index.php/jptcp</w:t>
      </w:r>
    </w:p>
    <w:p w14:paraId="5A5A51F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http://ovidsp.ovid.com/ovidweb.cgi?T=JS&amp;PAGE=reference&amp;D=emexa&amp;NEWS=N&amp;AN=2026323152</w:t>
      </w:r>
    </w:p>
    <w:p w14:paraId="5607370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DD6567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Perineal tears are the most common injuries sustained during vaginal delivery. These are caused either spontaneously or by iatrogenic. Several factors precipitate the cause of perineal tears such as maternal age, parity, and gestational age. Perineal tears are treated based on their severity to the mucosal injury and ruptured anal sphincters and pose much morbidity to the patients. The aim of this study was to explore the morbidity associated with perineal tears. Material(s) and Method(s): A mixed-method study was conducted from February 2021 to September 2021 at the Maternal and child health care center, Pakistan Institute of Medical Sciences, Islamabad, Pakistan. Quantitative data of 2621 patients over 5 years comprising the demographic data. Data was collected from the archival records of the patients with vaginal delivery. Data of patients with a perineal tear was sorted out of the total patients as 108 patients reported a perineal tear. Qualitative data was collected via semi-structured interviews from the current five patients already admitted with a perineal tear. The collected data was translated transcribed and analyzed with the help of SPSS 25 and ATLAS. Ti. Result(s): Out of 2621 patients with genitourinary tract fistulae,108 patients were with the perineal tears, making an overall incidence of perineal tears in our study to be 4.1%.84 participants (78%) were with 3rd-degree perineal tear while the rest 24 participants (22%) were of 4th degree perineal tears. Interviews of 13 patients regarding morbidity associated with perineal tears led to formations of 32 codes, and 6 categories leading to 2 main themes. Among quality of life, categories included physical morbidity, psychological distress and sexual dysfunction. Second theme was about barriers to treatment for perineal tears and included lack of self-awareness, lack of family support and lack of medical facility nearby. Conclusion(s): Perineal tears stigmatize women in physical and psychosocial grounds even in the 21st century. More efforts are needed by the government to promote awareness programs and facilitate such patients for optimum treatment for the much preventable disease.Copyright © 2023, Codon Publications. All rights reserved.</w:t>
      </w:r>
    </w:p>
    <w:p w14:paraId="52BFEE0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81BFB8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31.</w:t>
      </w:r>
      <w:r>
        <w:rPr>
          <w:rFonts w:ascii="Calibri" w:hAnsi="Calibri" w:cs="Calibri"/>
          <w:color w:val="auto"/>
          <w:sz w:val="22"/>
          <w:szCs w:val="22"/>
        </w:rPr>
        <w:t xml:space="preserve"> Mota, P., et al. (2023). </w:t>
      </w:r>
    </w:p>
    <w:p w14:paraId="548D5A9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"Pelvic floor muscle function after grade II tears-Surface electromyography test-retest and differences between nulliparous and primiparous."</w:t>
      </w:r>
      <w:r>
        <w:rPr>
          <w:rFonts w:ascii="Calibri" w:hAnsi="Calibri" w:cs="Calibri"/>
          <w:color w:val="auto"/>
          <w:sz w:val="22"/>
          <w:szCs w:val="22"/>
        </w:rPr>
        <w:t xml:space="preserve"> </w:t>
      </w:r>
    </w:p>
    <w:p w14:paraId="4DD8FF9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Neurourology and urodynamics</w:t>
      </w:r>
      <w:r>
        <w:rPr>
          <w:rFonts w:ascii="Calibri" w:hAnsi="Calibri" w:cs="Calibri"/>
          <w:color w:val="auto"/>
          <w:sz w:val="22"/>
          <w:szCs w:val="22"/>
        </w:rPr>
        <w:t xml:space="preserve"> 42(5): 1162-1168.</w:t>
      </w:r>
    </w:p>
    <w:p w14:paraId="18D2083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C910C7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http://onlinelibrary.wiley.com/journal/10.1002/(ISSN)1520-6777</w:t>
      </w:r>
    </w:p>
    <w:p w14:paraId="7397910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http://ovidsp.ovid.com/ovidweb.cgi?T=JS&amp;PAGE=reference&amp;D=emed25&amp;NEWS=N&amp;AN=2022394320</w:t>
      </w:r>
    </w:p>
    <w:p w14:paraId="18A2F5E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EBFB83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Vaginal birth is a risk factor for weakening of the pelvic floor muscles (PFM) and development of pelvic floor dysfunction (PFD). Perineal tears may decrease PFM function. PFM tone can be assessed with surface EMG (sEMG), but reliability studies of sEMG in women with perineal tears are lacking. The aims of this study were to evaluate test-retest and intrarater reliability of sEMG and compare PFM activation between nulliparous and primiparous. Method(s): A sEMG test-retest was performed in 21 women (12 nulliparous and 9 primiparous with grade II tears) to assess intra-rater reliability during rest and maximal voluntary contraction (MVC) of the PFM. Intraclass Correlation Coefficient (ICC), standard error of measurement (SEM) and minimal detectable change (MDC) were tested. A comparison between nulliparous' and primiparous' PFM activation during rest and MVC was performed. Result(s): sEMG demonstrated fair reliability in nulliparous (ICC: 0.239; SEM: 5.2; MDC: 14.5) and moderate reliability in primiparous (ICC: 0.409; SEM: 1.5; MDC: 4.2) during rest. For peak MVC very good intrarater reliability was found in nulliparous (ICC: 0.92; SEM: 8.0; MDC: 22.2) and in primiparous (ICC: 0.823; SEM: 8.0; MDC: 22.2). Statistically significant lower PFM activation was found in primiparous women with perineal tear grade II than in nulliparous at rest (mean difference 9.1 microV, 95% confidence interval [CI] 3.0-19.0, p = 0.001), and during MVCpeak (mean difference 50.0 microV, 95% CI 10.0-120.0 p = 0.021). Conclusion(s): sEMG is reliable when measuring PFM activation in primiparous women with perineal tears grade II. Women with perineal tears grade II have lower PFM activation both during rest and MVC.Copyright © 2023 The Authors. Neurourology and Urodynamics published by Wiley Periodicals LLC.</w:t>
      </w:r>
    </w:p>
    <w:p w14:paraId="5C0A088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7F58C3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32.</w:t>
      </w:r>
      <w:r>
        <w:rPr>
          <w:rFonts w:ascii="Calibri" w:hAnsi="Calibri" w:cs="Calibri"/>
          <w:color w:val="auto"/>
          <w:sz w:val="22"/>
          <w:szCs w:val="22"/>
        </w:rPr>
        <w:t xml:space="preserve"> Maya, J., et al. (2023). </w:t>
      </w:r>
    </w:p>
    <w:p w14:paraId="720FFE4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"Gestational Glucose Intolerance and Birth Weight-Related Complications."</w:t>
      </w:r>
      <w:r>
        <w:rPr>
          <w:rFonts w:ascii="Calibri" w:hAnsi="Calibri" w:cs="Calibri"/>
          <w:color w:val="auto"/>
          <w:sz w:val="22"/>
          <w:szCs w:val="22"/>
        </w:rPr>
        <w:t xml:space="preserve"> </w:t>
      </w:r>
    </w:p>
    <w:p w14:paraId="6A9AD8C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Obstetrics and gynecology</w:t>
      </w:r>
      <w:r>
        <w:rPr>
          <w:rFonts w:ascii="Calibri" w:hAnsi="Calibri" w:cs="Calibri"/>
          <w:color w:val="auto"/>
          <w:sz w:val="22"/>
          <w:szCs w:val="22"/>
        </w:rPr>
        <w:t xml:space="preserve"> 142(3): 594-602.</w:t>
      </w:r>
    </w:p>
    <w:p w14:paraId="517A8B2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538461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http://journals.lww.com/greenjournal</w:t>
      </w:r>
    </w:p>
    <w:p w14:paraId="3AE660D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http://ovidsp.ovid.com/ovidweb.cgi?T=JS&amp;PAGE=reference&amp;D=emexa&amp;NEWS=N&amp;AN=2026738402</w:t>
      </w:r>
    </w:p>
    <w:p w14:paraId="331DC23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7B094F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OBJECTIVE:To evaluate the risks of large-for-gestational-age birth weight (LGA) and birth weight-related complications in pregnant individuals with gestational glucose intolerance, an abnormal screening glucose loading test result without meeting gestational diabetes mellitus (GDM) criteria. METHOD(S):In a retrospective cohort study of 46,989 individuals with singleton pregnancies who delivered after 28 weeks of gestation, those with glucose loading test results less than 140 mg/dL were classified as having normal glucose tolerance. Those with glucose loading test results of 140 mg/dL or higher and fewer than two abnormal values on a 3-hour 100-g oral glucose tolerance test (OGTT) were classified as having gestational glucose intolerance. Those with two or more abnormal OGTT values were classified as having GDM. We hypothesized that gestational glucose intolerance would be associated with higher odds of LGA (birth weight greater than the 90th percentile for gestational age and sex). We used generalized estimating equations to examine the odds of LGA in pregnant individuals with gestational glucose intolerance compared with those with normal glucose tolerance, after adjustment for age, body mass index, parity, health insurance, race and ethnicity, and marital status. In addition, we investigated differences in birth weight-related adverse pregnancy outcomes. RESULT(S):Large for gestational age was present in 7.8% of 39,685 pregnant individuals with normal glucose tolerance, 9.5% of 4,155 pregnant individuals with gestational glucose intolerance and normal OGTT, 14.5% of 1,438 pregnant individuals with gestational glucose intolerance and one abnormal OGTT value, and 16.0% of 1,711 pregnant individuals with GDM. The adjusted odds of LGA were higher in pregnant individuals with gestational glucose intolerance than in those with normal glucose tolerance overall (adjusted odds ratio [aOR] 1.35, 95% CI 1.23-1.49, P&lt;.001). When compared separately with pregnant individuals with normal glucose tolerance, those with either gestational glucose intolerance subtype had higher adjusted LGA odds (gestational glucose intolerance with normal OGTT aOR 1.21, 95% CI 1.08-1.35, P&lt;.001; gestational glucose intolerance with one abnormal OGTT value aOR 1.77, 95% CI 1.52-2.08, P&lt;.001). The odds of birth weight-related adverse outcomes (including cesarean delivery, severe perineal lacerations, and shoulder dystocia or clavicular fracture) were higher in pregnant individuals with gestational glucose intolerance with one abnormal OGTT value than in those with normal glucose tolerance. CONCLUSION(S):Gestational glucose intolerance in pregnancy is associated with birth weight-related adverse pregnancy outcomes. Glucose lowering should be investigated as a strategy for lowering the risk of these outcomes in this group.Copyright © 2023 Lippincott Williams and Wilkins. All rights reserved.</w:t>
      </w:r>
    </w:p>
    <w:p w14:paraId="6C4FB18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85A742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33.</w:t>
      </w:r>
      <w:r>
        <w:rPr>
          <w:rFonts w:ascii="Calibri" w:hAnsi="Calibri" w:cs="Calibri"/>
          <w:color w:val="auto"/>
          <w:sz w:val="22"/>
          <w:szCs w:val="22"/>
        </w:rPr>
        <w:t xml:space="preserve"> Lee, F. J. and Y. Y. Lu (2023). </w:t>
      </w:r>
    </w:p>
    <w:p w14:paraId="51274D4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"Associated factors of sexual dysfunction among postpartum women in Taiwan- a cross-sectional study."</w:t>
      </w:r>
      <w:r>
        <w:rPr>
          <w:rFonts w:ascii="Calibri" w:hAnsi="Calibri" w:cs="Calibri"/>
          <w:color w:val="auto"/>
          <w:sz w:val="22"/>
          <w:szCs w:val="22"/>
        </w:rPr>
        <w:t xml:space="preserve"> </w:t>
      </w:r>
    </w:p>
    <w:p w14:paraId="6BCD0E8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African journal of reproductive health</w:t>
      </w:r>
      <w:r>
        <w:rPr>
          <w:rFonts w:ascii="Calibri" w:hAnsi="Calibri" w:cs="Calibri"/>
          <w:color w:val="auto"/>
          <w:sz w:val="22"/>
          <w:szCs w:val="22"/>
        </w:rPr>
        <w:t xml:space="preserve"> 27(11): 55-62.</w:t>
      </w:r>
    </w:p>
    <w:p w14:paraId="34B2906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159BC8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http://ovidsp.ovid.com/ovidweb.cgi?T=JS&amp;PAGE=reference&amp;D=emexb&amp;NEWS=N&amp;AN=642940011</w:t>
      </w:r>
    </w:p>
    <w:p w14:paraId="2AA207A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50C09C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Sexual function among postpartum women is often overlooked by health-care professionals. This study aimed to investigate associated factors of sexual dysfunction among postpartum women. This study used a cross-sectional study design. A total of 135 postpartum women from a teaching hospital in northern Taiwan who met the inclusion criteria were recruited. SPSS version 22.0 was used to analyze data including descriptive and bivariate analysis. A multiple linear regression was using to identify the predictors of sexual dysfunction among Taiwanese postpartum women. Results indicated that the categories of sexual dysfunction that most commonly experienced in postpartum women were lack of sexual desire, delay or absence of orgasm, pain during intercourse, and inability to become physically aroused. Parity, types of delivery, perineal laceration, breastfeeding, postpartum fatigue, and postpartum depression were significantly associated with sexual dysfunction (p&lt; .05). Sexual counseling and mental support should be necessary for women at risk of postpartum sexual problems such as nulliparous with perineal laceration, breastfeeding mothers, experiencing postpartum fatigue and depressive symptoms to improve their sexual health and quality of life.Copyright African Journal of Reproductive Health © 2023.</w:t>
      </w:r>
    </w:p>
    <w:p w14:paraId="59E0D48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1468E86"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34.</w:t>
      </w:r>
      <w:r>
        <w:rPr>
          <w:rFonts w:ascii="Calibri" w:hAnsi="Calibri" w:cs="Calibri"/>
          <w:color w:val="auto"/>
          <w:sz w:val="22"/>
          <w:szCs w:val="22"/>
        </w:rPr>
        <w:t xml:space="preserve"> Lallemant, M., et al. (2023). </w:t>
      </w:r>
    </w:p>
    <w:p w14:paraId="2AD65CB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"Conservative management versus systematic suture of isolated vaginal or first-degree perineal tears after delivery: a preliminary randomized efficacy trial."</w:t>
      </w:r>
      <w:r>
        <w:rPr>
          <w:rFonts w:ascii="Calibri" w:hAnsi="Calibri" w:cs="Calibri"/>
          <w:color w:val="auto"/>
          <w:sz w:val="22"/>
          <w:szCs w:val="22"/>
        </w:rPr>
        <w:t xml:space="preserve"> </w:t>
      </w:r>
    </w:p>
    <w:p w14:paraId="7CB058A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Birth (Berkeley, Calif.)</w:t>
      </w:r>
      <w:r>
        <w:rPr>
          <w:rFonts w:ascii="Calibri" w:hAnsi="Calibri" w:cs="Calibri"/>
          <w:color w:val="auto"/>
          <w:sz w:val="22"/>
          <w:szCs w:val="22"/>
        </w:rPr>
        <w:t xml:space="preserve"> 50(3): 513‐524.</w:t>
      </w:r>
    </w:p>
    <w:p w14:paraId="1446265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23A5EA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https://www.cochranelibrary.com/central/doi/10.1002/central/CN-02454981/full</w:t>
      </w:r>
    </w:p>
    <w:p w14:paraId="744F091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71C5C9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The objective of this study was to assess the preliminary efficacy and safety of conservative management compared with systematic suture in isolated vaginal or first‐degree perineal tears after birth. Methods: We conducted a preliminary efficacy, open‐label, randomized, controlled, and prospective trial. This study implemented Simon's 2‐step plan (interim analysis and final analysis) to test the success rate of the digital compression strategy group. Primiparous women aged ≥18 years with isolated vaginal or first‐degree perineal tears after spontaneous vaginal birth of a cephalic presenting term (≥37 weeks) neonate were randomly allocated to the conservative management (CM) group (digital compression if bleeding followed by suture if persistent bleeding) or a systematic suture (SS) group. The primary outcome was the success of the intervention 10 days after delivery, defined by pain as evaluated using a visual analog scale &lt; 3, satisfactory healing defined by a REEDA score ≤ 2, and no bleeding or infection. Sexual well‐being was assessed at 2 and 6 months postpartum. Results: Among 861/2209 eligible women, 143 consenting women with a superficial perineal tear were randomized: 72 in the systematic suture group and 71 in the conservative management group. Success rate was 87.8% (90% CI [70.5‐93.54]) (42/55) in the systematic suture group vs 90% (90% CI [78.3‐93.8]) (53/61) in the conservative management group. The REEDA score was significantly higher in the systematic suture group (1.4 vs 0.9; P = 0.036). Perineal pain was significantly higher at day 1 in the systematic suture group (2.38 vs 1.69; P = 0.034). For the Female Sexual Functional Index score, no significant difference was found between the two groups at inclusion or at 2 and 6 months postpartum. Conclusions: Conservative management of superficial perineal tears shows an efficacy rate ≥90%. Women in the conservative management group had less pain at the 1st day follow‐up and lower REEDA scores at the 10th day follow‐up.</w:t>
      </w:r>
    </w:p>
    <w:p w14:paraId="361917B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BAEF7C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35.</w:t>
      </w:r>
      <w:r>
        <w:rPr>
          <w:rFonts w:ascii="Calibri" w:hAnsi="Calibri" w:cs="Calibri"/>
          <w:color w:val="auto"/>
          <w:sz w:val="22"/>
          <w:szCs w:val="22"/>
        </w:rPr>
        <w:t xml:space="preserve"> Huber, M., et al. (2023). </w:t>
      </w:r>
    </w:p>
    <w:p w14:paraId="02639D2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"Sonographic postpartum anal sphincter defects and the association with pelvic floor pain and dyspareunia."</w:t>
      </w:r>
      <w:r>
        <w:rPr>
          <w:rFonts w:ascii="Calibri" w:hAnsi="Calibri" w:cs="Calibri"/>
          <w:color w:val="auto"/>
          <w:sz w:val="22"/>
          <w:szCs w:val="22"/>
        </w:rPr>
        <w:t xml:space="preserve"> </w:t>
      </w:r>
    </w:p>
    <w:p w14:paraId="428FB1C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Acta obstetricia et gynecologica Scandinavica</w:t>
      </w:r>
      <w:r>
        <w:rPr>
          <w:rFonts w:ascii="Calibri" w:hAnsi="Calibri" w:cs="Calibri"/>
          <w:color w:val="auto"/>
          <w:sz w:val="22"/>
          <w:szCs w:val="22"/>
        </w:rPr>
        <w:t xml:space="preserve"> 102(10): 1290-1297.</w:t>
      </w:r>
    </w:p>
    <w:p w14:paraId="1DA3573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E55AD8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http://obgyn.onlinelibrary.wiley.com/hub/journal/10.1111/(ISSN)1600-0412/</w:t>
      </w:r>
    </w:p>
    <w:p w14:paraId="57EDDD2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http://ovidsp.ovid.com/ovidweb.cgi?T=JS&amp;PAGE=reference&amp;D=emexa&amp;NEWS=N&amp;AN=2023961279</w:t>
      </w:r>
    </w:p>
    <w:p w14:paraId="5B499F8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2798B4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Introduction: Pelvic floor pain and dyspareunia are both important entities of postpartum pelvic pain, often concomitant and associated with perineal tears during vaginal delivery. The association between postpartum sonographic anal sphincter defects, pelvic floor pain, and dyspareunia has not been fully established. We aimed to determine the prevalence of postpartum anal sphincter defects using three-dimensional endoanal ultrasonography (3D-EAUS) and evaluate their association with symptoms of pelvic floor pain and dyspareunia. Material(s) and Method(s): This prospective cohort study followed 239 primiparas from birth to 12 months post delivery. Anal sphincters were assessed with 3D-EAUS 3 months postpartum, and self-reported pelvic floor function data were obtained using a web-based questionnaire distributed 1 year after delivery. Descriptive statistics were compared between the patients with and without sonographic defects, and the association between sonographic sphincter defects and outcomes were analyzed using logistic regression. Result(s): At 3 months postpartum, 48/239 (20%) patients had anal sphincter defects on 3D-EAUS, of which 43 (18%) were not clinically diagnosed with obstetric anal sphincter injury at the time of delivery. Patients with sonographic defects had higher fetal weight than those without defects, and a perineum &lt;2 cm before the suture was a risk factor for defects (odds ratio [OR], 6.9). Patients with sonographic defects had a higher frequency of dyspareunia (OR, 2.4), and pelvic floor pain (OR, 2.3) than those without defects. Conclusion(s): Our results suggest an association between postpartum sonographic anal sphincter defects, pelvic floor pain, and dyspareunia. A perineal height &lt;2 cm, measured by bidigital palpation immediately postdelivery, was a risk factor for sonographic anal sphincter defect. We suggest offering pelvic floor sonography around 3 months postpartum to high- risk women to optimize diagnosis and treatment of perineal tears and include perineum &lt;2 cm prior to primary repair as a proposed indication for postpartum follow-up sonography.Copyright © 2023 The Authors. Acta Obstetricia et Gynecologica Scandinavica published by John Wiley &amp; Sons Ltd on behalf of Nordic Federation of Societies of Obstetrics and Gynecology (NFOG).</w:t>
      </w:r>
    </w:p>
    <w:p w14:paraId="7BE20EF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A642B1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36.</w:t>
      </w:r>
      <w:r>
        <w:rPr>
          <w:rFonts w:ascii="Calibri" w:hAnsi="Calibri" w:cs="Calibri"/>
          <w:color w:val="auto"/>
          <w:sz w:val="22"/>
          <w:szCs w:val="22"/>
        </w:rPr>
        <w:t xml:space="preserve"> Girsang, B. M. and E. Elfira (2023). </w:t>
      </w:r>
    </w:p>
    <w:p w14:paraId="5FD4D3D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"A Literature Review on Postpartum Perineal Wound Care: Epidemiology, Impact, and Future Interventions."</w:t>
      </w:r>
      <w:r>
        <w:rPr>
          <w:rFonts w:ascii="Calibri" w:hAnsi="Calibri" w:cs="Calibri"/>
          <w:color w:val="auto"/>
          <w:sz w:val="22"/>
          <w:szCs w:val="22"/>
        </w:rPr>
        <w:t xml:space="preserve"> </w:t>
      </w:r>
    </w:p>
    <w:p w14:paraId="02D090F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Open Access Macedonian Journal of Medical Sciences</w:t>
      </w:r>
      <w:r>
        <w:rPr>
          <w:rFonts w:ascii="Calibri" w:hAnsi="Calibri" w:cs="Calibri"/>
          <w:color w:val="auto"/>
          <w:sz w:val="22"/>
          <w:szCs w:val="22"/>
        </w:rPr>
        <w:t xml:space="preserve"> 11: 73-80.</w:t>
      </w:r>
    </w:p>
    <w:p w14:paraId="165618B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7FFFEFAA"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https://oamjms.eu/index.php/mjms/article/view/11073</w:t>
      </w:r>
    </w:p>
    <w:p w14:paraId="189A37E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http://ovidsp.ovid.com/ovidweb.cgi?T=JS&amp;PAGE=reference&amp;D=emed25&amp;NEWS=N&amp;AN=2023958613</w:t>
      </w:r>
    </w:p>
    <w:p w14:paraId="6F5F8F8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0121C7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Perineal injury is an injury to the urogenital diaphragm and levator ani muscle, which occurs during normal delivery, or vaginal delivery, can occur without injury to the perineal or vaginal skin. Perineal wounds become one of the breeding media for germs so that it becomes the cause of puerperal infection. Perineal infection can occur because the location of the perineum is moist so that it becomes a breeding ground for bacteria. Incidence of infection that occurs in the perineal wound can spread to the birth canal or urinary tract. Infectious conditions in the perineal wound will slow down the wound healing process, because it can increase the damage to the supporting tissues of the skin. AIM: This systematic review aims to see how postnatal perineal wound care: Epidemiology, impact, and future interventions. METHOD(S): Researchers searched for quantitative studies published between 2017 and 2021, using PubMed, Elsevier, and Google Scholar. Thirty studies in systematics review. RESULT(S): The studies that have been collected that there are nine studies discussing the effect of therapies given to the treatment of perineal wounds in studies that discuss therapy two studies including discussing infrared lamp therapy, one study discussing the effects of mastic oleoresin, one study discussing betel leaf decoction, one study discussing the effectiveness of Aloe vera, one study discussing the effects of cinnamon, one study discussed the application of negative pressure sores, one study discussed the effect of pineapple fruit juice, and one other study discussed the effects of carvacrol, tymol, and olive oil. Then, two studies discussed the prevalence of perineal wound events and three studies discussed the characteristics of perineum wounds. CONCLUSION(S): This systematic review evaluates and synthesizes the effectiveness of intervention methods of perineal wound pain reduction and perineal wound healing (episiotomy) and improves comfort in consideration of the methodological evidence level of stud patients' comfort.Copyright © 2023 Bina Melvia Girsang, Eqlima Elfira.</w:t>
      </w:r>
    </w:p>
    <w:p w14:paraId="11DBB75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51616F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37.</w:t>
      </w:r>
      <w:r>
        <w:rPr>
          <w:rFonts w:ascii="Calibri" w:hAnsi="Calibri" w:cs="Calibri"/>
          <w:color w:val="auto"/>
          <w:sz w:val="22"/>
          <w:szCs w:val="22"/>
        </w:rPr>
        <w:t xml:space="preserve"> Chaichanavichkij, P., et al. (2023). </w:t>
      </w:r>
    </w:p>
    <w:p w14:paraId="2B7CEE8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"Evaluating the risk factors for the development of benign disorders of defaecation: a surgical perspective."</w:t>
      </w:r>
      <w:r>
        <w:rPr>
          <w:rFonts w:ascii="Calibri" w:hAnsi="Calibri" w:cs="Calibri"/>
          <w:color w:val="auto"/>
          <w:sz w:val="22"/>
          <w:szCs w:val="22"/>
        </w:rPr>
        <w:t xml:space="preserve"> </w:t>
      </w:r>
    </w:p>
    <w:p w14:paraId="72D8A71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Techniques in coloproctology</w:t>
      </w:r>
      <w:r>
        <w:rPr>
          <w:rFonts w:ascii="Calibri" w:hAnsi="Calibri" w:cs="Calibri"/>
          <w:color w:val="auto"/>
          <w:sz w:val="22"/>
          <w:szCs w:val="22"/>
        </w:rPr>
        <w:t xml:space="preserve"> 27(10): 847-857.</w:t>
      </w:r>
    </w:p>
    <w:p w14:paraId="7C8EC73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C7E5DA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https://www.springer.com/journal/10151</w:t>
      </w:r>
    </w:p>
    <w:p w14:paraId="66DCB30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http://ovidsp.ovid.com/ovidweb.cgi?T=JS&amp;PAGE=reference&amp;D=emexa&amp;NEWS=N&amp;AN=2024660514</w:t>
      </w:r>
    </w:p>
    <w:p w14:paraId="3BCDE79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5398A74"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Purpose: There remains uncertainty as to which risk factors are important for the development of defaecatory problems as a result of heterogeneity of published evidence. Understanding the impact of risk factors may be important in selecting targets for disease prevention or reversal. The aim of this study was to identify and evaluate risk factors for faecal incontinence and chronic constipation. Method(s): Risk factors for chronic constipation and faecal incontinence were long-listed from scientific literature, then anonymously evaluated (by 50 predominantly colorectal surgical experts from the UK Pelvic Floor Society) using a Delphi technique. Each risk factor was rated as independent, a co-factor, or not a risk factor. Independent risk factors were rated between 1 (not important) and 10 (critically important) with mean (+/- standard deviation) calculated. Result(s): Thirty-eight risk factors for chronic constipation were evaluated. Eighteen were classed as independent and 16 as co-factors. Opioid analgesia (7.87 +/- 2.05), eating disorders (7.80 +/- 1.72), and history of abuse (7.70 +/- 1.89) were scored as most important independent risk factors. Female sex (6.60 +/- 2.02) was considered an independent risk factor but increasing age was rated a co-factor. Thirty-three risk factors for faecal incontinence were evaluated. Twenty were classed as independent and eight as co-factors. Third- or fourth-degree tear (8.88 +/- 1.57), instrumental delivery (8.47 +/- 1.58), and grand multiparity (8.00 +/- 1.63) were rated most important. Increasing age (7.41 +/- 2.14) and female sex (7.58 +/- 2.05) were both considered independent risk factors. Conclusion(s): Several risk factors for chronic constipation and faecal incontinence were selected by Delphi approach. These factors will feed forward into Bayesian models of disease prediction that combine data and expert knowledge.Copyright © 2023, The Author(s).</w:t>
      </w:r>
    </w:p>
    <w:p w14:paraId="6B8169BE"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EC2838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38.</w:t>
      </w:r>
      <w:r>
        <w:rPr>
          <w:rFonts w:ascii="Calibri" w:hAnsi="Calibri" w:cs="Calibri"/>
          <w:color w:val="auto"/>
          <w:sz w:val="22"/>
          <w:szCs w:val="22"/>
        </w:rPr>
        <w:t xml:space="preserve"> Caroci-Becker, A., et al. (2023). </w:t>
      </w:r>
    </w:p>
    <w:p w14:paraId="673D96D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"Use of surgical glue versus suture to repair perineal tears: a randomised controlled trial."</w:t>
      </w:r>
      <w:r>
        <w:rPr>
          <w:rFonts w:ascii="Calibri" w:hAnsi="Calibri" w:cs="Calibri"/>
          <w:color w:val="auto"/>
          <w:sz w:val="22"/>
          <w:szCs w:val="22"/>
        </w:rPr>
        <w:t xml:space="preserve"> </w:t>
      </w:r>
    </w:p>
    <w:p w14:paraId="40D1393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BMC pregnancy and childbirth</w:t>
      </w:r>
      <w:r>
        <w:rPr>
          <w:rFonts w:ascii="Calibri" w:hAnsi="Calibri" w:cs="Calibri"/>
          <w:color w:val="auto"/>
          <w:sz w:val="22"/>
          <w:szCs w:val="22"/>
        </w:rPr>
        <w:t xml:space="preserve"> 23(1): 246.</w:t>
      </w:r>
    </w:p>
    <w:p w14:paraId="358C847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AC1A2E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https://www.cochranelibrary.com/central/doi/10.1002/central/CN-02543089/full</w:t>
      </w:r>
    </w:p>
    <w:p w14:paraId="2192D56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1910A7D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BACKGROUND: Surgical glue has been used in several body tissues, including perineal repair, and can benefit women. OBJECTIVES: To evaluate the effectiveness of n‐butyl‐2‐cyanoacrylate surgical glue compared to the polyglactin 910 suture in repairing first‐ and second‐degree perineal tears and episiotomy in vaginal births. DESIGN: A parallel randomised controlled open trial. SETTING: Birth centre in Itapecerica da Serra, São Paulo, Brazil. PARTICIPANTS AND METHODS: The participants were 140 postpartum women allocated into four groups: two experimental groups repaired with surgical glue (n = 35 women with a first‐degree tear; n = 35 women with a second‐degree tear or episiotomy); two control groups sutured with thread (n = 35 women with a first‐degree tear; n = 35 women with a second‐degree tear or episiotomy). The outcomes were perineal pain and the healing process. Data collection was conducted in six stages: (1) up to 2 h after perineal repair; (2) from 12 to 24 h postpartum; (3) from 36 to 48 h; (4) from 10 to 20 days; (5) from 50 to 70 days; and (6) from 6 to 8 months. ANOVA, Student's t, Monte Carlo, x‐square and Wald tests were used for the statistical analysis. RESULTS: One hundred forty women participated in the first three stages, 110 in stage 4, 122 in stage 5, and 54 in stage 6. The women treated with surgical glue had less perineal pain (p ≤ 0.001). There was no difference in the healing process, but the CG obtained a better result in the coaptation item (p ≤ 0.001). CONCLUSIONS: Perineal repair with surgical glue has low pain intensity and results in a healing process similar to suture threads. TRIAL REGISTRATION: Brazilian Registry of Clinical Trials (UTN code: U1111‐1184‐2507; RBR‐2q5wy8o); date of registration 01/25/2018; www.ensaiosclinicos.gov.br/rg/RBR‐2q5wy8/.</w:t>
      </w:r>
    </w:p>
    <w:p w14:paraId="2F0355B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DFB53C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39.</w:t>
      </w:r>
      <w:r>
        <w:rPr>
          <w:rFonts w:ascii="Calibri" w:hAnsi="Calibri" w:cs="Calibri"/>
          <w:color w:val="auto"/>
          <w:sz w:val="22"/>
          <w:szCs w:val="22"/>
        </w:rPr>
        <w:t xml:space="preserve"> Asorey Veiga, I., et al. (2023). </w:t>
      </w:r>
    </w:p>
    <w:p w14:paraId="1DCA938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"Pelvic pain in women with episiotomy versus women with second-degree perineal tear."</w:t>
      </w:r>
      <w:r>
        <w:rPr>
          <w:rFonts w:ascii="Calibri" w:hAnsi="Calibri" w:cs="Calibri"/>
          <w:color w:val="auto"/>
          <w:sz w:val="22"/>
          <w:szCs w:val="22"/>
        </w:rPr>
        <w:t xml:space="preserve"> </w:t>
      </w:r>
    </w:p>
    <w:p w14:paraId="7F8B44E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Clinica e Investigacion en Ginecologia y Obstetricia</w:t>
      </w:r>
      <w:r>
        <w:rPr>
          <w:rFonts w:ascii="Calibri" w:hAnsi="Calibri" w:cs="Calibri"/>
          <w:color w:val="auto"/>
          <w:sz w:val="22"/>
          <w:szCs w:val="22"/>
        </w:rPr>
        <w:t xml:space="preserve"> 50(2): 100848.</w:t>
      </w:r>
    </w:p>
    <w:p w14:paraId="1CDFA3C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4A9B740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http://www.doyma.es/gine/</w:t>
      </w:r>
    </w:p>
    <w:p w14:paraId="48BFA6E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http://ovidsp.ovid.com/ovidweb.cgi?T=JS&amp;PAGE=reference&amp;D=emed25&amp;NEWS=N&amp;AN=2022838747</w:t>
      </w:r>
    </w:p>
    <w:p w14:paraId="7B72F51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432236B"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Introduction: Pelvic pain is one of the most common pelvic floor dysfunctions in the postpartum period, depending on the degree of injury and the time at which it is assessed. The degree of involvement of a mediolateral episiotomy is similar to that of a second degree perineal tear, therefore it was decided to conduct a study to collect the degree of pain reported using the McGill Pain Questionnaire. Material(s) and Method(s): An observational, prospective longitudinal epidemiological study of dynamic cohorts was conducted among 384 women, of whom 255 had a second-degree tear and 129 had undergone an episiotomy. An assessment of the pelvic floor was carried out, together with data collection (performance or not of perineal massage, pelvic floor muscle exercises, presence of Kristeller, type of suture) as well as the degree and type of pain using the McGill Questionnaire, in the immediate puerperium, at six weeks, and six months of postpartum. Result(s): In the immediate puerperium more than 50% of women reported some type of painful sensation, without finding significant differences between both cohorts. However, as the study evolved, there was a progressive decrease in pain in both cohorts. By six weeks postpartum, less than 33% of women reported a painful sensation, considered as absence of pain according to the criteria of the McGill questionnaire. Conclusion(s): The presence of episiotomy or second degree perineal tear was not related to perineal pain.Copyright © 2023 Elsevier Espana, S.L.U.</w:t>
      </w:r>
    </w:p>
    <w:p w14:paraId="1285773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253C684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40.</w:t>
      </w:r>
      <w:r>
        <w:rPr>
          <w:rFonts w:ascii="Calibri" w:hAnsi="Calibri" w:cs="Calibri"/>
          <w:color w:val="auto"/>
          <w:sz w:val="22"/>
          <w:szCs w:val="22"/>
        </w:rPr>
        <w:t xml:space="preserve"> Alshiek, J., et al. (2023). </w:t>
      </w:r>
    </w:p>
    <w:p w14:paraId="19795512"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"Consensus Definitions and Interpretation Templates for Dynamic Ultrasound Imaging of Defecatory Pelvic Floor Disorders: Proceedings of the Consensus Meeting of the Pelvic Floor Disorders Consortium of the American Society of Colon and Rectal Surgeons, the Society of Abdominal Radiology, the International Continence Society, the American Urogynecologic Society, the International Urogynecological Association, and the Society of Gynecologic Surgeons."</w:t>
      </w:r>
      <w:r>
        <w:rPr>
          <w:rFonts w:ascii="Calibri" w:hAnsi="Calibri" w:cs="Calibri"/>
          <w:color w:val="auto"/>
          <w:sz w:val="22"/>
          <w:szCs w:val="22"/>
        </w:rPr>
        <w:t xml:space="preserve"> </w:t>
      </w:r>
    </w:p>
    <w:p w14:paraId="5EC14EE1"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Diseases of the Colon and Rectum</w:t>
      </w:r>
      <w:r>
        <w:rPr>
          <w:rFonts w:ascii="Calibri" w:hAnsi="Calibri" w:cs="Calibri"/>
          <w:color w:val="auto"/>
          <w:sz w:val="22"/>
          <w:szCs w:val="22"/>
        </w:rPr>
        <w:t xml:space="preserve"> 66(2): 200-216.</w:t>
      </w:r>
    </w:p>
    <w:p w14:paraId="38FC088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37E0B18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http://journals.lww.com/dcrjournal/pages/default.aspx</w:t>
      </w:r>
    </w:p>
    <w:p w14:paraId="4207A3F8"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http://ovidsp.ovid.com/ovidweb.cgi?T=JS&amp;PAGE=reference&amp;D=emed25&amp;NEWS=N&amp;AN=2022217366</w:t>
      </w:r>
    </w:p>
    <w:p w14:paraId="3A2A3AB5"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11B14E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06FD07D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41.</w:t>
      </w:r>
      <w:r>
        <w:rPr>
          <w:rFonts w:ascii="Calibri" w:hAnsi="Calibri" w:cs="Calibri"/>
          <w:color w:val="auto"/>
          <w:sz w:val="22"/>
          <w:szCs w:val="22"/>
        </w:rPr>
        <w:t xml:space="preserve"> Abrams, M., et al. (2023). </w:t>
      </w:r>
    </w:p>
    <w:p w14:paraId="342329A9"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b/>
          <w:bCs/>
          <w:color w:val="auto"/>
          <w:sz w:val="22"/>
          <w:szCs w:val="22"/>
        </w:rPr>
        <w:t>"Correlates of health-seeking behavior for sexual dysfunction after childbirth: a cross-sectional study."</w:t>
      </w:r>
      <w:r>
        <w:rPr>
          <w:rFonts w:ascii="Calibri" w:hAnsi="Calibri" w:cs="Calibri"/>
          <w:color w:val="auto"/>
          <w:sz w:val="22"/>
          <w:szCs w:val="22"/>
        </w:rPr>
        <w:t xml:space="preserve"> </w:t>
      </w:r>
    </w:p>
    <w:p w14:paraId="44021A37"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i/>
          <w:iCs/>
          <w:color w:val="auto"/>
          <w:sz w:val="22"/>
          <w:szCs w:val="22"/>
        </w:rPr>
        <w:t>International urogynecology journal</w:t>
      </w:r>
      <w:r>
        <w:rPr>
          <w:rFonts w:ascii="Calibri" w:hAnsi="Calibri" w:cs="Calibri"/>
          <w:color w:val="auto"/>
          <w:sz w:val="22"/>
          <w:szCs w:val="22"/>
        </w:rPr>
        <w:t xml:space="preserve"> 34(8): 1867-1876.</w:t>
      </w:r>
    </w:p>
    <w:p w14:paraId="1FB47BB3"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69FA376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https://www.springer.com/journal/192</w:t>
      </w:r>
    </w:p>
    <w:p w14:paraId="3F2B444D"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http://ovidsp.ovid.com/ovidweb.cgi?T=JS&amp;PAGE=reference&amp;D=emexa&amp;NEWS=N&amp;AN=2021594565</w:t>
      </w:r>
    </w:p>
    <w:p w14:paraId="79E8236C"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9A3E430"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r>
        <w:rPr>
          <w:rFonts w:ascii="Calibri" w:hAnsi="Calibri" w:cs="Calibri"/>
          <w:color w:val="auto"/>
          <w:sz w:val="22"/>
          <w:szCs w:val="22"/>
        </w:rPr>
        <w:t>Introduction and hypothesis: Persistent sexual dysfunction (SD) after childbirth is common, but many patients do not receive adequate care, for unknown reasons. The aim of this study is to examine correlates for health care-seeking behavior for SD within 3 years after birth. Method(s): Subjects filled out an electronic survey regarding sexual function, obstetric, relationship, and demographic characteristics. The Sexual Function Questionnaire's Medical Impact Scale) as well as a number of novel, targeted survey questions were used to measure the impact of childbirth on sexual function. Patients were stratified into those without SD, and those with SD, both seeking and not seeking care. These domains were then compared in a series of univariate, bivariate, and multivariate analyses. Result(s): Of 531 patients who completed the survey, 449 women (84.5%) reported some form of SD after birth. Only 16.0% of those with SD sought care for SD. Variables associated with care seeking include difficulty with perineal healing (adjusted odds ratio [aOR]=4.53, 95% confidence interval [CI]: 1.54-13.38), transfusion after birth (aOR=3.71, 95% CI: 1.44-9.56), current dyspareunia (aOR=3.41, 95% CI: 1.31-8.87). Factors associated with decreased probability of seeking care include children under 18 years in the home (aOR=0.61 per child, 95% CI: 0.43-0.88), number of cesarean births (aOR=0.46 per delivery, 95% CI: 0.29-0.74). Conclusion(s): This study highlights that many more women suffer from SD after childbirth than seek care, and identified several important risk factors associated with decreased care seeking. Future work should focus on decreasing the difficulty of accessing care for SD after childbirth.Copyright © 2023, The International Urogynecological Association.</w:t>
      </w:r>
    </w:p>
    <w:p w14:paraId="7F75EC4F" w14:textId="77777777" w:rsidR="00D345C0" w:rsidRDefault="00D345C0" w:rsidP="00D345C0">
      <w:pPr>
        <w:autoSpaceDE w:val="0"/>
        <w:autoSpaceDN w:val="0"/>
        <w:adjustRightInd w:val="0"/>
        <w:spacing w:beforeLines="0" w:before="0" w:afterLines="0" w:after="0" w:line="240" w:lineRule="auto"/>
        <w:contextualSpacing w:val="0"/>
        <w:rPr>
          <w:rFonts w:ascii="Calibri" w:hAnsi="Calibri" w:cs="Calibri"/>
          <w:color w:val="auto"/>
          <w:sz w:val="22"/>
          <w:szCs w:val="22"/>
        </w:rPr>
      </w:pPr>
    </w:p>
    <w:p w14:paraId="5D3CE269" w14:textId="77777777" w:rsidR="00D345C0" w:rsidRDefault="00D345C0" w:rsidP="00551783">
      <w:pPr>
        <w:spacing w:beforeLines="0" w:before="0" w:afterLines="0" w:after="0" w:line="259" w:lineRule="auto"/>
        <w:contextualSpacing w:val="0"/>
      </w:pPr>
    </w:p>
    <w:sectPr w:rsidR="00D345C0" w:rsidSect="00101B92">
      <w:headerReference w:type="default" r:id="rId14"/>
      <w:footerReference w:type="default" r:id="rId15"/>
      <w:footerReference w:type="first" r:id="rId16"/>
      <w:pgSz w:w="11906" w:h="16838"/>
      <w:pgMar w:top="1135" w:right="1440" w:bottom="993" w:left="1276" w:header="45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6DE97" w14:textId="77777777" w:rsidR="00101B92" w:rsidRDefault="00101B92" w:rsidP="00D60EEA">
      <w:r>
        <w:separator/>
      </w:r>
    </w:p>
    <w:p w14:paraId="1FF63082" w14:textId="77777777" w:rsidR="00101B92" w:rsidRDefault="00101B92" w:rsidP="00D60EEA"/>
  </w:endnote>
  <w:endnote w:type="continuationSeparator" w:id="0">
    <w:p w14:paraId="670EE98F" w14:textId="77777777" w:rsidR="00101B92" w:rsidRDefault="00101B92" w:rsidP="00D60EEA">
      <w:r>
        <w:continuationSeparator/>
      </w:r>
    </w:p>
    <w:p w14:paraId="422309DC" w14:textId="77777777" w:rsidR="00101B92" w:rsidRDefault="00101B92" w:rsidP="00D60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19581"/>
      <w:docPartObj>
        <w:docPartGallery w:val="Page Numbers (Bottom of Page)"/>
        <w:docPartUnique/>
      </w:docPartObj>
    </w:sdtPr>
    <w:sdtEndPr/>
    <w:sdtContent>
      <w:sdt>
        <w:sdtPr>
          <w:id w:val="-1576270372"/>
          <w:docPartObj>
            <w:docPartGallery w:val="Page Numbers (Top of Page)"/>
            <w:docPartUnique/>
          </w:docPartObj>
        </w:sdtPr>
        <w:sdtEndPr/>
        <w:sdtContent>
          <w:p w14:paraId="0B2E78F3" w14:textId="0DACE2F7" w:rsidR="00101B92" w:rsidRPr="00DB4A3D" w:rsidRDefault="00566235" w:rsidP="00D60EEA">
            <w:pPr>
              <w:pStyle w:val="Footer"/>
            </w:pPr>
            <w:r w:rsidRPr="00DB4A3D">
              <w:t xml:space="preserve">Page </w:t>
            </w:r>
            <w:r w:rsidRPr="00DB4A3D">
              <w:fldChar w:fldCharType="begin"/>
            </w:r>
            <w:r w:rsidRPr="00DB4A3D">
              <w:instrText xml:space="preserve"> PAGE </w:instrText>
            </w:r>
            <w:r w:rsidRPr="00DB4A3D">
              <w:fldChar w:fldCharType="separate"/>
            </w:r>
            <w:r w:rsidR="00BC6B4C">
              <w:rPr>
                <w:noProof/>
              </w:rPr>
              <w:t>4</w:t>
            </w:r>
            <w:r w:rsidRPr="00DB4A3D">
              <w:fldChar w:fldCharType="end"/>
            </w:r>
            <w:r w:rsidRPr="00DB4A3D">
              <w:t xml:space="preserve"> of </w:t>
            </w:r>
            <w:r w:rsidR="00BD7CEC">
              <w:fldChar w:fldCharType="begin"/>
            </w:r>
            <w:r w:rsidR="00BD7CEC">
              <w:instrText xml:space="preserve"> NUMPAGES  </w:instrText>
            </w:r>
            <w:r w:rsidR="00BD7CEC">
              <w:fldChar w:fldCharType="separate"/>
            </w:r>
            <w:r w:rsidR="00BC6B4C">
              <w:rPr>
                <w:noProof/>
              </w:rPr>
              <w:t>6</w:t>
            </w:r>
            <w:r w:rsidR="00BD7CEC">
              <w:rPr>
                <w:noProof/>
              </w:rPr>
              <w:fldChar w:fldCharType="end"/>
            </w:r>
          </w:p>
        </w:sdtContent>
      </w:sdt>
    </w:sdtContent>
  </w:sdt>
  <w:p w14:paraId="10E2B681" w14:textId="77777777" w:rsidR="00101B92" w:rsidRPr="00980AFA" w:rsidRDefault="00101B92" w:rsidP="00D60EEA">
    <w:pPr>
      <w:pStyle w:val="Footer"/>
    </w:pPr>
  </w:p>
  <w:p w14:paraId="19281BC5" w14:textId="77777777" w:rsidR="00303D22" w:rsidRDefault="00303D22" w:rsidP="00D60E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E151" w14:textId="40D54355" w:rsidR="00BB0E36" w:rsidRDefault="008870C9" w:rsidP="00D60EEA">
    <w:pPr>
      <w:pStyle w:val="Footer"/>
    </w:pPr>
    <w:bookmarkStart w:id="12" w:name="_Hlk111714253"/>
    <w:bookmarkStart w:id="13" w:name="_Hlk111714254"/>
    <w:bookmarkStart w:id="14" w:name="_Hlk111714255"/>
    <w:bookmarkStart w:id="15" w:name="_Hlk111714256"/>
    <w:r>
      <w:t>D</w:t>
    </w:r>
    <w:r w:rsidR="00BB0E36">
      <w:t xml:space="preserve">isclaimer: We have taken care in the preparation of this literature </w:t>
    </w:r>
    <w:r w:rsidR="00B01133">
      <w:t>search,</w:t>
    </w:r>
    <w:r w:rsidR="00BB0E36">
      <w:t xml:space="preserve"> but we make no warranty as to its accuracy and we will not be liable to any person relying on or using it for any purpose. We would also like to advise our requesters to use caution in interpreting or generalising findings as inherent publication bias towards predominantly white, northern hemisphere countries may limit the applicability of some research to certain patient populations (</w:t>
    </w:r>
    <w:r w:rsidR="00BB0E36">
      <w:rPr>
        <w:i/>
        <w:iCs/>
      </w:rPr>
      <w:t>Library and Archives, RCS England, 202</w:t>
    </w:r>
    <w:r w:rsidR="00CD546B">
      <w:rPr>
        <w:i/>
        <w:iCs/>
      </w:rPr>
      <w:t>3</w:t>
    </w:r>
    <w:r w:rsidR="00BB0E36">
      <w:rPr>
        <w:i/>
        <w:iCs/>
      </w:rPr>
      <w:t>)</w:t>
    </w:r>
  </w:p>
  <w:bookmarkEnd w:id="12"/>
  <w:bookmarkEnd w:id="13"/>
  <w:bookmarkEnd w:id="14"/>
  <w:bookmarkEnd w:id="15"/>
  <w:p w14:paraId="43A7B266" w14:textId="77777777" w:rsidR="00C52EED" w:rsidRPr="00DB4A3D" w:rsidRDefault="00C52EED" w:rsidP="00D60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D54A" w14:textId="77777777" w:rsidR="00101B92" w:rsidRDefault="00101B92" w:rsidP="00D60EEA">
      <w:r>
        <w:separator/>
      </w:r>
    </w:p>
    <w:p w14:paraId="15365FE3" w14:textId="77777777" w:rsidR="00101B92" w:rsidRDefault="00101B92" w:rsidP="00D60EEA"/>
  </w:footnote>
  <w:footnote w:type="continuationSeparator" w:id="0">
    <w:p w14:paraId="17D37977" w14:textId="77777777" w:rsidR="00101B92" w:rsidRDefault="00101B92" w:rsidP="00D60EEA">
      <w:r>
        <w:continuationSeparator/>
      </w:r>
    </w:p>
    <w:p w14:paraId="26E7928A" w14:textId="77777777" w:rsidR="00101B92" w:rsidRDefault="00101B92" w:rsidP="00D60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EE92" w14:textId="77777777" w:rsidR="00101B92" w:rsidRPr="00731FBB" w:rsidRDefault="00101B92" w:rsidP="00D60EEA">
    <w:pPr>
      <w:pStyle w:val="Header"/>
    </w:pPr>
  </w:p>
  <w:p w14:paraId="4D1F59B7" w14:textId="77777777" w:rsidR="00101B92" w:rsidRDefault="00101B92" w:rsidP="00D60EEA">
    <w:pPr>
      <w:pStyle w:val="Header"/>
    </w:pPr>
  </w:p>
  <w:p w14:paraId="7921EC6C" w14:textId="77777777" w:rsidR="00303D22" w:rsidRDefault="00303D22" w:rsidP="00D60E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1209C"/>
    <w:multiLevelType w:val="hybridMultilevel"/>
    <w:tmpl w:val="46546B14"/>
    <w:lvl w:ilvl="0" w:tplc="77C068F6">
      <w:start w:val="1"/>
      <w:numFmt w:val="bullet"/>
      <w:pStyle w:val="BazianListBullet1"/>
      <w:lvlText w:val="●"/>
      <w:lvlJc w:val="left"/>
      <w:pPr>
        <w:tabs>
          <w:tab w:val="num" w:pos="57"/>
        </w:tabs>
        <w:ind w:left="454" w:hanging="284"/>
      </w:pPr>
      <w:rPr>
        <w:rFonts w:ascii="Trebuchet MS" w:hAnsi="Trebuchet MS" w:hint="default"/>
        <w:color w:val="E0712F"/>
        <w:sz w:val="18"/>
        <w:u w:color="E0712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0678BC"/>
    <w:multiLevelType w:val="hybridMultilevel"/>
    <w:tmpl w:val="B54A8ABA"/>
    <w:lvl w:ilvl="0" w:tplc="7236EB3A">
      <w:numFmt w:val="bullet"/>
      <w:lvlText w:val=""/>
      <w:lvlJc w:val="left"/>
      <w:pPr>
        <w:ind w:left="720" w:hanging="360"/>
      </w:pPr>
      <w:rPr>
        <w:rFonts w:ascii="Symbol" w:eastAsia="Times New Roman" w:hAnsi="Symbol" w:cstheme="minorHAns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B4651C"/>
    <w:multiLevelType w:val="hybridMultilevel"/>
    <w:tmpl w:val="669602A6"/>
    <w:lvl w:ilvl="0" w:tplc="932ED0B0">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4706854">
    <w:abstractNumId w:val="0"/>
  </w:num>
  <w:num w:numId="2" w16cid:durableId="1734111650">
    <w:abstractNumId w:val="1"/>
  </w:num>
  <w:num w:numId="3" w16cid:durableId="1934704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 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566235"/>
    <w:rsid w:val="00060056"/>
    <w:rsid w:val="000874D5"/>
    <w:rsid w:val="000A2C57"/>
    <w:rsid w:val="000A3D2D"/>
    <w:rsid w:val="00101B92"/>
    <w:rsid w:val="0011025D"/>
    <w:rsid w:val="00111A23"/>
    <w:rsid w:val="001D527D"/>
    <w:rsid w:val="001E25CA"/>
    <w:rsid w:val="001F0C2F"/>
    <w:rsid w:val="001F6AD4"/>
    <w:rsid w:val="00205BA3"/>
    <w:rsid w:val="002132AB"/>
    <w:rsid w:val="00247595"/>
    <w:rsid w:val="00255AC9"/>
    <w:rsid w:val="002656F2"/>
    <w:rsid w:val="002C54A7"/>
    <w:rsid w:val="002F56C4"/>
    <w:rsid w:val="00303D22"/>
    <w:rsid w:val="00340EA2"/>
    <w:rsid w:val="00345F5F"/>
    <w:rsid w:val="0035264F"/>
    <w:rsid w:val="0037486D"/>
    <w:rsid w:val="003C0983"/>
    <w:rsid w:val="003C2F84"/>
    <w:rsid w:val="003D1344"/>
    <w:rsid w:val="003F3840"/>
    <w:rsid w:val="003F77E7"/>
    <w:rsid w:val="00435573"/>
    <w:rsid w:val="00450BCA"/>
    <w:rsid w:val="004535EF"/>
    <w:rsid w:val="00460288"/>
    <w:rsid w:val="004935A1"/>
    <w:rsid w:val="004C21C5"/>
    <w:rsid w:val="004C230E"/>
    <w:rsid w:val="004E132B"/>
    <w:rsid w:val="005360EC"/>
    <w:rsid w:val="00536A3C"/>
    <w:rsid w:val="00541377"/>
    <w:rsid w:val="00547C69"/>
    <w:rsid w:val="00551783"/>
    <w:rsid w:val="00557198"/>
    <w:rsid w:val="00566235"/>
    <w:rsid w:val="005A2322"/>
    <w:rsid w:val="005B4B41"/>
    <w:rsid w:val="005E08B4"/>
    <w:rsid w:val="005E3B7C"/>
    <w:rsid w:val="00670201"/>
    <w:rsid w:val="00672643"/>
    <w:rsid w:val="006902D8"/>
    <w:rsid w:val="006B76F3"/>
    <w:rsid w:val="006D0B78"/>
    <w:rsid w:val="007235C4"/>
    <w:rsid w:val="007408B6"/>
    <w:rsid w:val="00760FE9"/>
    <w:rsid w:val="007833E2"/>
    <w:rsid w:val="00784715"/>
    <w:rsid w:val="00832F94"/>
    <w:rsid w:val="00845419"/>
    <w:rsid w:val="008607BF"/>
    <w:rsid w:val="008804A8"/>
    <w:rsid w:val="008870C9"/>
    <w:rsid w:val="008A4A42"/>
    <w:rsid w:val="008D2D57"/>
    <w:rsid w:val="009601A4"/>
    <w:rsid w:val="00976CD5"/>
    <w:rsid w:val="009815AC"/>
    <w:rsid w:val="009A058C"/>
    <w:rsid w:val="009D537E"/>
    <w:rsid w:val="009E5992"/>
    <w:rsid w:val="00A27ACA"/>
    <w:rsid w:val="00A6340B"/>
    <w:rsid w:val="00AC61C4"/>
    <w:rsid w:val="00AE6188"/>
    <w:rsid w:val="00AE6223"/>
    <w:rsid w:val="00AF1173"/>
    <w:rsid w:val="00AF1532"/>
    <w:rsid w:val="00B01133"/>
    <w:rsid w:val="00B60282"/>
    <w:rsid w:val="00B61AFA"/>
    <w:rsid w:val="00BB0E36"/>
    <w:rsid w:val="00BB34C3"/>
    <w:rsid w:val="00BC6B4C"/>
    <w:rsid w:val="00BD7CEC"/>
    <w:rsid w:val="00BE6A85"/>
    <w:rsid w:val="00BF2D5B"/>
    <w:rsid w:val="00C03F74"/>
    <w:rsid w:val="00C52EED"/>
    <w:rsid w:val="00C65C60"/>
    <w:rsid w:val="00C679B2"/>
    <w:rsid w:val="00C9520B"/>
    <w:rsid w:val="00CB7863"/>
    <w:rsid w:val="00CC31D8"/>
    <w:rsid w:val="00CD546B"/>
    <w:rsid w:val="00D05715"/>
    <w:rsid w:val="00D21B3D"/>
    <w:rsid w:val="00D22586"/>
    <w:rsid w:val="00D345C0"/>
    <w:rsid w:val="00D51076"/>
    <w:rsid w:val="00D60EEA"/>
    <w:rsid w:val="00D64343"/>
    <w:rsid w:val="00D8764F"/>
    <w:rsid w:val="00DA111B"/>
    <w:rsid w:val="00DA2A20"/>
    <w:rsid w:val="00DA79CD"/>
    <w:rsid w:val="00DB09E9"/>
    <w:rsid w:val="00DB4A3D"/>
    <w:rsid w:val="00DD677A"/>
    <w:rsid w:val="00E133D1"/>
    <w:rsid w:val="00E1794C"/>
    <w:rsid w:val="00E67ACC"/>
    <w:rsid w:val="00E77A20"/>
    <w:rsid w:val="00EE1D28"/>
    <w:rsid w:val="00EE4328"/>
    <w:rsid w:val="00EF0DF2"/>
    <w:rsid w:val="00F25DB9"/>
    <w:rsid w:val="00F67C15"/>
    <w:rsid w:val="00F73971"/>
    <w:rsid w:val="00FD4335"/>
    <w:rsid w:val="00FF1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F840E"/>
  <w15:chartTrackingRefBased/>
  <w15:docId w15:val="{E35AADE2-9D07-47C4-92FB-8A0EB453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CS Normal"/>
    <w:qFormat/>
    <w:rsid w:val="00D60EEA"/>
    <w:pPr>
      <w:spacing w:beforeLines="20" w:before="48" w:afterLines="20" w:after="48" w:line="276" w:lineRule="auto"/>
      <w:contextualSpacing/>
    </w:pPr>
    <w:rPr>
      <w:rFonts w:cstheme="minorHAnsi"/>
      <w:color w:val="323232"/>
      <w:sz w:val="24"/>
      <w:szCs w:val="24"/>
    </w:rPr>
  </w:style>
  <w:style w:type="paragraph" w:styleId="Heading1">
    <w:name w:val="heading 1"/>
    <w:aliases w:val="RCS Heading 1"/>
    <w:basedOn w:val="Normal"/>
    <w:next w:val="BodyText"/>
    <w:link w:val="Heading1Char"/>
    <w:uiPriority w:val="9"/>
    <w:qFormat/>
    <w:rsid w:val="00C679B2"/>
    <w:pPr>
      <w:keepNext/>
      <w:keepLines/>
      <w:outlineLvl w:val="0"/>
    </w:pPr>
    <w:rPr>
      <w:rFonts w:eastAsiaTheme="majorEastAsia" w:cstheme="majorBidi"/>
      <w:b/>
      <w:bCs/>
      <w:color w:val="068375"/>
      <w:sz w:val="72"/>
      <w:szCs w:val="28"/>
    </w:rPr>
  </w:style>
  <w:style w:type="paragraph" w:styleId="Heading2">
    <w:name w:val="heading 2"/>
    <w:aliases w:val="RCS Intro"/>
    <w:basedOn w:val="BodyText"/>
    <w:next w:val="BodyText"/>
    <w:link w:val="Heading2Char"/>
    <w:uiPriority w:val="9"/>
    <w:unhideWhenUsed/>
    <w:qFormat/>
    <w:rsid w:val="00BB34C3"/>
    <w:pPr>
      <w:keepNext/>
      <w:keepLines/>
      <w:spacing w:before="200" w:after="0"/>
      <w:outlineLvl w:val="1"/>
    </w:pPr>
    <w:rPr>
      <w:rFonts w:eastAsiaTheme="majorEastAsia" w:cstheme="majorBidi"/>
      <w:bCs/>
      <w:color w:val="000000" w:themeColor="text1"/>
      <w:sz w:val="48"/>
      <w:szCs w:val="26"/>
    </w:rPr>
  </w:style>
  <w:style w:type="paragraph" w:styleId="Heading3">
    <w:name w:val="heading 3"/>
    <w:basedOn w:val="Normal"/>
    <w:next w:val="Normal"/>
    <w:link w:val="Heading3Char"/>
    <w:uiPriority w:val="9"/>
    <w:unhideWhenUsed/>
    <w:rsid w:val="001F0C2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RCS Sub Heading"/>
    <w:basedOn w:val="Heading2"/>
    <w:next w:val="BodyText"/>
    <w:link w:val="Heading4Char"/>
    <w:uiPriority w:val="9"/>
    <w:unhideWhenUsed/>
    <w:qFormat/>
    <w:rsid w:val="001F0C2F"/>
    <w:pPr>
      <w:outlineLvl w:val="3"/>
    </w:pPr>
    <w:rPr>
      <w:bCs w:val="0"/>
      <w:iCs/>
      <w:sz w:val="36"/>
    </w:rPr>
  </w:style>
  <w:style w:type="paragraph" w:styleId="Heading5">
    <w:name w:val="heading 5"/>
    <w:basedOn w:val="Normal"/>
    <w:next w:val="Normal"/>
    <w:link w:val="Heading5Char"/>
    <w:uiPriority w:val="9"/>
    <w:unhideWhenUsed/>
    <w:rsid w:val="001F0C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61C4"/>
    <w:pPr>
      <w:spacing w:line="240" w:lineRule="auto"/>
    </w:pPr>
    <w:rPr>
      <w:rFonts w:ascii="Arial" w:hAnsi="Arial"/>
    </w:rPr>
  </w:style>
  <w:style w:type="character" w:customStyle="1" w:styleId="Heading1Char">
    <w:name w:val="Heading 1 Char"/>
    <w:aliases w:val="RCS Heading 1 Char"/>
    <w:basedOn w:val="DefaultParagraphFont"/>
    <w:link w:val="Heading1"/>
    <w:uiPriority w:val="9"/>
    <w:rsid w:val="00C679B2"/>
    <w:rPr>
      <w:rFonts w:eastAsiaTheme="majorEastAsia" w:cstheme="majorBidi"/>
      <w:b/>
      <w:bCs/>
      <w:color w:val="068375"/>
      <w:sz w:val="72"/>
      <w:szCs w:val="28"/>
    </w:rPr>
  </w:style>
  <w:style w:type="paragraph" w:styleId="Subtitle">
    <w:name w:val="Subtitle"/>
    <w:aliases w:val="RCS Subtitle,Author"/>
    <w:basedOn w:val="Normal"/>
    <w:next w:val="Normal"/>
    <w:link w:val="SubtitleChar"/>
    <w:uiPriority w:val="11"/>
    <w:qFormat/>
    <w:rsid w:val="00D60EEA"/>
    <w:pPr>
      <w:numPr>
        <w:ilvl w:val="1"/>
      </w:numPr>
    </w:pPr>
    <w:rPr>
      <w:rFonts w:eastAsiaTheme="majorEastAsia" w:cstheme="majorBidi"/>
      <w:b/>
      <w:iCs/>
      <w:color w:val="auto"/>
      <w:spacing w:val="15"/>
    </w:rPr>
  </w:style>
  <w:style w:type="character" w:customStyle="1" w:styleId="SubtitleChar">
    <w:name w:val="Subtitle Char"/>
    <w:aliases w:val="RCS Subtitle Char,Author Char"/>
    <w:basedOn w:val="DefaultParagraphFont"/>
    <w:link w:val="Subtitle"/>
    <w:uiPriority w:val="11"/>
    <w:rsid w:val="00D60EEA"/>
    <w:rPr>
      <w:rFonts w:eastAsiaTheme="majorEastAsia" w:cstheme="majorBidi"/>
      <w:b/>
      <w:iCs/>
      <w:spacing w:val="15"/>
      <w:sz w:val="24"/>
      <w:szCs w:val="24"/>
    </w:rPr>
  </w:style>
  <w:style w:type="character" w:customStyle="1" w:styleId="Heading2Char">
    <w:name w:val="Heading 2 Char"/>
    <w:aliases w:val="RCS Intro Char"/>
    <w:basedOn w:val="DefaultParagraphFont"/>
    <w:link w:val="Heading2"/>
    <w:uiPriority w:val="9"/>
    <w:rsid w:val="00BB34C3"/>
    <w:rPr>
      <w:rFonts w:eastAsiaTheme="majorEastAsia" w:cstheme="majorBidi"/>
      <w:bCs/>
      <w:color w:val="000000" w:themeColor="text1"/>
      <w:sz w:val="48"/>
      <w:szCs w:val="26"/>
    </w:rPr>
  </w:style>
  <w:style w:type="character" w:styleId="SubtleEmphasis">
    <w:name w:val="Subtle Emphasis"/>
    <w:basedOn w:val="DefaultParagraphFont"/>
    <w:uiPriority w:val="19"/>
    <w:rsid w:val="00DA111B"/>
    <w:rPr>
      <w:i/>
      <w:iCs/>
      <w:color w:val="808080" w:themeColor="text1" w:themeTint="7F"/>
    </w:rPr>
  </w:style>
  <w:style w:type="paragraph" w:styleId="BodyText">
    <w:name w:val="Body Text"/>
    <w:basedOn w:val="Normal"/>
    <w:link w:val="BodyTextChar"/>
    <w:uiPriority w:val="99"/>
    <w:unhideWhenUsed/>
    <w:rsid w:val="00AC61C4"/>
    <w:pPr>
      <w:spacing w:after="120"/>
    </w:pPr>
  </w:style>
  <w:style w:type="character" w:customStyle="1" w:styleId="BodyTextChar">
    <w:name w:val="Body Text Char"/>
    <w:basedOn w:val="DefaultParagraphFont"/>
    <w:link w:val="BodyText"/>
    <w:uiPriority w:val="99"/>
    <w:rsid w:val="00AC61C4"/>
    <w:rPr>
      <w:rFonts w:ascii="Arial" w:hAnsi="Arial"/>
    </w:rPr>
  </w:style>
  <w:style w:type="character" w:styleId="Emphasis">
    <w:name w:val="Emphasis"/>
    <w:basedOn w:val="DefaultParagraphFont"/>
    <w:uiPriority w:val="20"/>
    <w:rsid w:val="00760FE9"/>
    <w:rPr>
      <w:i/>
      <w:iCs/>
    </w:rPr>
  </w:style>
  <w:style w:type="character" w:styleId="IntenseEmphasis">
    <w:name w:val="Intense Emphasis"/>
    <w:basedOn w:val="DefaultParagraphFont"/>
    <w:uiPriority w:val="21"/>
    <w:rsid w:val="00760FE9"/>
    <w:rPr>
      <w:b/>
      <w:bCs/>
      <w:i/>
      <w:iCs/>
      <w:color w:val="4F81BD" w:themeColor="accent1"/>
    </w:rPr>
  </w:style>
  <w:style w:type="paragraph" w:styleId="Title">
    <w:name w:val="Title"/>
    <w:basedOn w:val="Normal"/>
    <w:next w:val="Normal"/>
    <w:link w:val="TitleChar"/>
    <w:uiPriority w:val="10"/>
    <w:rsid w:val="00760FE9"/>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0FE9"/>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1F0C2F"/>
    <w:rPr>
      <w:rFonts w:asciiTheme="majorHAnsi" w:eastAsiaTheme="majorEastAsia" w:hAnsiTheme="majorHAnsi" w:cstheme="majorBidi"/>
      <w:b/>
      <w:bCs/>
      <w:color w:val="4F81BD" w:themeColor="accent1"/>
    </w:rPr>
  </w:style>
  <w:style w:type="character" w:customStyle="1" w:styleId="Heading4Char">
    <w:name w:val="Heading 4 Char"/>
    <w:aliases w:val="RCS Sub Heading Char"/>
    <w:basedOn w:val="DefaultParagraphFont"/>
    <w:link w:val="Heading4"/>
    <w:uiPriority w:val="9"/>
    <w:rsid w:val="001F0C2F"/>
    <w:rPr>
      <w:rFonts w:ascii="Arial" w:eastAsiaTheme="majorEastAsia" w:hAnsi="Arial" w:cstheme="majorBidi"/>
      <w:iCs/>
      <w:color w:val="000000" w:themeColor="text1"/>
      <w:sz w:val="36"/>
      <w:szCs w:val="26"/>
    </w:rPr>
  </w:style>
  <w:style w:type="character" w:customStyle="1" w:styleId="Heading5Char">
    <w:name w:val="Heading 5 Char"/>
    <w:basedOn w:val="DefaultParagraphFont"/>
    <w:link w:val="Heading5"/>
    <w:uiPriority w:val="9"/>
    <w:rsid w:val="001F0C2F"/>
    <w:rPr>
      <w:rFonts w:asciiTheme="majorHAnsi" w:eastAsiaTheme="majorEastAsia" w:hAnsiTheme="majorHAnsi" w:cstheme="majorBidi"/>
      <w:color w:val="243F60" w:themeColor="accent1" w:themeShade="7F"/>
    </w:rPr>
  </w:style>
  <w:style w:type="table" w:customStyle="1" w:styleId="RCStable">
    <w:name w:val="RCS table"/>
    <w:basedOn w:val="TableNormal"/>
    <w:uiPriority w:val="99"/>
    <w:rsid w:val="004C230E"/>
    <w:pPr>
      <w:spacing w:line="240" w:lineRule="auto"/>
    </w:pPr>
    <w:tblPr>
      <w:tblStyleRowBandSize w:val="1"/>
      <w:tblStyleColBandSize w:val="1"/>
      <w:tbl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insideH w:val="single" w:sz="4" w:space="0" w:color="3071C3" w:themeColor="text2" w:themeTint="BF"/>
        <w:insideV w:val="single" w:sz="4" w:space="0" w:color="3071C3" w:themeColor="text2" w:themeTint="BF"/>
      </w:tblBorders>
    </w:tblPr>
    <w:tcPr>
      <w:shd w:val="clear" w:color="auto" w:fill="auto"/>
      <w:vAlign w:val="center"/>
    </w:tcPr>
    <w:tblStylePr w:type="firstRow">
      <w:rPr>
        <w:b/>
      </w:rPr>
      <w:tblPr/>
      <w:tcPr>
        <w:shd w:val="clear" w:color="auto" w:fill="49C5B1"/>
      </w:tcPr>
    </w:tblStylePr>
    <w:tblStylePr w:type="band1Horz">
      <w:tblPr/>
      <w:tcPr>
        <w:shd w:val="clear" w:color="auto" w:fill="E5E2D1" w:themeFill="background2" w:themeFillShade="F2"/>
      </w:tcPr>
    </w:tblStylePr>
  </w:style>
  <w:style w:type="table" w:styleId="TableGrid">
    <w:name w:val="Table Grid"/>
    <w:basedOn w:val="TableNormal"/>
    <w:uiPriority w:val="59"/>
    <w:rsid w:val="004C230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zianListBullet1">
    <w:name w:val="Bazian List Bullet 1"/>
    <w:uiPriority w:val="99"/>
    <w:rsid w:val="00566235"/>
    <w:pPr>
      <w:numPr>
        <w:numId w:val="1"/>
      </w:numPr>
      <w:spacing w:line="280" w:lineRule="exact"/>
      <w:ind w:left="720"/>
    </w:pPr>
    <w:rPr>
      <w:rFonts w:ascii="Trebuchet MS" w:eastAsia="Times New Roman" w:hAnsi="Trebuchet MS" w:cs="Times New Roman"/>
      <w:sz w:val="18"/>
      <w:szCs w:val="24"/>
      <w:lang w:eastAsia="en-GB"/>
    </w:rPr>
  </w:style>
  <w:style w:type="paragraph" w:styleId="Footer">
    <w:name w:val="footer"/>
    <w:basedOn w:val="Normal"/>
    <w:link w:val="FooterChar"/>
    <w:uiPriority w:val="99"/>
    <w:rsid w:val="00566235"/>
    <w:pPr>
      <w:tabs>
        <w:tab w:val="center" w:pos="4320"/>
        <w:tab w:val="right" w:pos="8640"/>
      </w:tabs>
    </w:pPr>
  </w:style>
  <w:style w:type="character" w:customStyle="1" w:styleId="FooterChar">
    <w:name w:val="Footer Char"/>
    <w:basedOn w:val="DefaultParagraphFont"/>
    <w:link w:val="Footer"/>
    <w:uiPriority w:val="99"/>
    <w:rsid w:val="00566235"/>
    <w:rPr>
      <w:rFonts w:ascii="Arial" w:eastAsia="Calibri" w:hAnsi="Arial" w:cs="Times New Roman"/>
      <w:color w:val="323232"/>
      <w:sz w:val="24"/>
    </w:rPr>
  </w:style>
  <w:style w:type="paragraph" w:styleId="Header">
    <w:name w:val="header"/>
    <w:basedOn w:val="Normal"/>
    <w:link w:val="HeaderChar"/>
    <w:rsid w:val="00566235"/>
    <w:pPr>
      <w:tabs>
        <w:tab w:val="center" w:pos="4320"/>
        <w:tab w:val="right" w:pos="8640"/>
      </w:tabs>
    </w:pPr>
  </w:style>
  <w:style w:type="character" w:customStyle="1" w:styleId="HeaderChar">
    <w:name w:val="Header Char"/>
    <w:basedOn w:val="DefaultParagraphFont"/>
    <w:link w:val="Header"/>
    <w:rsid w:val="00566235"/>
    <w:rPr>
      <w:rFonts w:ascii="Arial" w:eastAsia="Calibri" w:hAnsi="Arial" w:cs="Times New Roman"/>
      <w:color w:val="323232"/>
      <w:sz w:val="24"/>
    </w:rPr>
  </w:style>
  <w:style w:type="character" w:styleId="Hyperlink">
    <w:name w:val="Hyperlink"/>
    <w:basedOn w:val="DefaultParagraphFont"/>
    <w:uiPriority w:val="99"/>
    <w:rsid w:val="00566235"/>
    <w:rPr>
      <w:color w:val="0000FF"/>
      <w:u w:val="single"/>
    </w:rPr>
  </w:style>
  <w:style w:type="paragraph" w:styleId="TOC1">
    <w:name w:val="toc 1"/>
    <w:basedOn w:val="Normal"/>
    <w:next w:val="Normal"/>
    <w:autoRedefine/>
    <w:uiPriority w:val="39"/>
    <w:qFormat/>
    <w:rsid w:val="00566235"/>
    <w:pPr>
      <w:tabs>
        <w:tab w:val="right" w:leader="dot" w:pos="9072"/>
      </w:tabs>
      <w:spacing w:before="60" w:after="60" w:line="280" w:lineRule="exact"/>
      <w:ind w:right="3356"/>
    </w:pPr>
    <w:rPr>
      <w:rFonts w:ascii="Trebuchet MS" w:eastAsia="Times New Roman" w:hAnsi="Trebuchet MS"/>
      <w:noProof/>
      <w:color w:val="auto"/>
      <w:sz w:val="22"/>
      <w:lang w:val="en-US" w:eastAsia="en-GB"/>
    </w:rPr>
  </w:style>
  <w:style w:type="paragraph" w:customStyle="1" w:styleId="BazianTableBullet1">
    <w:name w:val="Bazian Table Bullet 1"/>
    <w:basedOn w:val="BazianListBullet1"/>
    <w:uiPriority w:val="99"/>
    <w:rsid w:val="00566235"/>
    <w:pPr>
      <w:ind w:left="437" w:hanging="227"/>
    </w:pPr>
  </w:style>
  <w:style w:type="paragraph" w:styleId="ListParagraph">
    <w:name w:val="List Paragraph"/>
    <w:basedOn w:val="Normal"/>
    <w:uiPriority w:val="99"/>
    <w:qFormat/>
    <w:rsid w:val="00566235"/>
    <w:pPr>
      <w:spacing w:after="0" w:line="240" w:lineRule="auto"/>
      <w:ind w:left="720"/>
    </w:pPr>
    <w:rPr>
      <w:rFonts w:ascii="Times New Roman" w:eastAsia="Times New Roman" w:hAnsi="Times New Roman"/>
      <w:lang w:val="en-US"/>
    </w:rPr>
  </w:style>
  <w:style w:type="paragraph" w:styleId="TOCHeading">
    <w:name w:val="TOC Heading"/>
    <w:basedOn w:val="Heading1"/>
    <w:next w:val="Normal"/>
    <w:uiPriority w:val="39"/>
    <w:unhideWhenUsed/>
    <w:qFormat/>
    <w:rsid w:val="00566235"/>
    <w:pPr>
      <w:keepNext w:val="0"/>
      <w:outlineLvl w:val="9"/>
    </w:pPr>
    <w:rPr>
      <w:rFonts w:ascii="Cambria" w:eastAsia="MS Gothic" w:hAnsi="Cambria" w:cs="Times New Roman"/>
      <w:bCs w:val="0"/>
      <w:color w:val="365F91"/>
      <w:sz w:val="28"/>
      <w:lang w:val="en-US" w:eastAsia="ja-JP"/>
    </w:rPr>
  </w:style>
  <w:style w:type="paragraph" w:styleId="PlainText">
    <w:name w:val="Plain Text"/>
    <w:basedOn w:val="Normal"/>
    <w:link w:val="PlainTextChar"/>
    <w:uiPriority w:val="99"/>
    <w:unhideWhenUsed/>
    <w:rsid w:val="0011025D"/>
    <w:pPr>
      <w:spacing w:after="0" w:line="240" w:lineRule="auto"/>
    </w:pPr>
    <w:rPr>
      <w:rFonts w:cs="Arial"/>
      <w:sz w:val="22"/>
    </w:rPr>
  </w:style>
  <w:style w:type="character" w:customStyle="1" w:styleId="PlainTextChar">
    <w:name w:val="Plain Text Char"/>
    <w:basedOn w:val="DefaultParagraphFont"/>
    <w:link w:val="PlainText"/>
    <w:uiPriority w:val="99"/>
    <w:rsid w:val="0011025D"/>
    <w:rPr>
      <w:rFonts w:ascii="Arial" w:hAnsi="Arial" w:cs="Arial"/>
      <w:color w:val="323232"/>
    </w:rPr>
  </w:style>
  <w:style w:type="character" w:customStyle="1" w:styleId="searchhistory-search-term">
    <w:name w:val="searchhistory-search-term"/>
    <w:basedOn w:val="DefaultParagraphFont"/>
    <w:rsid w:val="00340EA2"/>
  </w:style>
  <w:style w:type="paragraph" w:styleId="BalloonText">
    <w:name w:val="Balloon Text"/>
    <w:basedOn w:val="Normal"/>
    <w:link w:val="BalloonTextChar"/>
    <w:uiPriority w:val="99"/>
    <w:semiHidden/>
    <w:unhideWhenUsed/>
    <w:rsid w:val="00976CD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CD5"/>
    <w:rPr>
      <w:rFonts w:ascii="Segoe UI" w:hAnsi="Segoe UI" w:cs="Segoe UI"/>
      <w:color w:val="323232"/>
      <w:sz w:val="18"/>
      <w:szCs w:val="18"/>
    </w:rPr>
  </w:style>
  <w:style w:type="paragraph" w:styleId="TOC2">
    <w:name w:val="toc 2"/>
    <w:basedOn w:val="Normal"/>
    <w:next w:val="Normal"/>
    <w:autoRedefine/>
    <w:uiPriority w:val="39"/>
    <w:unhideWhenUsed/>
    <w:rsid w:val="00AF1532"/>
    <w:pPr>
      <w:spacing w:after="100"/>
      <w:ind w:left="240"/>
    </w:pPr>
  </w:style>
  <w:style w:type="character" w:styleId="UnresolvedMention">
    <w:name w:val="Unresolved Mention"/>
    <w:basedOn w:val="DefaultParagraphFont"/>
    <w:uiPriority w:val="99"/>
    <w:semiHidden/>
    <w:unhideWhenUsed/>
    <w:rsid w:val="00AF1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985">
      <w:bodyDiv w:val="1"/>
      <w:marLeft w:val="0"/>
      <w:marRight w:val="0"/>
      <w:marTop w:val="0"/>
      <w:marBottom w:val="0"/>
      <w:divBdr>
        <w:top w:val="none" w:sz="0" w:space="0" w:color="auto"/>
        <w:left w:val="none" w:sz="0" w:space="0" w:color="auto"/>
        <w:bottom w:val="none" w:sz="0" w:space="0" w:color="auto"/>
        <w:right w:val="none" w:sz="0" w:space="0" w:color="auto"/>
      </w:divBdr>
      <w:divsChild>
        <w:div w:id="272328114">
          <w:marLeft w:val="0"/>
          <w:marRight w:val="0"/>
          <w:marTop w:val="0"/>
          <w:marBottom w:val="0"/>
          <w:divBdr>
            <w:top w:val="none" w:sz="0" w:space="0" w:color="auto"/>
            <w:left w:val="none" w:sz="0" w:space="0" w:color="auto"/>
            <w:bottom w:val="none" w:sz="0" w:space="0" w:color="auto"/>
            <w:right w:val="none" w:sz="0" w:space="0" w:color="auto"/>
          </w:divBdr>
        </w:div>
        <w:div w:id="356658371">
          <w:marLeft w:val="0"/>
          <w:marRight w:val="0"/>
          <w:marTop w:val="0"/>
          <w:marBottom w:val="0"/>
          <w:divBdr>
            <w:top w:val="none" w:sz="0" w:space="0" w:color="auto"/>
            <w:left w:val="none" w:sz="0" w:space="0" w:color="auto"/>
            <w:bottom w:val="none" w:sz="0" w:space="0" w:color="auto"/>
            <w:right w:val="none" w:sz="0" w:space="0" w:color="auto"/>
          </w:divBdr>
        </w:div>
      </w:divsChild>
    </w:div>
    <w:div w:id="81609674">
      <w:bodyDiv w:val="1"/>
      <w:marLeft w:val="0"/>
      <w:marRight w:val="0"/>
      <w:marTop w:val="0"/>
      <w:marBottom w:val="0"/>
      <w:divBdr>
        <w:top w:val="none" w:sz="0" w:space="0" w:color="auto"/>
        <w:left w:val="none" w:sz="0" w:space="0" w:color="auto"/>
        <w:bottom w:val="none" w:sz="0" w:space="0" w:color="auto"/>
        <w:right w:val="none" w:sz="0" w:space="0" w:color="auto"/>
      </w:divBdr>
    </w:div>
    <w:div w:id="206798136">
      <w:bodyDiv w:val="1"/>
      <w:marLeft w:val="0"/>
      <w:marRight w:val="0"/>
      <w:marTop w:val="0"/>
      <w:marBottom w:val="0"/>
      <w:divBdr>
        <w:top w:val="none" w:sz="0" w:space="0" w:color="auto"/>
        <w:left w:val="none" w:sz="0" w:space="0" w:color="auto"/>
        <w:bottom w:val="none" w:sz="0" w:space="0" w:color="auto"/>
        <w:right w:val="none" w:sz="0" w:space="0" w:color="auto"/>
      </w:divBdr>
    </w:div>
    <w:div w:id="265845974">
      <w:bodyDiv w:val="1"/>
      <w:marLeft w:val="0"/>
      <w:marRight w:val="0"/>
      <w:marTop w:val="0"/>
      <w:marBottom w:val="0"/>
      <w:divBdr>
        <w:top w:val="none" w:sz="0" w:space="0" w:color="auto"/>
        <w:left w:val="none" w:sz="0" w:space="0" w:color="auto"/>
        <w:bottom w:val="none" w:sz="0" w:space="0" w:color="auto"/>
        <w:right w:val="none" w:sz="0" w:space="0" w:color="auto"/>
      </w:divBdr>
    </w:div>
    <w:div w:id="298416141">
      <w:bodyDiv w:val="1"/>
      <w:marLeft w:val="0"/>
      <w:marRight w:val="0"/>
      <w:marTop w:val="0"/>
      <w:marBottom w:val="0"/>
      <w:divBdr>
        <w:top w:val="none" w:sz="0" w:space="0" w:color="auto"/>
        <w:left w:val="none" w:sz="0" w:space="0" w:color="auto"/>
        <w:bottom w:val="none" w:sz="0" w:space="0" w:color="auto"/>
        <w:right w:val="none" w:sz="0" w:space="0" w:color="auto"/>
      </w:divBdr>
    </w:div>
    <w:div w:id="419564226">
      <w:bodyDiv w:val="1"/>
      <w:marLeft w:val="0"/>
      <w:marRight w:val="0"/>
      <w:marTop w:val="0"/>
      <w:marBottom w:val="0"/>
      <w:divBdr>
        <w:top w:val="none" w:sz="0" w:space="0" w:color="auto"/>
        <w:left w:val="none" w:sz="0" w:space="0" w:color="auto"/>
        <w:bottom w:val="none" w:sz="0" w:space="0" w:color="auto"/>
        <w:right w:val="none" w:sz="0" w:space="0" w:color="auto"/>
      </w:divBdr>
      <w:divsChild>
        <w:div w:id="163788603">
          <w:marLeft w:val="0"/>
          <w:marRight w:val="0"/>
          <w:marTop w:val="0"/>
          <w:marBottom w:val="0"/>
          <w:divBdr>
            <w:top w:val="none" w:sz="0" w:space="0" w:color="auto"/>
            <w:left w:val="none" w:sz="0" w:space="0" w:color="auto"/>
            <w:bottom w:val="none" w:sz="0" w:space="0" w:color="auto"/>
            <w:right w:val="none" w:sz="0" w:space="0" w:color="auto"/>
          </w:divBdr>
        </w:div>
        <w:div w:id="317807721">
          <w:marLeft w:val="0"/>
          <w:marRight w:val="0"/>
          <w:marTop w:val="0"/>
          <w:marBottom w:val="0"/>
          <w:divBdr>
            <w:top w:val="none" w:sz="0" w:space="0" w:color="auto"/>
            <w:left w:val="none" w:sz="0" w:space="0" w:color="auto"/>
            <w:bottom w:val="none" w:sz="0" w:space="0" w:color="auto"/>
            <w:right w:val="none" w:sz="0" w:space="0" w:color="auto"/>
          </w:divBdr>
        </w:div>
        <w:div w:id="732512188">
          <w:marLeft w:val="0"/>
          <w:marRight w:val="0"/>
          <w:marTop w:val="0"/>
          <w:marBottom w:val="0"/>
          <w:divBdr>
            <w:top w:val="none" w:sz="0" w:space="0" w:color="auto"/>
            <w:left w:val="none" w:sz="0" w:space="0" w:color="auto"/>
            <w:bottom w:val="none" w:sz="0" w:space="0" w:color="auto"/>
            <w:right w:val="none" w:sz="0" w:space="0" w:color="auto"/>
          </w:divBdr>
        </w:div>
        <w:div w:id="744959453">
          <w:marLeft w:val="0"/>
          <w:marRight w:val="0"/>
          <w:marTop w:val="0"/>
          <w:marBottom w:val="0"/>
          <w:divBdr>
            <w:top w:val="none" w:sz="0" w:space="0" w:color="auto"/>
            <w:left w:val="none" w:sz="0" w:space="0" w:color="auto"/>
            <w:bottom w:val="none" w:sz="0" w:space="0" w:color="auto"/>
            <w:right w:val="none" w:sz="0" w:space="0" w:color="auto"/>
          </w:divBdr>
        </w:div>
        <w:div w:id="792938704">
          <w:marLeft w:val="0"/>
          <w:marRight w:val="0"/>
          <w:marTop w:val="0"/>
          <w:marBottom w:val="0"/>
          <w:divBdr>
            <w:top w:val="none" w:sz="0" w:space="0" w:color="auto"/>
            <w:left w:val="none" w:sz="0" w:space="0" w:color="auto"/>
            <w:bottom w:val="none" w:sz="0" w:space="0" w:color="auto"/>
            <w:right w:val="none" w:sz="0" w:space="0" w:color="auto"/>
          </w:divBdr>
        </w:div>
        <w:div w:id="924609028">
          <w:marLeft w:val="0"/>
          <w:marRight w:val="0"/>
          <w:marTop w:val="0"/>
          <w:marBottom w:val="0"/>
          <w:divBdr>
            <w:top w:val="none" w:sz="0" w:space="0" w:color="auto"/>
            <w:left w:val="none" w:sz="0" w:space="0" w:color="auto"/>
            <w:bottom w:val="none" w:sz="0" w:space="0" w:color="auto"/>
            <w:right w:val="none" w:sz="0" w:space="0" w:color="auto"/>
          </w:divBdr>
        </w:div>
        <w:div w:id="941689253">
          <w:marLeft w:val="0"/>
          <w:marRight w:val="0"/>
          <w:marTop w:val="0"/>
          <w:marBottom w:val="0"/>
          <w:divBdr>
            <w:top w:val="none" w:sz="0" w:space="0" w:color="auto"/>
            <w:left w:val="none" w:sz="0" w:space="0" w:color="auto"/>
            <w:bottom w:val="none" w:sz="0" w:space="0" w:color="auto"/>
            <w:right w:val="none" w:sz="0" w:space="0" w:color="auto"/>
          </w:divBdr>
        </w:div>
        <w:div w:id="1318725986">
          <w:marLeft w:val="0"/>
          <w:marRight w:val="0"/>
          <w:marTop w:val="0"/>
          <w:marBottom w:val="0"/>
          <w:divBdr>
            <w:top w:val="none" w:sz="0" w:space="0" w:color="auto"/>
            <w:left w:val="none" w:sz="0" w:space="0" w:color="auto"/>
            <w:bottom w:val="none" w:sz="0" w:space="0" w:color="auto"/>
            <w:right w:val="none" w:sz="0" w:space="0" w:color="auto"/>
          </w:divBdr>
        </w:div>
        <w:div w:id="1660693128">
          <w:marLeft w:val="0"/>
          <w:marRight w:val="0"/>
          <w:marTop w:val="0"/>
          <w:marBottom w:val="0"/>
          <w:divBdr>
            <w:top w:val="none" w:sz="0" w:space="0" w:color="auto"/>
            <w:left w:val="none" w:sz="0" w:space="0" w:color="auto"/>
            <w:bottom w:val="none" w:sz="0" w:space="0" w:color="auto"/>
            <w:right w:val="none" w:sz="0" w:space="0" w:color="auto"/>
          </w:divBdr>
        </w:div>
        <w:div w:id="1922636788">
          <w:marLeft w:val="0"/>
          <w:marRight w:val="0"/>
          <w:marTop w:val="0"/>
          <w:marBottom w:val="0"/>
          <w:divBdr>
            <w:top w:val="none" w:sz="0" w:space="0" w:color="auto"/>
            <w:left w:val="none" w:sz="0" w:space="0" w:color="auto"/>
            <w:bottom w:val="none" w:sz="0" w:space="0" w:color="auto"/>
            <w:right w:val="none" w:sz="0" w:space="0" w:color="auto"/>
          </w:divBdr>
        </w:div>
      </w:divsChild>
    </w:div>
    <w:div w:id="588467763">
      <w:bodyDiv w:val="1"/>
      <w:marLeft w:val="0"/>
      <w:marRight w:val="0"/>
      <w:marTop w:val="0"/>
      <w:marBottom w:val="0"/>
      <w:divBdr>
        <w:top w:val="none" w:sz="0" w:space="0" w:color="auto"/>
        <w:left w:val="none" w:sz="0" w:space="0" w:color="auto"/>
        <w:bottom w:val="none" w:sz="0" w:space="0" w:color="auto"/>
        <w:right w:val="none" w:sz="0" w:space="0" w:color="auto"/>
      </w:divBdr>
    </w:div>
    <w:div w:id="663511910">
      <w:bodyDiv w:val="1"/>
      <w:marLeft w:val="0"/>
      <w:marRight w:val="0"/>
      <w:marTop w:val="0"/>
      <w:marBottom w:val="0"/>
      <w:divBdr>
        <w:top w:val="none" w:sz="0" w:space="0" w:color="auto"/>
        <w:left w:val="none" w:sz="0" w:space="0" w:color="auto"/>
        <w:bottom w:val="none" w:sz="0" w:space="0" w:color="auto"/>
        <w:right w:val="none" w:sz="0" w:space="0" w:color="auto"/>
      </w:divBdr>
    </w:div>
    <w:div w:id="665784173">
      <w:bodyDiv w:val="1"/>
      <w:marLeft w:val="0"/>
      <w:marRight w:val="0"/>
      <w:marTop w:val="0"/>
      <w:marBottom w:val="0"/>
      <w:divBdr>
        <w:top w:val="none" w:sz="0" w:space="0" w:color="auto"/>
        <w:left w:val="none" w:sz="0" w:space="0" w:color="auto"/>
        <w:bottom w:val="none" w:sz="0" w:space="0" w:color="auto"/>
        <w:right w:val="none" w:sz="0" w:space="0" w:color="auto"/>
      </w:divBdr>
    </w:div>
    <w:div w:id="825705512">
      <w:bodyDiv w:val="1"/>
      <w:marLeft w:val="0"/>
      <w:marRight w:val="0"/>
      <w:marTop w:val="0"/>
      <w:marBottom w:val="0"/>
      <w:divBdr>
        <w:top w:val="none" w:sz="0" w:space="0" w:color="auto"/>
        <w:left w:val="none" w:sz="0" w:space="0" w:color="auto"/>
        <w:bottom w:val="none" w:sz="0" w:space="0" w:color="auto"/>
        <w:right w:val="none" w:sz="0" w:space="0" w:color="auto"/>
      </w:divBdr>
    </w:div>
    <w:div w:id="845747102">
      <w:bodyDiv w:val="1"/>
      <w:marLeft w:val="0"/>
      <w:marRight w:val="0"/>
      <w:marTop w:val="0"/>
      <w:marBottom w:val="0"/>
      <w:divBdr>
        <w:top w:val="none" w:sz="0" w:space="0" w:color="auto"/>
        <w:left w:val="none" w:sz="0" w:space="0" w:color="auto"/>
        <w:bottom w:val="none" w:sz="0" w:space="0" w:color="auto"/>
        <w:right w:val="none" w:sz="0" w:space="0" w:color="auto"/>
      </w:divBdr>
    </w:div>
    <w:div w:id="855655142">
      <w:bodyDiv w:val="1"/>
      <w:marLeft w:val="0"/>
      <w:marRight w:val="0"/>
      <w:marTop w:val="0"/>
      <w:marBottom w:val="0"/>
      <w:divBdr>
        <w:top w:val="none" w:sz="0" w:space="0" w:color="auto"/>
        <w:left w:val="none" w:sz="0" w:space="0" w:color="auto"/>
        <w:bottom w:val="none" w:sz="0" w:space="0" w:color="auto"/>
        <w:right w:val="none" w:sz="0" w:space="0" w:color="auto"/>
      </w:divBdr>
    </w:div>
    <w:div w:id="879048035">
      <w:bodyDiv w:val="1"/>
      <w:marLeft w:val="0"/>
      <w:marRight w:val="0"/>
      <w:marTop w:val="0"/>
      <w:marBottom w:val="0"/>
      <w:divBdr>
        <w:top w:val="none" w:sz="0" w:space="0" w:color="auto"/>
        <w:left w:val="none" w:sz="0" w:space="0" w:color="auto"/>
        <w:bottom w:val="none" w:sz="0" w:space="0" w:color="auto"/>
        <w:right w:val="none" w:sz="0" w:space="0" w:color="auto"/>
      </w:divBdr>
      <w:divsChild>
        <w:div w:id="123893493">
          <w:marLeft w:val="0"/>
          <w:marRight w:val="0"/>
          <w:marTop w:val="0"/>
          <w:marBottom w:val="0"/>
          <w:divBdr>
            <w:top w:val="none" w:sz="0" w:space="0" w:color="auto"/>
            <w:left w:val="none" w:sz="0" w:space="0" w:color="auto"/>
            <w:bottom w:val="none" w:sz="0" w:space="0" w:color="auto"/>
            <w:right w:val="none" w:sz="0" w:space="0" w:color="auto"/>
          </w:divBdr>
        </w:div>
        <w:div w:id="376469856">
          <w:marLeft w:val="0"/>
          <w:marRight w:val="0"/>
          <w:marTop w:val="0"/>
          <w:marBottom w:val="0"/>
          <w:divBdr>
            <w:top w:val="none" w:sz="0" w:space="0" w:color="auto"/>
            <w:left w:val="none" w:sz="0" w:space="0" w:color="auto"/>
            <w:bottom w:val="none" w:sz="0" w:space="0" w:color="auto"/>
            <w:right w:val="none" w:sz="0" w:space="0" w:color="auto"/>
          </w:divBdr>
        </w:div>
        <w:div w:id="445581749">
          <w:marLeft w:val="0"/>
          <w:marRight w:val="0"/>
          <w:marTop w:val="0"/>
          <w:marBottom w:val="0"/>
          <w:divBdr>
            <w:top w:val="none" w:sz="0" w:space="0" w:color="auto"/>
            <w:left w:val="none" w:sz="0" w:space="0" w:color="auto"/>
            <w:bottom w:val="none" w:sz="0" w:space="0" w:color="auto"/>
            <w:right w:val="none" w:sz="0" w:space="0" w:color="auto"/>
          </w:divBdr>
        </w:div>
        <w:div w:id="896018421">
          <w:marLeft w:val="0"/>
          <w:marRight w:val="0"/>
          <w:marTop w:val="0"/>
          <w:marBottom w:val="0"/>
          <w:divBdr>
            <w:top w:val="none" w:sz="0" w:space="0" w:color="auto"/>
            <w:left w:val="none" w:sz="0" w:space="0" w:color="auto"/>
            <w:bottom w:val="none" w:sz="0" w:space="0" w:color="auto"/>
            <w:right w:val="none" w:sz="0" w:space="0" w:color="auto"/>
          </w:divBdr>
        </w:div>
        <w:div w:id="1365517076">
          <w:marLeft w:val="0"/>
          <w:marRight w:val="0"/>
          <w:marTop w:val="0"/>
          <w:marBottom w:val="0"/>
          <w:divBdr>
            <w:top w:val="none" w:sz="0" w:space="0" w:color="auto"/>
            <w:left w:val="none" w:sz="0" w:space="0" w:color="auto"/>
            <w:bottom w:val="none" w:sz="0" w:space="0" w:color="auto"/>
            <w:right w:val="none" w:sz="0" w:space="0" w:color="auto"/>
          </w:divBdr>
        </w:div>
        <w:div w:id="1367872727">
          <w:marLeft w:val="0"/>
          <w:marRight w:val="0"/>
          <w:marTop w:val="0"/>
          <w:marBottom w:val="0"/>
          <w:divBdr>
            <w:top w:val="none" w:sz="0" w:space="0" w:color="auto"/>
            <w:left w:val="none" w:sz="0" w:space="0" w:color="auto"/>
            <w:bottom w:val="none" w:sz="0" w:space="0" w:color="auto"/>
            <w:right w:val="none" w:sz="0" w:space="0" w:color="auto"/>
          </w:divBdr>
        </w:div>
        <w:div w:id="1627851510">
          <w:marLeft w:val="0"/>
          <w:marRight w:val="0"/>
          <w:marTop w:val="0"/>
          <w:marBottom w:val="0"/>
          <w:divBdr>
            <w:top w:val="none" w:sz="0" w:space="0" w:color="auto"/>
            <w:left w:val="none" w:sz="0" w:space="0" w:color="auto"/>
            <w:bottom w:val="none" w:sz="0" w:space="0" w:color="auto"/>
            <w:right w:val="none" w:sz="0" w:space="0" w:color="auto"/>
          </w:divBdr>
        </w:div>
        <w:div w:id="1817722763">
          <w:marLeft w:val="0"/>
          <w:marRight w:val="0"/>
          <w:marTop w:val="0"/>
          <w:marBottom w:val="0"/>
          <w:divBdr>
            <w:top w:val="none" w:sz="0" w:space="0" w:color="auto"/>
            <w:left w:val="none" w:sz="0" w:space="0" w:color="auto"/>
            <w:bottom w:val="none" w:sz="0" w:space="0" w:color="auto"/>
            <w:right w:val="none" w:sz="0" w:space="0" w:color="auto"/>
          </w:divBdr>
        </w:div>
        <w:div w:id="1965309518">
          <w:marLeft w:val="0"/>
          <w:marRight w:val="0"/>
          <w:marTop w:val="0"/>
          <w:marBottom w:val="0"/>
          <w:divBdr>
            <w:top w:val="none" w:sz="0" w:space="0" w:color="auto"/>
            <w:left w:val="none" w:sz="0" w:space="0" w:color="auto"/>
            <w:bottom w:val="none" w:sz="0" w:space="0" w:color="auto"/>
            <w:right w:val="none" w:sz="0" w:space="0" w:color="auto"/>
          </w:divBdr>
        </w:div>
        <w:div w:id="2013406868">
          <w:marLeft w:val="0"/>
          <w:marRight w:val="0"/>
          <w:marTop w:val="0"/>
          <w:marBottom w:val="0"/>
          <w:divBdr>
            <w:top w:val="none" w:sz="0" w:space="0" w:color="auto"/>
            <w:left w:val="none" w:sz="0" w:space="0" w:color="auto"/>
            <w:bottom w:val="none" w:sz="0" w:space="0" w:color="auto"/>
            <w:right w:val="none" w:sz="0" w:space="0" w:color="auto"/>
          </w:divBdr>
        </w:div>
      </w:divsChild>
    </w:div>
    <w:div w:id="1131677841">
      <w:bodyDiv w:val="1"/>
      <w:marLeft w:val="0"/>
      <w:marRight w:val="0"/>
      <w:marTop w:val="0"/>
      <w:marBottom w:val="0"/>
      <w:divBdr>
        <w:top w:val="none" w:sz="0" w:space="0" w:color="auto"/>
        <w:left w:val="none" w:sz="0" w:space="0" w:color="auto"/>
        <w:bottom w:val="none" w:sz="0" w:space="0" w:color="auto"/>
        <w:right w:val="none" w:sz="0" w:space="0" w:color="auto"/>
      </w:divBdr>
    </w:div>
    <w:div w:id="1208908610">
      <w:bodyDiv w:val="1"/>
      <w:marLeft w:val="0"/>
      <w:marRight w:val="0"/>
      <w:marTop w:val="0"/>
      <w:marBottom w:val="0"/>
      <w:divBdr>
        <w:top w:val="none" w:sz="0" w:space="0" w:color="auto"/>
        <w:left w:val="none" w:sz="0" w:space="0" w:color="auto"/>
        <w:bottom w:val="none" w:sz="0" w:space="0" w:color="auto"/>
        <w:right w:val="none" w:sz="0" w:space="0" w:color="auto"/>
      </w:divBdr>
      <w:divsChild>
        <w:div w:id="1831367390">
          <w:marLeft w:val="0"/>
          <w:marRight w:val="0"/>
          <w:marTop w:val="0"/>
          <w:marBottom w:val="0"/>
          <w:divBdr>
            <w:top w:val="none" w:sz="0" w:space="0" w:color="auto"/>
            <w:left w:val="none" w:sz="0" w:space="0" w:color="auto"/>
            <w:bottom w:val="none" w:sz="0" w:space="0" w:color="auto"/>
            <w:right w:val="none" w:sz="0" w:space="0" w:color="auto"/>
          </w:divBdr>
        </w:div>
        <w:div w:id="2056464857">
          <w:marLeft w:val="0"/>
          <w:marRight w:val="0"/>
          <w:marTop w:val="0"/>
          <w:marBottom w:val="0"/>
          <w:divBdr>
            <w:top w:val="none" w:sz="0" w:space="0" w:color="auto"/>
            <w:left w:val="none" w:sz="0" w:space="0" w:color="auto"/>
            <w:bottom w:val="none" w:sz="0" w:space="0" w:color="auto"/>
            <w:right w:val="none" w:sz="0" w:space="0" w:color="auto"/>
          </w:divBdr>
        </w:div>
      </w:divsChild>
    </w:div>
    <w:div w:id="1238856766">
      <w:bodyDiv w:val="1"/>
      <w:marLeft w:val="0"/>
      <w:marRight w:val="0"/>
      <w:marTop w:val="0"/>
      <w:marBottom w:val="0"/>
      <w:divBdr>
        <w:top w:val="none" w:sz="0" w:space="0" w:color="auto"/>
        <w:left w:val="none" w:sz="0" w:space="0" w:color="auto"/>
        <w:bottom w:val="none" w:sz="0" w:space="0" w:color="auto"/>
        <w:right w:val="none" w:sz="0" w:space="0" w:color="auto"/>
      </w:divBdr>
    </w:div>
    <w:div w:id="1438060327">
      <w:bodyDiv w:val="1"/>
      <w:marLeft w:val="0"/>
      <w:marRight w:val="0"/>
      <w:marTop w:val="0"/>
      <w:marBottom w:val="0"/>
      <w:divBdr>
        <w:top w:val="none" w:sz="0" w:space="0" w:color="auto"/>
        <w:left w:val="none" w:sz="0" w:space="0" w:color="auto"/>
        <w:bottom w:val="none" w:sz="0" w:space="0" w:color="auto"/>
        <w:right w:val="none" w:sz="0" w:space="0" w:color="auto"/>
      </w:divBdr>
    </w:div>
    <w:div w:id="1438600255">
      <w:bodyDiv w:val="1"/>
      <w:marLeft w:val="0"/>
      <w:marRight w:val="0"/>
      <w:marTop w:val="0"/>
      <w:marBottom w:val="0"/>
      <w:divBdr>
        <w:top w:val="none" w:sz="0" w:space="0" w:color="auto"/>
        <w:left w:val="none" w:sz="0" w:space="0" w:color="auto"/>
        <w:bottom w:val="none" w:sz="0" w:space="0" w:color="auto"/>
        <w:right w:val="none" w:sz="0" w:space="0" w:color="auto"/>
      </w:divBdr>
    </w:div>
    <w:div w:id="1463235676">
      <w:bodyDiv w:val="1"/>
      <w:marLeft w:val="0"/>
      <w:marRight w:val="0"/>
      <w:marTop w:val="0"/>
      <w:marBottom w:val="0"/>
      <w:divBdr>
        <w:top w:val="none" w:sz="0" w:space="0" w:color="auto"/>
        <w:left w:val="none" w:sz="0" w:space="0" w:color="auto"/>
        <w:bottom w:val="none" w:sz="0" w:space="0" w:color="auto"/>
        <w:right w:val="none" w:sz="0" w:space="0" w:color="auto"/>
      </w:divBdr>
    </w:div>
    <w:div w:id="1473985928">
      <w:bodyDiv w:val="1"/>
      <w:marLeft w:val="0"/>
      <w:marRight w:val="0"/>
      <w:marTop w:val="0"/>
      <w:marBottom w:val="0"/>
      <w:divBdr>
        <w:top w:val="none" w:sz="0" w:space="0" w:color="auto"/>
        <w:left w:val="none" w:sz="0" w:space="0" w:color="auto"/>
        <w:bottom w:val="none" w:sz="0" w:space="0" w:color="auto"/>
        <w:right w:val="none" w:sz="0" w:space="0" w:color="auto"/>
      </w:divBdr>
      <w:divsChild>
        <w:div w:id="1616643844">
          <w:marLeft w:val="0"/>
          <w:marRight w:val="0"/>
          <w:marTop w:val="0"/>
          <w:marBottom w:val="0"/>
          <w:divBdr>
            <w:top w:val="none" w:sz="0" w:space="0" w:color="auto"/>
            <w:left w:val="none" w:sz="0" w:space="0" w:color="auto"/>
            <w:bottom w:val="none" w:sz="0" w:space="0" w:color="auto"/>
            <w:right w:val="none" w:sz="0" w:space="0" w:color="auto"/>
          </w:divBdr>
        </w:div>
      </w:divsChild>
    </w:div>
    <w:div w:id="1575623128">
      <w:bodyDiv w:val="1"/>
      <w:marLeft w:val="0"/>
      <w:marRight w:val="0"/>
      <w:marTop w:val="0"/>
      <w:marBottom w:val="0"/>
      <w:divBdr>
        <w:top w:val="none" w:sz="0" w:space="0" w:color="auto"/>
        <w:left w:val="none" w:sz="0" w:space="0" w:color="auto"/>
        <w:bottom w:val="none" w:sz="0" w:space="0" w:color="auto"/>
        <w:right w:val="none" w:sz="0" w:space="0" w:color="auto"/>
      </w:divBdr>
    </w:div>
    <w:div w:id="1648776520">
      <w:bodyDiv w:val="1"/>
      <w:marLeft w:val="0"/>
      <w:marRight w:val="0"/>
      <w:marTop w:val="0"/>
      <w:marBottom w:val="0"/>
      <w:divBdr>
        <w:top w:val="none" w:sz="0" w:space="0" w:color="auto"/>
        <w:left w:val="none" w:sz="0" w:space="0" w:color="auto"/>
        <w:bottom w:val="none" w:sz="0" w:space="0" w:color="auto"/>
        <w:right w:val="none" w:sz="0" w:space="0" w:color="auto"/>
      </w:divBdr>
    </w:div>
    <w:div w:id="1772238574">
      <w:bodyDiv w:val="1"/>
      <w:marLeft w:val="0"/>
      <w:marRight w:val="0"/>
      <w:marTop w:val="0"/>
      <w:marBottom w:val="0"/>
      <w:divBdr>
        <w:top w:val="none" w:sz="0" w:space="0" w:color="auto"/>
        <w:left w:val="none" w:sz="0" w:space="0" w:color="auto"/>
        <w:bottom w:val="none" w:sz="0" w:space="0" w:color="auto"/>
        <w:right w:val="none" w:sz="0" w:space="0" w:color="auto"/>
      </w:divBdr>
    </w:div>
    <w:div w:id="1888641735">
      <w:bodyDiv w:val="1"/>
      <w:marLeft w:val="0"/>
      <w:marRight w:val="0"/>
      <w:marTop w:val="0"/>
      <w:marBottom w:val="0"/>
      <w:divBdr>
        <w:top w:val="none" w:sz="0" w:space="0" w:color="auto"/>
        <w:left w:val="none" w:sz="0" w:space="0" w:color="auto"/>
        <w:bottom w:val="none" w:sz="0" w:space="0" w:color="auto"/>
        <w:right w:val="none" w:sz="0" w:space="0" w:color="auto"/>
      </w:divBdr>
    </w:div>
    <w:div w:id="1971667923">
      <w:bodyDiv w:val="1"/>
      <w:marLeft w:val="0"/>
      <w:marRight w:val="0"/>
      <w:marTop w:val="0"/>
      <w:marBottom w:val="0"/>
      <w:divBdr>
        <w:top w:val="none" w:sz="0" w:space="0" w:color="auto"/>
        <w:left w:val="none" w:sz="0" w:space="0" w:color="auto"/>
        <w:bottom w:val="none" w:sz="0" w:space="0" w:color="auto"/>
        <w:right w:val="none" w:sz="0" w:space="0" w:color="auto"/>
      </w:divBdr>
    </w:div>
    <w:div w:id="2045322674">
      <w:bodyDiv w:val="1"/>
      <w:marLeft w:val="0"/>
      <w:marRight w:val="0"/>
      <w:marTop w:val="0"/>
      <w:marBottom w:val="0"/>
      <w:divBdr>
        <w:top w:val="none" w:sz="0" w:space="0" w:color="auto"/>
        <w:left w:val="none" w:sz="0" w:space="0" w:color="auto"/>
        <w:bottom w:val="none" w:sz="0" w:space="0" w:color="auto"/>
        <w:right w:val="none" w:sz="0" w:space="0" w:color="auto"/>
      </w:divBdr>
    </w:div>
    <w:div w:id="20877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dencesupport@rcseng.ac.uk" TargetMode="External"/><Relationship Id="rId13" Type="http://schemas.openxmlformats.org/officeDocument/2006/relationships/hyperlink" Target="mailto:evidencesupport@rcseng.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videncesupport@rcseng.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filters.cadth.ca/link/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videncesupport@rcseng.ac.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121DD-365B-447F-9867-48FD419C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17052</Words>
  <Characters>98908</Characters>
  <Application>Microsoft Office Word</Application>
  <DocSecurity>0</DocSecurity>
  <Lines>3296</Lines>
  <Paragraphs>1680</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114280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Sinclair</dc:creator>
  <cp:keywords/>
  <dc:description/>
  <cp:lastModifiedBy>ELSAID, Nada (LONDON NORTH WEST UNIVERSITY HEALTHCARE NHS TRUST)</cp:lastModifiedBy>
  <cp:revision>2</cp:revision>
  <cp:lastPrinted>2022-01-14T09:32:00Z</cp:lastPrinted>
  <dcterms:created xsi:type="dcterms:W3CDTF">2024-10-08T20:24:00Z</dcterms:created>
  <dcterms:modified xsi:type="dcterms:W3CDTF">2024-10-08T20:24:00Z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5858e0264aa00c13feb64229e7a54ef112a119ac0aaa7d3c8c27d87b08df8edc</vt:lpwstr>
  </property>
</Properties>
</file>