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58D3" w14:textId="77777777" w:rsidR="002E4D07" w:rsidRDefault="002E4D07">
      <w:pPr>
        <w:rPr>
          <w:b/>
          <w:bCs/>
        </w:rPr>
      </w:pPr>
    </w:p>
    <w:p w14:paraId="78EC8ED6" w14:textId="0C1DD64C" w:rsidR="002E4D07" w:rsidRDefault="002729A0">
      <w:r w:rsidRPr="0089423E">
        <w:t xml:space="preserve">Appendix </w:t>
      </w:r>
      <w:r w:rsidR="0089423E" w:rsidRPr="0089423E">
        <w:t xml:space="preserve">A: </w:t>
      </w:r>
      <w:r w:rsidR="0089423E">
        <w:t>Objectives and questions assigned to eleven committees as part of the g</w:t>
      </w:r>
      <w:r w:rsidRPr="0089423E">
        <w:t>lobal consensus conference on</w:t>
      </w:r>
      <w:r w:rsidRPr="0089423E">
        <w:rPr>
          <w:color w:val="FF0000"/>
        </w:rPr>
        <w:t xml:space="preserve"> </w:t>
      </w:r>
      <w:r w:rsidRPr="0089423E">
        <w:rPr>
          <w:color w:val="000000" w:themeColor="text1"/>
        </w:rPr>
        <w:t>controversies</w:t>
      </w:r>
      <w:r w:rsidRPr="0089423E">
        <w:t xml:space="preserve"> in surgical management of primary uterovaginal prolapse</w:t>
      </w:r>
      <w:r w:rsidR="0089423E">
        <w:t xml:space="preserve"> (U-POP)</w:t>
      </w:r>
      <w:r w:rsidRPr="0089423E">
        <w:t>: Combining evidence with expert opinion</w:t>
      </w:r>
    </w:p>
    <w:p w14:paraId="0526F6E4" w14:textId="77777777" w:rsidR="0089423E" w:rsidRPr="0089423E" w:rsidRDefault="0089423E"/>
    <w:p w14:paraId="24CD6E2C" w14:textId="6FB2EB4C" w:rsidR="002E4D07" w:rsidRDefault="00000000">
      <w:pPr>
        <w:spacing w:line="278" w:lineRule="auto"/>
        <w:rPr>
          <w:b/>
          <w:bCs/>
        </w:rPr>
      </w:pPr>
      <w:r>
        <w:rPr>
          <w:b/>
          <w:bCs/>
        </w:rPr>
        <w:t>CONTROVERSIES to be addressed include:</w:t>
      </w:r>
    </w:p>
    <w:p w14:paraId="78085085" w14:textId="77777777" w:rsidR="002E4D07" w:rsidRDefault="00000000">
      <w:pPr>
        <w:ind w:left="720" w:hanging="360"/>
      </w:pPr>
      <w:bookmarkStart w:id="0" w:name="_heading=h.j3rjwkmx7yq9" w:colFirst="0" w:colLast="0"/>
      <w:bookmarkEnd w:id="0"/>
      <w:r>
        <w:t>1.    Definition of “success” of POP repair: Migration away from anatomic/bulge outcomes to holistic assessment of global impression of improvement that accounts also for complications and pain</w:t>
      </w:r>
    </w:p>
    <w:p w14:paraId="7205E38B" w14:textId="77777777" w:rsidR="002E4D07" w:rsidRDefault="00000000">
      <w:pPr>
        <w:ind w:left="720" w:hanging="360"/>
      </w:pPr>
      <w:r>
        <w:t>2.</w:t>
      </w:r>
      <w:r>
        <w:tab/>
        <w:t>LUTD and POP: Determine optimal pre-operative assessment and impact of primary POP repair on LUTD</w:t>
      </w:r>
    </w:p>
    <w:p w14:paraId="66F7349E" w14:textId="77777777" w:rsidR="002E4D07" w:rsidRDefault="00000000">
      <w:pPr>
        <w:ind w:left="720" w:hanging="360"/>
      </w:pPr>
      <w:r>
        <w:t>3.</w:t>
      </w:r>
      <w:r>
        <w:tab/>
        <w:t>Stress Incontinence &amp; uterovaginal POP: Define optimal concomitant management</w:t>
      </w:r>
    </w:p>
    <w:p w14:paraId="34AA8B9C" w14:textId="77777777" w:rsidR="002E4D07" w:rsidRDefault="00000000">
      <w:pPr>
        <w:ind w:left="720" w:hanging="360"/>
      </w:pPr>
      <w:r>
        <w:t>4.</w:t>
      </w:r>
      <w:r>
        <w:tab/>
        <w:t>Pain (pelvic/dyspareunia): Pre-operative assessment and define when hysterectomy indicated for pain</w:t>
      </w:r>
    </w:p>
    <w:p w14:paraId="0DBA9CF7" w14:textId="77777777" w:rsidR="002E4D07" w:rsidRDefault="00000000">
      <w:pPr>
        <w:ind w:left="720" w:hanging="360"/>
      </w:pPr>
      <w:r>
        <w:t>5.</w:t>
      </w:r>
      <w:r>
        <w:tab/>
        <w:t xml:space="preserve">Contributing factors to Failure: Host/Surgeon/Product </w:t>
      </w:r>
    </w:p>
    <w:p w14:paraId="4B247989" w14:textId="77777777" w:rsidR="002E4D07" w:rsidRDefault="00000000">
      <w:pPr>
        <w:ind w:left="720" w:hanging="360"/>
      </w:pPr>
      <w:r>
        <w:t>6.</w:t>
      </w:r>
      <w:r>
        <w:tab/>
        <w:t>Adjustments for environmental factors: LMIC/Limitations by Government for products/Access &amp; training for MIS)</w:t>
      </w:r>
    </w:p>
    <w:p w14:paraId="51575363" w14:textId="77777777" w:rsidR="002E4D07" w:rsidRDefault="00000000">
      <w:pPr>
        <w:ind w:left="720" w:hanging="360"/>
      </w:pPr>
      <w:r>
        <w:t>7.</w:t>
      </w:r>
      <w:r>
        <w:tab/>
        <w:t>Advancements in Tissue and Material based science</w:t>
      </w:r>
    </w:p>
    <w:p w14:paraId="1E26D5E8" w14:textId="77777777" w:rsidR="002E4D07" w:rsidRDefault="00000000">
      <w:pPr>
        <w:ind w:left="720" w:hanging="360"/>
      </w:pPr>
      <w:r>
        <w:t>8.    Best practice for Technical aspects of Surgery (Approach: Vaginal, Laparoscopic, Robotic)</w:t>
      </w:r>
    </w:p>
    <w:p w14:paraId="52E8F00F" w14:textId="77777777" w:rsidR="002E4D07" w:rsidRDefault="00000000">
      <w:pPr>
        <w:ind w:left="720" w:hanging="360"/>
      </w:pPr>
      <w:r>
        <w:t>9.    Standardizing critical data points that should be collected and reported for surgical trials.</w:t>
      </w:r>
    </w:p>
    <w:p w14:paraId="4D4E53ED" w14:textId="77777777" w:rsidR="002E4D07" w:rsidRDefault="00000000">
      <w:pPr>
        <w:ind w:left="720" w:hanging="360"/>
      </w:pPr>
      <w:r>
        <w:t>10. Identifying major unanswered clinical questions and establish an international research agenda.</w:t>
      </w:r>
      <w:r>
        <w:tab/>
      </w:r>
    </w:p>
    <w:p w14:paraId="50F69B31" w14:textId="77777777" w:rsidR="002E4D07" w:rsidRDefault="00000000">
      <w:pPr>
        <w:rPr>
          <w:b/>
          <w:bCs/>
        </w:rPr>
      </w:pPr>
      <w:r>
        <w:rPr>
          <w:b/>
          <w:bCs/>
        </w:rPr>
        <w:t>Separate Committees will address the following specific items:</w:t>
      </w:r>
    </w:p>
    <w:p w14:paraId="7BABF18E" w14:textId="246181BE" w:rsidR="002E4D07" w:rsidRPr="0089423E" w:rsidRDefault="00000000" w:rsidP="008942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b/>
          <w:bCs/>
          <w:color w:val="000000"/>
        </w:rPr>
      </w:pPr>
      <w:r>
        <w:rPr>
          <w:b/>
          <w:bCs/>
          <w:color w:val="000000"/>
        </w:rPr>
        <w:t>Indications for surgery: Assessment of Patient Factors</w:t>
      </w:r>
    </w:p>
    <w:p w14:paraId="0E5EC342" w14:textId="77777777" w:rsidR="002E4D07" w:rsidRPr="0089423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 w:rsidRPr="0089423E">
        <w:rPr>
          <w:color w:val="000000"/>
          <w:sz w:val="24"/>
          <w:szCs w:val="24"/>
        </w:rPr>
        <w:t xml:space="preserve">Overarching clinical questions: </w:t>
      </w:r>
    </w:p>
    <w:p w14:paraId="64757964" w14:textId="77777777" w:rsidR="002E4D07" w:rsidRPr="0089423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9423E">
        <w:rPr>
          <w:color w:val="000000"/>
          <w:sz w:val="24"/>
          <w:szCs w:val="24"/>
        </w:rPr>
        <w:t>What risk factors are associated with failure of surgical intervention for primary uterovaginal POP and based on this, can one identify a “high risk phenotype”</w:t>
      </w:r>
    </w:p>
    <w:p w14:paraId="09BED6EF" w14:textId="77777777" w:rsidR="002E4D07" w:rsidRPr="0089423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9423E">
        <w:rPr>
          <w:color w:val="000000"/>
          <w:sz w:val="24"/>
          <w:szCs w:val="24"/>
        </w:rPr>
        <w:t>Which risk factors confer increased risk for future pathology of cervix and uterus that suggests need for hysterectomy for primary intervention</w:t>
      </w:r>
    </w:p>
    <w:p w14:paraId="79484DFC" w14:textId="77777777" w:rsidR="002E4D07" w:rsidRPr="0089423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9423E">
        <w:rPr>
          <w:color w:val="000000"/>
          <w:sz w:val="24"/>
          <w:szCs w:val="24"/>
        </w:rPr>
        <w:t>Which risk factors confer increased risk for surgical complications, and based on this, can one ident</w:t>
      </w:r>
      <w:r w:rsidRPr="0089423E">
        <w:rPr>
          <w:color w:val="000000"/>
        </w:rPr>
        <w:t>ify a “high risk phenotype” for transvaginal vs intra-abdominal complications.</w:t>
      </w:r>
    </w:p>
    <w:p w14:paraId="65E4C178" w14:textId="77777777" w:rsidR="002E4D07" w:rsidRDefault="00000000">
      <w:pPr>
        <w:ind w:left="720"/>
        <w:rPr>
          <w:b/>
          <w:bCs/>
        </w:rPr>
      </w:pPr>
      <w:r>
        <w:rPr>
          <w:b/>
          <w:bCs/>
        </w:rPr>
        <w:t>Committee is tasked with:</w:t>
      </w:r>
    </w:p>
    <w:p w14:paraId="13DEFB47" w14:textId="77777777" w:rsidR="002E4D07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Development of decision algorithm for PREFERRED uterovaginal prolapse strategy based on the following patient variables:</w:t>
      </w:r>
    </w:p>
    <w:p w14:paraId="6C5A8EBC" w14:textId="77777777" w:rsidR="002E4D07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Sexual function status (colpocleisis better than reconstructive)</w:t>
      </w:r>
    </w:p>
    <w:p w14:paraId="6922A81F" w14:textId="77777777" w:rsidR="002E4D07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Risk factors for current or future cervical or uterine pathology (hysterectomy better than hysteropexy)</w:t>
      </w:r>
    </w:p>
    <w:p w14:paraId="7198A7C4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Abnormal uterine bleeding</w:t>
      </w:r>
    </w:p>
    <w:p w14:paraId="086909BC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Abnormal cervical cytology</w:t>
      </w:r>
    </w:p>
    <w:p w14:paraId="40A72A9E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Age</w:t>
      </w:r>
    </w:p>
    <w:p w14:paraId="681AC783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BMI</w:t>
      </w:r>
    </w:p>
    <w:p w14:paraId="6664DDCE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Pelvic pain?</w:t>
      </w:r>
    </w:p>
    <w:p w14:paraId="469E1348" w14:textId="77777777" w:rsidR="002E4D07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Established risk factors for surgical failure (?mesh augmentation better than native tissue?)</w:t>
      </w:r>
    </w:p>
    <w:p w14:paraId="39569D21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BMI</w:t>
      </w:r>
    </w:p>
    <w:p w14:paraId="4AD6CB03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Age at delivery and age at POP presentation (Swenson C)</w:t>
      </w:r>
    </w:p>
    <w:p w14:paraId="2D370BA1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Genital hiatus size (DeLancey)</w:t>
      </w:r>
    </w:p>
    <w:p w14:paraId="33C5FBA7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Stage of POP</w:t>
      </w:r>
    </w:p>
    <w:p w14:paraId="4D53F92E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? Phenotype of POP</w:t>
      </w:r>
    </w:p>
    <w:p w14:paraId="298B2670" w14:textId="77777777" w:rsidR="002E4D07" w:rsidRDefault="0000000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Pre-operative risk factors for major surgical complication (extraperitoneal vs intraperitoneal treatment choice)</w:t>
      </w:r>
    </w:p>
    <w:p w14:paraId="5A4E7086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Age</w:t>
      </w:r>
    </w:p>
    <w:p w14:paraId="0E3FBCB8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BMI</w:t>
      </w:r>
    </w:p>
    <w:p w14:paraId="3E3791DF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ASA category?</w:t>
      </w:r>
    </w:p>
    <w:p w14:paraId="74E3E63C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Hostile abdomen</w:t>
      </w:r>
    </w:p>
    <w:p w14:paraId="66047DE9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Defined risk factors for vascular injury for SCP </w:t>
      </w:r>
    </w:p>
    <w:p w14:paraId="555F460F" w14:textId="77777777" w:rsidR="002E4D07" w:rsidRDefault="00000000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Special circumstances: Anticoagulation therapy/refusal of blood products</w:t>
      </w:r>
    </w:p>
    <w:p w14:paraId="7CC8D060" w14:textId="1AD1C415" w:rsidR="002E4D07" w:rsidRDefault="00000000" w:rsidP="0089423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Concomitant rectal prolapse</w:t>
      </w:r>
    </w:p>
    <w:p w14:paraId="37CFEC0A" w14:textId="3EC602AA" w:rsidR="002E4D07" w:rsidRDefault="00000000" w:rsidP="0089423E">
      <w:pPr>
        <w:spacing w:before="240" w:after="240"/>
        <w:rPr>
          <w:b/>
          <w:bCs/>
          <w:color w:val="000000"/>
        </w:rPr>
      </w:pPr>
      <w:r>
        <w:rPr>
          <w:b/>
          <w:bCs/>
        </w:rPr>
        <w:t>II.</w:t>
      </w:r>
      <w:r>
        <w:t xml:space="preserve"> </w:t>
      </w:r>
      <w:r>
        <w:rPr>
          <w:b/>
          <w:bCs/>
        </w:rPr>
        <w:t>Concomitant MANAGEMENT of primary U-POP and LUTD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(PRE-SURGERY EVALUATION</w:t>
      </w:r>
      <w:r>
        <w:rPr>
          <w:b/>
          <w:bCs/>
        </w:rPr>
        <w:t xml:space="preserve"> is covered by Committee III)</w:t>
      </w:r>
    </w:p>
    <w:p w14:paraId="3E9F171F" w14:textId="77777777" w:rsidR="002E4D07" w:rsidRPr="0089423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89423E">
        <w:rPr>
          <w:color w:val="000000"/>
        </w:rPr>
        <w:t>Overarching clinical questions:</w:t>
      </w:r>
    </w:p>
    <w:p w14:paraId="7846D1C8" w14:textId="77777777" w:rsidR="002E4D07" w:rsidRPr="008942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89423E">
        <w:rPr>
          <w:color w:val="000000"/>
        </w:rPr>
        <w:t>What is the impact of different surgeries (see list in Committee IV) for uterovaginal prolapse ALONE on LUT</w:t>
      </w:r>
      <w:r w:rsidRPr="0089423E">
        <w:t>D (UUI, SUI, AND URINARY RETENTION)</w:t>
      </w:r>
      <w:r w:rsidRPr="0089423E">
        <w:rPr>
          <w:color w:val="000000"/>
        </w:rPr>
        <w:t xml:space="preserve"> </w:t>
      </w:r>
      <w:r w:rsidRPr="0089423E">
        <w:t xml:space="preserve">( NO </w:t>
      </w:r>
      <w:r w:rsidRPr="0089423E">
        <w:rPr>
          <w:color w:val="000000"/>
        </w:rPr>
        <w:t>concomitant sling)?</w:t>
      </w:r>
    </w:p>
    <w:p w14:paraId="4FEAD779" w14:textId="77777777" w:rsidR="002E4D07" w:rsidRPr="008942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89423E">
        <w:rPr>
          <w:color w:val="000000"/>
        </w:rPr>
        <w:t>What is the impact of different surgeries for uterovaginal prolapse PLUS incontinence procedure on LUTD?</w:t>
      </w:r>
    </w:p>
    <w:p w14:paraId="7F59137F" w14:textId="77777777" w:rsidR="002E4D07" w:rsidRPr="008942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89423E">
        <w:rPr>
          <w:color w:val="000000"/>
        </w:rPr>
        <w:t>How should occult SUI be managed at time of U-POP repair?</w:t>
      </w:r>
    </w:p>
    <w:p w14:paraId="174DE779" w14:textId="77777777" w:rsidR="002E4D07" w:rsidRPr="008942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89423E">
        <w:t>How should symptomatic SUI be managed at time of U-POP repair?</w:t>
      </w:r>
    </w:p>
    <w:p w14:paraId="22B5DBDC" w14:textId="77777777" w:rsidR="002E4D07" w:rsidRPr="0089423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89423E">
        <w:t>Does the TYPE of incontinence procedure at time of primary U-POP repair impact outcomes</w:t>
      </w:r>
    </w:p>
    <w:p w14:paraId="35C044AA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</w:p>
    <w:p w14:paraId="2C16FB03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  <w:r>
        <w:rPr>
          <w:b/>
          <w:bCs/>
          <w:color w:val="000000"/>
        </w:rPr>
        <w:t>Committee is tasked with:</w:t>
      </w:r>
    </w:p>
    <w:p w14:paraId="08A85FFC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</w:p>
    <w:p w14:paraId="3E76FB5F" w14:textId="77777777" w:rsidR="002E4D0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>Defining and comparing the impact of different surgeries for primary uterovaginal POP on LUTD (ie is one MORE LIKELY to help/hurt UI sx than another)</w:t>
      </w:r>
    </w:p>
    <w:p w14:paraId="75964785" w14:textId="77777777" w:rsidR="002E4D0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Development of best practice guidelines for the concomitant management of occult and symptomatic SUI</w:t>
      </w:r>
      <w:r>
        <w:t>,</w:t>
      </w:r>
      <w:r>
        <w:rPr>
          <w:color w:val="000000"/>
        </w:rPr>
        <w:t xml:space="preserve"> UUI, and urinary retention </w:t>
      </w:r>
      <w:r>
        <w:t>in women undergoing different surgeries for primary uterovaginal prolapse</w:t>
      </w:r>
    </w:p>
    <w:p w14:paraId="2142BB9E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920DC1C" w14:textId="5115DAD0" w:rsidR="002E4D07" w:rsidRDefault="00000000" w:rsidP="0089423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ab/>
      </w:r>
    </w:p>
    <w:p w14:paraId="0CA8F2C5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t>III.</w:t>
      </w:r>
      <w:r>
        <w:rPr>
          <w:b/>
          <w:bCs/>
        </w:rPr>
        <w:tab/>
      </w:r>
      <w:r>
        <w:rPr>
          <w:b/>
          <w:bCs/>
          <w:color w:val="000000"/>
        </w:rPr>
        <w:t xml:space="preserve">Role of </w:t>
      </w:r>
      <w:r>
        <w:rPr>
          <w:b/>
          <w:bCs/>
        </w:rPr>
        <w:t>PREOPERATIVE</w:t>
      </w:r>
      <w:r>
        <w:rPr>
          <w:b/>
          <w:bCs/>
          <w:color w:val="000000"/>
        </w:rPr>
        <w:t xml:space="preserve"> diagnostic testing</w:t>
      </w:r>
      <w:r>
        <w:rPr>
          <w:b/>
          <w:bCs/>
        </w:rPr>
        <w:t xml:space="preserve"> for primary uterovaginal POP repair</w:t>
      </w:r>
    </w:p>
    <w:p w14:paraId="34FF7855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</w:p>
    <w:p w14:paraId="47B825BA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  <w:r>
        <w:rPr>
          <w:b/>
          <w:bCs/>
          <w:color w:val="000000"/>
        </w:rPr>
        <w:t>Overarching clinical questions:</w:t>
      </w:r>
    </w:p>
    <w:p w14:paraId="7E8C2A08" w14:textId="77777777" w:rsidR="002E4D0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What is the minimum necessary pre-operative diagnostic testing (lab</w:t>
      </w:r>
      <w:r>
        <w:t xml:space="preserve">oratory testing including CBC, kidney function, UA, urine culture, </w:t>
      </w:r>
      <w:r>
        <w:rPr>
          <w:color w:val="000000"/>
        </w:rPr>
        <w:t xml:space="preserve">pelvic ultrasound for </w:t>
      </w:r>
      <w:r>
        <w:t>uterine/ovary assessment; pelvic ultrasound for defining vaginal support defects; pelvic ultrasound for levator ani defects; PVR; uroflow; urodynamic testing</w:t>
      </w:r>
      <w:r>
        <w:rPr>
          <w:color w:val="000000"/>
        </w:rPr>
        <w:t xml:space="preserve"> for women with primary uterovaginal prolapse).</w:t>
      </w:r>
    </w:p>
    <w:p w14:paraId="62357076" w14:textId="77777777" w:rsidR="002E4D0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Does pre-operative urodynamics for primary uterovaginal POP CHANGE management or predict post-operative SUI, UUI, voiding dysfunction</w:t>
      </w:r>
    </w:p>
    <w:p w14:paraId="37284CF0" w14:textId="77777777" w:rsidR="002E4D0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Is there any pre-operative diagnostic test criteria/result (for example levator ani defect</w:t>
      </w:r>
      <w:r>
        <w:t xml:space="preserve">) </w:t>
      </w:r>
      <w:r>
        <w:rPr>
          <w:color w:val="000000"/>
        </w:rPr>
        <w:t>that has been shown to change surgical intervention or improve outcomes for primary U-POP?</w:t>
      </w:r>
    </w:p>
    <w:p w14:paraId="201C6683" w14:textId="77777777" w:rsidR="002E4D0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How should symptoms of obstructed defecation and/or rectal prolapse be investigated in women with primary uterovaginal prolapse?</w:t>
      </w:r>
    </w:p>
    <w:p w14:paraId="7C956276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</w:p>
    <w:p w14:paraId="09EF55E3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 w:hanging="360"/>
        <w:rPr>
          <w:b/>
          <w:bCs/>
          <w:color w:val="000000"/>
        </w:rPr>
      </w:pPr>
      <w:r>
        <w:rPr>
          <w:b/>
          <w:bCs/>
          <w:color w:val="000000"/>
        </w:rPr>
        <w:t>Committee is tasked with:</w:t>
      </w:r>
    </w:p>
    <w:p w14:paraId="3DBE9319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800" w:hanging="360"/>
        <w:rPr>
          <w:color w:val="000000"/>
        </w:rPr>
      </w:pPr>
    </w:p>
    <w:p w14:paraId="531DF14F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 w:hanging="360"/>
        <w:rPr>
          <w:color w:val="000000"/>
        </w:rPr>
      </w:pPr>
      <w:r>
        <w:rPr>
          <w:color w:val="000000"/>
        </w:rPr>
        <w:t>1. Development of best-practice guidelines for when the following tests are indicated in a woman with primary uterovaginal prolapse and exactly what should be reported:</w:t>
      </w:r>
    </w:p>
    <w:p w14:paraId="3EBF4BA0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800" w:hanging="360"/>
        <w:rPr>
          <w:color w:val="000000"/>
        </w:rPr>
      </w:pPr>
    </w:p>
    <w:p w14:paraId="4BC5107E" w14:textId="60609F00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</w:pPr>
      <w:r>
        <w:rPr>
          <w:color w:val="000000"/>
        </w:rPr>
        <w:t xml:space="preserve">i. Laboratory studies </w:t>
      </w:r>
    </w:p>
    <w:p w14:paraId="621683AB" w14:textId="75C0A753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color w:val="000000"/>
        </w:rPr>
      </w:pPr>
      <w:r>
        <w:t xml:space="preserve">ii. Pelvic </w:t>
      </w:r>
      <w:r>
        <w:rPr>
          <w:color w:val="000000"/>
        </w:rPr>
        <w:t xml:space="preserve">Ultrasound including Dynamic US </w:t>
      </w:r>
    </w:p>
    <w:p w14:paraId="14C6256B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</w:pPr>
      <w:r>
        <w:t xml:space="preserve">iii. Renal ultrasound </w:t>
      </w:r>
    </w:p>
    <w:p w14:paraId="10963BBC" w14:textId="7AE023AB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color w:val="000000"/>
        </w:rPr>
      </w:pPr>
      <w:r>
        <w:t>iv.</w:t>
      </w:r>
      <w:r>
        <w:rPr>
          <w:color w:val="000000"/>
        </w:rPr>
        <w:t xml:space="preserve"> Defecography (MRI or fluoro) </w:t>
      </w:r>
    </w:p>
    <w:p w14:paraId="6E7E682C" w14:textId="03C55561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color w:val="000000"/>
        </w:rPr>
      </w:pPr>
      <w:r>
        <w:t>v</w:t>
      </w:r>
      <w:r>
        <w:rPr>
          <w:color w:val="000000"/>
        </w:rPr>
        <w:t xml:space="preserve">. Complex urodynamics </w:t>
      </w:r>
    </w:p>
    <w:p w14:paraId="026F47C4" w14:textId="44692043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color w:val="000000"/>
        </w:rPr>
      </w:pPr>
      <w:r>
        <w:t>vi</w:t>
      </w:r>
      <w:r>
        <w:rPr>
          <w:color w:val="000000"/>
        </w:rPr>
        <w:t xml:space="preserve">. Cystoscopy </w:t>
      </w:r>
    </w:p>
    <w:p w14:paraId="0220CD59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color w:val="000000"/>
        </w:rPr>
      </w:pPr>
    </w:p>
    <w:p w14:paraId="3F728A14" w14:textId="77777777" w:rsidR="002E4D0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Development of best-practice guidelines for evaluation of symptoms of obstructed defecation and/or rectal prolapse in women with primary uterovaginal prolapse.</w:t>
      </w:r>
    </w:p>
    <w:p w14:paraId="2827FB54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tab/>
      </w:r>
    </w:p>
    <w:p w14:paraId="236632DF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</w:p>
    <w:p w14:paraId="22BA565A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lastRenderedPageBreak/>
        <w:t xml:space="preserve">IV. </w:t>
      </w:r>
      <w:r>
        <w:rPr>
          <w:b/>
          <w:bCs/>
        </w:rPr>
        <w:tab/>
      </w:r>
      <w:r>
        <w:rPr>
          <w:b/>
          <w:bCs/>
          <w:color w:val="000000"/>
        </w:rPr>
        <w:t>Surgical interventions for uterovaginal prolapse: Define ideal patient phenotype for each procedure and “best practice” surgical technique/approach. Include videos for each “best practice” technique.</w:t>
      </w:r>
    </w:p>
    <w:p w14:paraId="3DEF6B03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</w:p>
    <w:p w14:paraId="24E9366C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</w:rPr>
      </w:pPr>
      <w:r>
        <w:rPr>
          <w:b/>
          <w:bCs/>
          <w:color w:val="000000"/>
        </w:rPr>
        <w:t>Overarching clinical questions</w:t>
      </w:r>
    </w:p>
    <w:p w14:paraId="21D98908" w14:textId="77777777" w:rsidR="002E4D07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Does evidence exist to support specific surgical techniques within each procedure</w:t>
      </w:r>
    </w:p>
    <w:p w14:paraId="316AA96F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</w:p>
    <w:p w14:paraId="63F2E3A2" w14:textId="047476CB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Colpocleisis</w:t>
      </w:r>
    </w:p>
    <w:p w14:paraId="7813B5A9" w14:textId="449D718F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Hysteropexy with native tissue</w:t>
      </w:r>
    </w:p>
    <w:p w14:paraId="272CFF3E" w14:textId="02FDEB18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Hysteropexy with mes</w:t>
      </w:r>
      <w:r>
        <w:t>h</w:t>
      </w:r>
    </w:p>
    <w:p w14:paraId="0448C81E" w14:textId="6230A4AD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Manchester procedure</w:t>
      </w:r>
    </w:p>
    <w:p w14:paraId="7731CB29" w14:textId="38C7A92D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Hysterectomy with native tissue apical suspension</w:t>
      </w:r>
    </w:p>
    <w:p w14:paraId="4C4BE0CD" w14:textId="375C3E4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Hysterectomy with Sacrocolpopexy</w:t>
      </w:r>
    </w:p>
    <w:p w14:paraId="15FBEA86" w14:textId="3BD36781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r>
        <w:rPr>
          <w:color w:val="000000"/>
        </w:rPr>
        <w:t>Combined treatment of uterovaginal prolapse and rectal prolapse</w:t>
      </w:r>
    </w:p>
    <w:p w14:paraId="163923FF" w14:textId="639A8802" w:rsidR="002E4D07" w:rsidRDefault="00000000" w:rsidP="0089423E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Vnotes hysterectomy + USLS</w:t>
      </w:r>
    </w:p>
    <w:p w14:paraId="486E97FA" w14:textId="77777777" w:rsidR="0089423E" w:rsidRPr="0089423E" w:rsidRDefault="0089423E" w:rsidP="0089423E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</w:p>
    <w:p w14:paraId="292699C5" w14:textId="77777777" w:rsidR="002E4D07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V.</w:t>
      </w:r>
      <w:r>
        <w:rPr>
          <w:b/>
          <w:bCs/>
        </w:rPr>
        <w:tab/>
        <w:t xml:space="preserve">Management of complications: Surgical </w:t>
      </w:r>
    </w:p>
    <w:p w14:paraId="214687F3" w14:textId="77777777" w:rsidR="0089423E" w:rsidRDefault="0089423E">
      <w:pPr>
        <w:spacing w:after="0" w:line="240" w:lineRule="auto"/>
        <w:ind w:left="1080"/>
        <w:rPr>
          <w:b/>
          <w:bCs/>
        </w:rPr>
      </w:pPr>
    </w:p>
    <w:p w14:paraId="7C00CC05" w14:textId="55C92969" w:rsidR="002E4D07" w:rsidRDefault="00000000">
      <w:pPr>
        <w:spacing w:after="0" w:line="240" w:lineRule="auto"/>
        <w:ind w:left="1080"/>
        <w:rPr>
          <w:b/>
          <w:bCs/>
        </w:rPr>
      </w:pPr>
      <w:r>
        <w:rPr>
          <w:b/>
          <w:bCs/>
        </w:rPr>
        <w:t>Overarching clinical questions:</w:t>
      </w:r>
    </w:p>
    <w:p w14:paraId="459FC4F1" w14:textId="77777777" w:rsidR="002E4D07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What is the frequency of major intraoperative adverse events for each primary procedure for uterovaginal prolapse</w:t>
      </w:r>
    </w:p>
    <w:p w14:paraId="1D532566" w14:textId="77777777" w:rsidR="002E4D07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Are there any identified risk factors for:</w:t>
      </w:r>
    </w:p>
    <w:p w14:paraId="19CE7759" w14:textId="77777777" w:rsidR="002E4D07" w:rsidRDefault="00000000">
      <w:pPr>
        <w:numPr>
          <w:ilvl w:val="2"/>
          <w:numId w:val="3"/>
        </w:numPr>
        <w:spacing w:after="0"/>
      </w:pPr>
      <w:r>
        <w:t>Visceral injury</w:t>
      </w:r>
    </w:p>
    <w:p w14:paraId="20C55B23" w14:textId="77777777" w:rsidR="002E4D07" w:rsidRDefault="00000000">
      <w:pPr>
        <w:numPr>
          <w:ilvl w:val="2"/>
          <w:numId w:val="3"/>
        </w:numPr>
        <w:spacing w:after="0"/>
      </w:pPr>
      <w:r>
        <w:t>Vascular injury</w:t>
      </w:r>
    </w:p>
    <w:p w14:paraId="4E462455" w14:textId="77777777" w:rsidR="002E4D07" w:rsidRDefault="00000000">
      <w:pPr>
        <w:numPr>
          <w:ilvl w:val="2"/>
          <w:numId w:val="3"/>
        </w:numPr>
        <w:spacing w:after="0"/>
      </w:pPr>
      <w:r>
        <w:t>Nerve injury</w:t>
      </w:r>
    </w:p>
    <w:p w14:paraId="73ECA9D1" w14:textId="77777777" w:rsidR="002E4D07" w:rsidRDefault="00000000">
      <w:pPr>
        <w:numPr>
          <w:ilvl w:val="2"/>
          <w:numId w:val="3"/>
        </w:numPr>
        <w:spacing w:after="0"/>
      </w:pPr>
      <w:r>
        <w:t>Deep pelvic infection</w:t>
      </w:r>
    </w:p>
    <w:p w14:paraId="593BA811" w14:textId="77777777" w:rsidR="002E4D07" w:rsidRDefault="00000000">
      <w:pPr>
        <w:numPr>
          <w:ilvl w:val="2"/>
          <w:numId w:val="3"/>
        </w:numPr>
        <w:spacing w:after="0"/>
      </w:pPr>
      <w:r>
        <w:t>Sacral discitis</w:t>
      </w:r>
    </w:p>
    <w:p w14:paraId="60AB78A7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bCs/>
          <w:color w:val="000000"/>
        </w:rPr>
      </w:pPr>
      <w:r>
        <w:rPr>
          <w:b/>
          <w:bCs/>
        </w:rPr>
        <w:t xml:space="preserve">3. </w:t>
      </w:r>
      <w:r>
        <w:rPr>
          <w:b/>
          <w:bCs/>
          <w:color w:val="000000"/>
        </w:rPr>
        <w:t>Develop management strategy for common surgical complications of uterovaginal prolapse repair</w:t>
      </w:r>
    </w:p>
    <w:p w14:paraId="2D408EC3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bCs/>
        </w:rPr>
      </w:pPr>
    </w:p>
    <w:p w14:paraId="20B19E7E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bCs/>
        </w:rPr>
      </w:pPr>
      <w:r>
        <w:rPr>
          <w:b/>
          <w:bCs/>
        </w:rPr>
        <w:t>Committee is tasked with:</w:t>
      </w:r>
    </w:p>
    <w:p w14:paraId="5919FE78" w14:textId="77777777" w:rsidR="002E4D0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Defining the complication profile of each primary procedure for uterovaginal POP (see list from Committee IV)</w:t>
      </w:r>
    </w:p>
    <w:p w14:paraId="5544325C" w14:textId="77777777" w:rsidR="002E4D0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Defining risk factors for major intra- and post-operative complications for U-POP repair</w:t>
      </w:r>
    </w:p>
    <w:p w14:paraId="344CDB6C" w14:textId="77777777" w:rsidR="002E4D0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Developing best-practice guideline for management of the most common complications of uterovaginal POP repair including nerve injury, sacral discitis, mesh complications; deep pelvic infection.</w:t>
      </w:r>
    </w:p>
    <w:p w14:paraId="038A9C93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</w:p>
    <w:p w14:paraId="77A55AD0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</w:rPr>
        <w:tab/>
        <w:t xml:space="preserve">VI. Management of complications: Functional </w:t>
      </w:r>
    </w:p>
    <w:p w14:paraId="21F3AB93" w14:textId="77777777" w:rsidR="002E4D07" w:rsidRDefault="002E4D07">
      <w:pPr>
        <w:spacing w:after="0"/>
        <w:ind w:left="1080"/>
      </w:pPr>
    </w:p>
    <w:p w14:paraId="1C09E2B9" w14:textId="77777777" w:rsidR="002E4D07" w:rsidRDefault="00000000">
      <w:pPr>
        <w:spacing w:after="0"/>
        <w:ind w:left="1080"/>
      </w:pPr>
      <w:r>
        <w:rPr>
          <w:b/>
          <w:bCs/>
        </w:rPr>
        <w:t>Overarching clinical questions</w:t>
      </w:r>
      <w:r>
        <w:t>:</w:t>
      </w:r>
    </w:p>
    <w:p w14:paraId="424BA627" w14:textId="77777777" w:rsidR="002E4D07" w:rsidRDefault="002E4D07">
      <w:pPr>
        <w:spacing w:after="0"/>
        <w:ind w:left="1080"/>
      </w:pPr>
    </w:p>
    <w:p w14:paraId="6B3202ED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</w:rPr>
      </w:pPr>
      <w:r>
        <w:rPr>
          <w:b/>
          <w:bCs/>
          <w:color w:val="000000"/>
        </w:rPr>
        <w:lastRenderedPageBreak/>
        <w:t>Compare the prevalence of the following functional c</w:t>
      </w:r>
      <w:r>
        <w:rPr>
          <w:b/>
          <w:bCs/>
        </w:rPr>
        <w:t>omplications</w:t>
      </w:r>
      <w:r>
        <w:rPr>
          <w:b/>
          <w:bCs/>
          <w:color w:val="000000"/>
        </w:rPr>
        <w:t xml:space="preserve"> across different procedures for primary uterovaginal prolapse:</w:t>
      </w:r>
    </w:p>
    <w:p w14:paraId="78A7395A" w14:textId="77777777" w:rsidR="002E4D07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t>De novo UUI; SUI</w:t>
      </w:r>
    </w:p>
    <w:p w14:paraId="42502A41" w14:textId="77777777" w:rsidR="002E4D07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t>Voiding dysfunction</w:t>
      </w:r>
    </w:p>
    <w:p w14:paraId="1871E37F" w14:textId="77777777" w:rsidR="002E4D07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t>Obstructed defecation (Milena Weinstein; Luiz Brito)</w:t>
      </w:r>
    </w:p>
    <w:p w14:paraId="6431377B" w14:textId="77777777" w:rsidR="002E4D07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t>Pain ( Nucelio Lemos; Fatima Fitz; Glaucia Varella)</w:t>
      </w:r>
    </w:p>
    <w:p w14:paraId="4F2A5A4D" w14:textId="77777777" w:rsidR="002E4D07" w:rsidRDefault="0000000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t>Sexual function  (Shunaha Kim-Fine; Geller)</w:t>
      </w:r>
    </w:p>
    <w:p w14:paraId="26D7160A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4753DD9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</w:rPr>
      </w:pPr>
      <w:r>
        <w:rPr>
          <w:b/>
          <w:bCs/>
        </w:rPr>
        <w:t>Committee is tasked with:</w:t>
      </w:r>
    </w:p>
    <w:p w14:paraId="3EDB6A06" w14:textId="58580FF4" w:rsidR="002E4D07" w:rsidRPr="0089423E" w:rsidRDefault="00000000" w:rsidP="0089423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</w:pPr>
      <w:r>
        <w:t>Defining the functional complication profile (urinary symptoms, bowel symptoms, pain and sexual function) of different surgical interventions for primary uterovaginal POP repair</w:t>
      </w:r>
    </w:p>
    <w:p w14:paraId="027F2E3E" w14:textId="77777777" w:rsidR="002E4D07" w:rsidRDefault="002E4D07">
      <w:pPr>
        <w:spacing w:after="0"/>
        <w:ind w:left="1440"/>
      </w:pPr>
    </w:p>
    <w:p w14:paraId="1F9B9035" w14:textId="4568F4B5" w:rsidR="002E4D07" w:rsidRDefault="00000000" w:rsidP="0089423E">
      <w:pPr>
        <w:spacing w:after="0"/>
        <w:rPr>
          <w:b/>
          <w:bCs/>
        </w:rPr>
      </w:pPr>
      <w:r>
        <w:rPr>
          <w:b/>
          <w:bCs/>
        </w:rPr>
        <w:t>VII.</w:t>
      </w:r>
      <w:r>
        <w:rPr>
          <w:b/>
          <w:bCs/>
        </w:rPr>
        <w:tab/>
        <w:t>Augmenting/alternative materials for primary U-POP repair </w:t>
      </w:r>
    </w:p>
    <w:p w14:paraId="6FB77B8D" w14:textId="77777777" w:rsidR="0089423E" w:rsidRDefault="0089423E" w:rsidP="0089423E">
      <w:pPr>
        <w:spacing w:after="0"/>
        <w:rPr>
          <w:b/>
          <w:bCs/>
        </w:rPr>
      </w:pPr>
    </w:p>
    <w:p w14:paraId="2DF81566" w14:textId="77777777" w:rsidR="002E4D07" w:rsidRDefault="00000000">
      <w:pPr>
        <w:spacing w:after="0"/>
        <w:ind w:left="1080"/>
        <w:rPr>
          <w:b/>
          <w:bCs/>
        </w:rPr>
      </w:pPr>
      <w:r>
        <w:rPr>
          <w:b/>
          <w:bCs/>
        </w:rPr>
        <w:t>Overarching clinical questions:</w:t>
      </w:r>
    </w:p>
    <w:p w14:paraId="2159C339" w14:textId="77777777" w:rsidR="002E4D07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Is there a preferred autologous, allograft, biologic, or synthetic material for augmentation of primary uterovaginal prolapse repair?</w:t>
      </w:r>
    </w:p>
    <w:p w14:paraId="0BA31B08" w14:textId="77777777" w:rsidR="002E4D07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Are there any novel cell-based, laser energy or regenerative therapies that could PRECLUDE surgery?</w:t>
      </w:r>
    </w:p>
    <w:p w14:paraId="0B50B3AA" w14:textId="77777777" w:rsidR="002E4D07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What are the critical outcomes for augmented repair outcome assessment?</w:t>
      </w:r>
    </w:p>
    <w:p w14:paraId="32092540" w14:textId="77777777" w:rsidR="002E4D07" w:rsidRDefault="002E4D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</w:p>
    <w:p w14:paraId="23E6CD56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  <w:r>
        <w:rPr>
          <w:b/>
          <w:bCs/>
        </w:rPr>
        <w:tab/>
        <w:t xml:space="preserve">     Committee is tasked with:</w:t>
      </w:r>
    </w:p>
    <w:p w14:paraId="686021D9" w14:textId="77777777" w:rsidR="002E4D07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Developing a consensus statement on best clinical practice for use of augmenting materials for primary U-POP repair</w:t>
      </w:r>
    </w:p>
    <w:p w14:paraId="4AFF7838" w14:textId="77777777" w:rsidR="002E4D07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Defining critical outcomes for clinical assessment when augmenting materials are incorporated into primary U-POP repair</w:t>
      </w:r>
    </w:p>
    <w:p w14:paraId="43E6F190" w14:textId="77777777" w:rsidR="0089423E" w:rsidRDefault="0089423E">
      <w:pPr>
        <w:spacing w:after="0" w:line="240" w:lineRule="auto"/>
      </w:pPr>
    </w:p>
    <w:p w14:paraId="66812237" w14:textId="3AAAC226" w:rsidR="002E4D07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VIII.</w:t>
      </w:r>
      <w:r>
        <w:rPr>
          <w:b/>
          <w:bCs/>
        </w:rPr>
        <w:tab/>
        <w:t>Patient reported outcomes</w:t>
      </w:r>
    </w:p>
    <w:p w14:paraId="3D65D674" w14:textId="77777777" w:rsidR="002E4D07" w:rsidRDefault="002E4D07">
      <w:pPr>
        <w:spacing w:after="0" w:line="240" w:lineRule="auto"/>
        <w:ind w:left="1080"/>
        <w:rPr>
          <w:b/>
          <w:bCs/>
        </w:rPr>
      </w:pPr>
    </w:p>
    <w:p w14:paraId="06E0EB26" w14:textId="77777777" w:rsidR="002E4D07" w:rsidRDefault="00000000">
      <w:pPr>
        <w:spacing w:after="0"/>
        <w:ind w:left="1080"/>
        <w:rPr>
          <w:b/>
          <w:bCs/>
        </w:rPr>
      </w:pPr>
      <w:r>
        <w:rPr>
          <w:b/>
          <w:bCs/>
        </w:rPr>
        <w:t>Overarching clinical questions:</w:t>
      </w:r>
    </w:p>
    <w:p w14:paraId="7DA9BD75" w14:textId="77777777" w:rsidR="002E4D07" w:rsidRDefault="00000000">
      <w:pPr>
        <w:numPr>
          <w:ilvl w:val="0"/>
          <w:numId w:val="14"/>
        </w:numPr>
        <w:spacing w:after="0"/>
      </w:pPr>
      <w:r>
        <w:t>What is the best method to report a patient-reported outcome (PROs) that defines primary U-POP “success”</w:t>
      </w:r>
    </w:p>
    <w:p w14:paraId="73D63B98" w14:textId="77777777" w:rsidR="002E4D07" w:rsidRDefault="00000000">
      <w:pPr>
        <w:numPr>
          <w:ilvl w:val="0"/>
          <w:numId w:val="14"/>
        </w:numPr>
        <w:spacing w:after="0"/>
      </w:pPr>
      <w:r>
        <w:t>Do PROs DIFFER across different surgical interventions</w:t>
      </w:r>
    </w:p>
    <w:p w14:paraId="7CB92D6D" w14:textId="77777777" w:rsidR="002E4D07" w:rsidRDefault="00000000">
      <w:pPr>
        <w:numPr>
          <w:ilvl w:val="0"/>
          <w:numId w:val="14"/>
        </w:numPr>
        <w:spacing w:after="0"/>
      </w:pPr>
      <w:r>
        <w:t>Is there a preferred method to capture PROs?</w:t>
      </w:r>
    </w:p>
    <w:p w14:paraId="6710AE80" w14:textId="77777777" w:rsidR="002E4D07" w:rsidRDefault="002E4D07">
      <w:pPr>
        <w:spacing w:after="0"/>
      </w:pPr>
    </w:p>
    <w:p w14:paraId="060340BE" w14:textId="77777777" w:rsidR="002E4D07" w:rsidRDefault="00000000">
      <w:pPr>
        <w:spacing w:after="0"/>
        <w:ind w:left="1080"/>
        <w:rPr>
          <w:b/>
          <w:bCs/>
        </w:rPr>
      </w:pPr>
      <w:r>
        <w:rPr>
          <w:b/>
          <w:bCs/>
        </w:rPr>
        <w:t>Committee is tasked with:</w:t>
      </w:r>
    </w:p>
    <w:p w14:paraId="45D75D24" w14:textId="77777777" w:rsidR="002E4D07" w:rsidRDefault="00000000">
      <w:pPr>
        <w:numPr>
          <w:ilvl w:val="0"/>
          <w:numId w:val="12"/>
        </w:numPr>
        <w:spacing w:after="0"/>
      </w:pPr>
      <w:r>
        <w:t>Development of practice guideline that defines preferred PROs for primary U-POP repair</w:t>
      </w:r>
    </w:p>
    <w:p w14:paraId="721CF6AE" w14:textId="77777777" w:rsidR="002E4D07" w:rsidRDefault="00000000">
      <w:pPr>
        <w:numPr>
          <w:ilvl w:val="0"/>
          <w:numId w:val="12"/>
        </w:numPr>
        <w:spacing w:after="0"/>
      </w:pPr>
      <w:r>
        <w:t>Determine best methods to record PROs.</w:t>
      </w:r>
    </w:p>
    <w:p w14:paraId="7E95D3AE" w14:textId="7A789DA2" w:rsidR="002E4D07" w:rsidRDefault="002E4D07" w:rsidP="0089423E">
      <w:pPr>
        <w:spacing w:after="0"/>
      </w:pPr>
    </w:p>
    <w:p w14:paraId="54E6C115" w14:textId="77777777" w:rsidR="002E4D07" w:rsidRDefault="002E4D07">
      <w:pPr>
        <w:spacing w:after="0"/>
        <w:ind w:left="1440"/>
      </w:pPr>
    </w:p>
    <w:p w14:paraId="3175A3D0" w14:textId="19B25500" w:rsidR="002E4D07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IX. </w:t>
      </w:r>
      <w:r>
        <w:rPr>
          <w:b/>
          <w:bCs/>
        </w:rPr>
        <w:tab/>
        <w:t>Registries and outcome standardization </w:t>
      </w:r>
    </w:p>
    <w:p w14:paraId="091A4159" w14:textId="77777777" w:rsidR="002E4D07" w:rsidRDefault="002E4D07">
      <w:pPr>
        <w:spacing w:after="0"/>
        <w:ind w:left="1440"/>
      </w:pPr>
    </w:p>
    <w:p w14:paraId="4F49968C" w14:textId="77777777" w:rsidR="002E4D07" w:rsidRPr="0089423E" w:rsidRDefault="00000000">
      <w:pPr>
        <w:spacing w:after="0"/>
        <w:ind w:left="1440"/>
        <w:rPr>
          <w:b/>
          <w:bCs/>
        </w:rPr>
      </w:pPr>
      <w:r w:rsidRPr="0089423E">
        <w:rPr>
          <w:b/>
          <w:bCs/>
        </w:rPr>
        <w:t>Overarching clinical questions:</w:t>
      </w:r>
    </w:p>
    <w:p w14:paraId="552160EF" w14:textId="77777777" w:rsidR="002E4D07" w:rsidRDefault="00000000">
      <w:pPr>
        <w:numPr>
          <w:ilvl w:val="0"/>
          <w:numId w:val="15"/>
        </w:numPr>
        <w:spacing w:after="0"/>
      </w:pPr>
      <w:r>
        <w:lastRenderedPageBreak/>
        <w:t>What are the essential variables to report in clinical trials for different index procedures for U-POP?</w:t>
      </w:r>
    </w:p>
    <w:p w14:paraId="7C909620" w14:textId="77777777" w:rsidR="002E4D07" w:rsidRDefault="00000000">
      <w:pPr>
        <w:numPr>
          <w:ilvl w:val="1"/>
          <w:numId w:val="15"/>
        </w:numPr>
        <w:spacing w:after="0"/>
      </w:pPr>
      <w:r>
        <w:t>Subjective / Patient Reported</w:t>
      </w:r>
    </w:p>
    <w:p w14:paraId="51DC39A4" w14:textId="77777777" w:rsidR="002E4D07" w:rsidRDefault="00000000">
      <w:pPr>
        <w:numPr>
          <w:ilvl w:val="1"/>
          <w:numId w:val="15"/>
        </w:numPr>
        <w:spacing w:after="0"/>
      </w:pPr>
      <w:r>
        <w:t>Objective / Clinician measured</w:t>
      </w:r>
    </w:p>
    <w:p w14:paraId="089C37B3" w14:textId="77777777" w:rsidR="002E4D07" w:rsidRDefault="00000000">
      <w:pPr>
        <w:numPr>
          <w:ilvl w:val="0"/>
          <w:numId w:val="15"/>
        </w:numPr>
        <w:spacing w:after="0"/>
      </w:pPr>
      <w:r>
        <w:t>Global Registries for U-POP reporting:</w:t>
      </w:r>
    </w:p>
    <w:p w14:paraId="6C118FD0" w14:textId="77777777" w:rsidR="002E4D07" w:rsidRDefault="00000000">
      <w:pPr>
        <w:numPr>
          <w:ilvl w:val="1"/>
          <w:numId w:val="15"/>
        </w:numPr>
        <w:spacing w:after="0"/>
      </w:pPr>
      <w:r>
        <w:t>Do any exist?</w:t>
      </w:r>
    </w:p>
    <w:p w14:paraId="78C70AD5" w14:textId="77777777" w:rsidR="002E4D07" w:rsidRDefault="00000000">
      <w:pPr>
        <w:numPr>
          <w:ilvl w:val="1"/>
          <w:numId w:val="15"/>
        </w:numPr>
        <w:spacing w:after="0"/>
      </w:pPr>
      <w:r>
        <w:t>What data should a U-POP global registry include?</w:t>
      </w:r>
    </w:p>
    <w:p w14:paraId="06F7795B" w14:textId="77777777" w:rsidR="002E4D07" w:rsidRDefault="002E4D07">
      <w:pPr>
        <w:spacing w:after="0"/>
      </w:pPr>
    </w:p>
    <w:p w14:paraId="5EF741CB" w14:textId="77777777" w:rsidR="002E4D07" w:rsidRDefault="00000000">
      <w:pPr>
        <w:spacing w:after="0"/>
        <w:ind w:firstLine="720"/>
        <w:rPr>
          <w:b/>
          <w:bCs/>
        </w:rPr>
      </w:pPr>
      <w:r>
        <w:rPr>
          <w:b/>
          <w:bCs/>
        </w:rPr>
        <w:t>Committee is tasked with:</w:t>
      </w:r>
    </w:p>
    <w:p w14:paraId="4EA3E941" w14:textId="77777777" w:rsidR="002E4D07" w:rsidRDefault="002E4D07">
      <w:pPr>
        <w:spacing w:after="0"/>
        <w:ind w:left="1440"/>
      </w:pPr>
    </w:p>
    <w:p w14:paraId="01383AA8" w14:textId="77777777" w:rsidR="002E4D07" w:rsidRDefault="00000000">
      <w:pPr>
        <w:numPr>
          <w:ilvl w:val="0"/>
          <w:numId w:val="25"/>
        </w:numPr>
        <w:spacing w:after="0"/>
      </w:pPr>
      <w:r>
        <w:t>Defining essential variables to report in clinical trials for index U-POP procedures</w:t>
      </w:r>
    </w:p>
    <w:p w14:paraId="652F02EA" w14:textId="77777777" w:rsidR="002E4D07" w:rsidRDefault="00000000">
      <w:pPr>
        <w:numPr>
          <w:ilvl w:val="0"/>
          <w:numId w:val="25"/>
        </w:numPr>
        <w:spacing w:after="0"/>
      </w:pPr>
      <w:r>
        <w:t>Determining options for global registries for U-POP reporting</w:t>
      </w:r>
    </w:p>
    <w:p w14:paraId="2140658A" w14:textId="136FD805" w:rsidR="002E4D07" w:rsidRDefault="002E4D07" w:rsidP="0089423E">
      <w:pPr>
        <w:spacing w:after="0"/>
        <w:rPr>
          <w:rFonts w:ascii="Roboto" w:eastAsia="Roboto" w:hAnsi="Roboto" w:cs="Roboto"/>
          <w:color w:val="212121"/>
          <w:sz w:val="24"/>
          <w:szCs w:val="24"/>
        </w:rPr>
      </w:pPr>
    </w:p>
    <w:p w14:paraId="3E843381" w14:textId="77777777" w:rsidR="002E4D07" w:rsidRDefault="002E4D07">
      <w:pPr>
        <w:spacing w:after="0"/>
        <w:ind w:left="1440"/>
      </w:pPr>
    </w:p>
    <w:p w14:paraId="70B8A391" w14:textId="77777777" w:rsidR="002E4D07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X.</w:t>
      </w:r>
      <w:r>
        <w:rPr>
          <w:b/>
          <w:bCs/>
        </w:rPr>
        <w:tab/>
        <w:t>Role/influence of Industry </w:t>
      </w:r>
    </w:p>
    <w:p w14:paraId="41B1B1A6" w14:textId="77777777" w:rsidR="002E4D07" w:rsidRDefault="002E4D07">
      <w:pPr>
        <w:spacing w:after="0" w:line="240" w:lineRule="auto"/>
        <w:ind w:left="1080"/>
        <w:rPr>
          <w:b/>
          <w:bCs/>
        </w:rPr>
      </w:pPr>
    </w:p>
    <w:p w14:paraId="58F90126" w14:textId="77777777" w:rsidR="002E4D07" w:rsidRDefault="00000000">
      <w:pPr>
        <w:ind w:left="1080"/>
        <w:rPr>
          <w:b/>
          <w:bCs/>
        </w:rPr>
      </w:pPr>
      <w:r>
        <w:rPr>
          <w:b/>
          <w:bCs/>
        </w:rPr>
        <w:t>Overarching clinical questions:</w:t>
      </w:r>
    </w:p>
    <w:p w14:paraId="63ADF275" w14:textId="77777777" w:rsidR="002E4D07" w:rsidRDefault="00000000">
      <w:pPr>
        <w:numPr>
          <w:ilvl w:val="0"/>
          <w:numId w:val="18"/>
        </w:numPr>
        <w:spacing w:after="0"/>
      </w:pPr>
      <w:r>
        <w:t>How can industry be engaged as a key partner in the design and conduct of clinical trials for U-POP?</w:t>
      </w:r>
    </w:p>
    <w:p w14:paraId="233B62AC" w14:textId="77777777" w:rsidR="002E4D07" w:rsidRDefault="00000000">
      <w:pPr>
        <w:numPr>
          <w:ilvl w:val="0"/>
          <w:numId w:val="18"/>
        </w:numPr>
      </w:pPr>
      <w:r>
        <w:t>How can industry be engaged as a key partner in surgical simulation and education?</w:t>
      </w:r>
    </w:p>
    <w:p w14:paraId="3845371A" w14:textId="77777777" w:rsidR="002E4D07" w:rsidRDefault="00000000">
      <w:pPr>
        <w:ind w:left="1080"/>
        <w:rPr>
          <w:b/>
          <w:bCs/>
        </w:rPr>
      </w:pPr>
      <w:r>
        <w:rPr>
          <w:b/>
          <w:bCs/>
        </w:rPr>
        <w:t>Committee is tasked with:</w:t>
      </w:r>
    </w:p>
    <w:p w14:paraId="525FB962" w14:textId="77777777" w:rsidR="002E4D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Defin</w:t>
      </w:r>
      <w:r>
        <w:t>ing</w:t>
      </w:r>
      <w:r>
        <w:rPr>
          <w:color w:val="000000"/>
        </w:rPr>
        <w:t xml:space="preserve"> best practice for industry involvement in clinical trials</w:t>
      </w:r>
    </w:p>
    <w:p w14:paraId="3D57D5BE" w14:textId="77777777" w:rsidR="002E4D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Defin</w:t>
      </w:r>
      <w:r>
        <w:t>ing</w:t>
      </w:r>
      <w:r>
        <w:rPr>
          <w:color w:val="000000"/>
        </w:rPr>
        <w:t xml:space="preserve"> best practice for industry engagement in surgical education, particularly simulation.</w:t>
      </w:r>
    </w:p>
    <w:p w14:paraId="6DAFBE80" w14:textId="77777777" w:rsidR="002E4D07" w:rsidRDefault="002E4D07"/>
    <w:p w14:paraId="0A2C2499" w14:textId="77777777" w:rsidR="002E4D0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</w:rPr>
      </w:pPr>
      <w:r>
        <w:rPr>
          <w:b/>
          <w:bCs/>
        </w:rPr>
        <w:t>XI.</w:t>
      </w:r>
      <w:r>
        <w:rPr>
          <w:b/>
          <w:bCs/>
        </w:rPr>
        <w:tab/>
      </w:r>
      <w:r>
        <w:rPr>
          <w:b/>
          <w:bCs/>
          <w:color w:val="000000"/>
        </w:rPr>
        <w:t>Major unanswered clinical questions</w:t>
      </w:r>
      <w:r>
        <w:rPr>
          <w:b/>
          <w:bCs/>
        </w:rPr>
        <w:t xml:space="preserve">; </w:t>
      </w:r>
      <w:r>
        <w:rPr>
          <w:b/>
          <w:bCs/>
          <w:color w:val="000000"/>
        </w:rPr>
        <w:t>international research agenda; U-POP in LMIC</w:t>
      </w:r>
      <w:r>
        <w:rPr>
          <w:b/>
          <w:bCs/>
          <w:color w:val="000000"/>
        </w:rPr>
        <w:tab/>
      </w:r>
    </w:p>
    <w:p w14:paraId="1446DADB" w14:textId="77777777" w:rsidR="0089423E" w:rsidRDefault="0089423E">
      <w:pPr>
        <w:ind w:left="1080"/>
        <w:rPr>
          <w:b/>
          <w:bCs/>
        </w:rPr>
      </w:pPr>
    </w:p>
    <w:p w14:paraId="7772BEC2" w14:textId="3E81CA9E" w:rsidR="002E4D07" w:rsidRDefault="00000000">
      <w:pPr>
        <w:ind w:left="1080"/>
        <w:rPr>
          <w:b/>
          <w:bCs/>
        </w:rPr>
      </w:pPr>
      <w:r>
        <w:rPr>
          <w:b/>
          <w:bCs/>
        </w:rPr>
        <w:t>Overarching clinical questions:</w:t>
      </w:r>
    </w:p>
    <w:p w14:paraId="080D0CB2" w14:textId="77777777" w:rsidR="002E4D07" w:rsidRPr="0089423E" w:rsidRDefault="00000000">
      <w:pPr>
        <w:numPr>
          <w:ilvl w:val="0"/>
          <w:numId w:val="17"/>
        </w:numPr>
        <w:spacing w:after="0"/>
      </w:pPr>
      <w:r w:rsidRPr="0089423E">
        <w:t>How does the surgical management of U-POP differ in LMIC?</w:t>
      </w:r>
    </w:p>
    <w:p w14:paraId="77ACB1A6" w14:textId="77777777" w:rsidR="002E4D07" w:rsidRPr="0089423E" w:rsidRDefault="00000000">
      <w:pPr>
        <w:numPr>
          <w:ilvl w:val="0"/>
          <w:numId w:val="17"/>
        </w:numPr>
        <w:spacing w:after="0"/>
      </w:pPr>
      <w:r w:rsidRPr="0089423E">
        <w:t>What are the major unanswered clinical questions regarding the primary surgical management of U-POP?</w:t>
      </w:r>
    </w:p>
    <w:p w14:paraId="372814DB" w14:textId="77777777" w:rsidR="002E4D07" w:rsidRPr="0089423E" w:rsidRDefault="00000000">
      <w:pPr>
        <w:numPr>
          <w:ilvl w:val="0"/>
          <w:numId w:val="17"/>
        </w:numPr>
      </w:pPr>
      <w:r w:rsidRPr="0089423E">
        <w:t>How should an international research agenda be prioritized?</w:t>
      </w:r>
    </w:p>
    <w:p w14:paraId="13792BEB" w14:textId="75B00F1D" w:rsidR="002E4D07" w:rsidRPr="0089423E" w:rsidRDefault="00000000" w:rsidP="0089423E">
      <w:pPr>
        <w:ind w:firstLine="720"/>
        <w:rPr>
          <w:b/>
          <w:bCs/>
        </w:rPr>
      </w:pPr>
      <w:r>
        <w:rPr>
          <w:b/>
          <w:bCs/>
        </w:rPr>
        <w:t>Committee is tasked with:</w:t>
      </w:r>
    </w:p>
    <w:p w14:paraId="2A969C6E" w14:textId="77777777" w:rsidR="002E4D0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Defining </w:t>
      </w:r>
      <w:r>
        <w:rPr>
          <w:color w:val="000000"/>
        </w:rPr>
        <w:t xml:space="preserve">the major unanswered clinical questions regarding the surgical management of primary uterovaginal prolapse </w:t>
      </w:r>
    </w:p>
    <w:p w14:paraId="6EFBFB6E" w14:textId="77777777" w:rsidR="002E4D0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</w:t>
      </w:r>
      <w:r>
        <w:rPr>
          <w:color w:val="000000"/>
        </w:rPr>
        <w:t>riorit</w:t>
      </w:r>
      <w:r>
        <w:t>izing</w:t>
      </w:r>
      <w:r>
        <w:rPr>
          <w:color w:val="000000"/>
        </w:rPr>
        <w:t xml:space="preserve"> an international research agenda</w:t>
      </w:r>
      <w:r>
        <w:t xml:space="preserve"> for primary U-POP</w:t>
      </w:r>
    </w:p>
    <w:p w14:paraId="53509D1C" w14:textId="57D0EB50" w:rsidR="002E4D07" w:rsidRDefault="00000000" w:rsidP="008942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Determine the preferred surgical management of primary uterovaginal prolapse in LMIC settings where resources are limited.</w:t>
      </w:r>
    </w:p>
    <w:sectPr w:rsidR="002E4D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6AA47CB-C467-4EA7-8B9E-E2E9432A9526}"/>
    <w:embedBold r:id="rId2" w:fontKey="{68323ACE-B8AA-426A-95B3-2A9F7A6BF451}"/>
    <w:embedItalic r:id="rId3" w:fontKey="{0F63B285-1049-48CB-BAC1-4B5E582940D9}"/>
  </w:font>
  <w:font w:name="Play">
    <w:charset w:val="00"/>
    <w:family w:val="auto"/>
    <w:pitch w:val="default"/>
    <w:embedRegular r:id="rId4" w:fontKey="{FB865181-8C34-48CA-8FD7-897D3F45DDA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EA947FF-E59B-4252-9C29-550F4B67F4F9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7B0970CD-EC8A-4A99-9F55-C29B027F05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6CD"/>
    <w:multiLevelType w:val="multilevel"/>
    <w:tmpl w:val="C5AA8560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670DBD"/>
    <w:multiLevelType w:val="multilevel"/>
    <w:tmpl w:val="9F20FF2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3F8572D"/>
    <w:multiLevelType w:val="multilevel"/>
    <w:tmpl w:val="25BA944E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15F87E50"/>
    <w:multiLevelType w:val="multilevel"/>
    <w:tmpl w:val="22C42E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287F4555"/>
    <w:multiLevelType w:val="multilevel"/>
    <w:tmpl w:val="0044789E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5" w15:restartNumberingAfterBreak="0">
    <w:nsid w:val="32412D61"/>
    <w:multiLevelType w:val="multilevel"/>
    <w:tmpl w:val="1BACFA5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344907C4"/>
    <w:multiLevelType w:val="multilevel"/>
    <w:tmpl w:val="556698C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6341F5"/>
    <w:multiLevelType w:val="multilevel"/>
    <w:tmpl w:val="372274D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EF63D5"/>
    <w:multiLevelType w:val="multilevel"/>
    <w:tmpl w:val="6EB48F7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41BC08DA"/>
    <w:multiLevelType w:val="multilevel"/>
    <w:tmpl w:val="82FC85C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44A65D0C"/>
    <w:multiLevelType w:val="multilevel"/>
    <w:tmpl w:val="C34CAE7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451624C1"/>
    <w:multiLevelType w:val="multilevel"/>
    <w:tmpl w:val="58C034C2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2" w15:restartNumberingAfterBreak="0">
    <w:nsid w:val="486C0929"/>
    <w:multiLevelType w:val="multilevel"/>
    <w:tmpl w:val="4998CF2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487C72C5"/>
    <w:multiLevelType w:val="multilevel"/>
    <w:tmpl w:val="A58C6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49300DA3"/>
    <w:multiLevelType w:val="multilevel"/>
    <w:tmpl w:val="BA7A51E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D224B"/>
    <w:multiLevelType w:val="multilevel"/>
    <w:tmpl w:val="9A6C9D3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5B330453"/>
    <w:multiLevelType w:val="multilevel"/>
    <w:tmpl w:val="237EDC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6312021C"/>
    <w:multiLevelType w:val="multilevel"/>
    <w:tmpl w:val="2C6A56D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5D02BF1"/>
    <w:multiLevelType w:val="multilevel"/>
    <w:tmpl w:val="D578F7D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9" w15:restartNumberingAfterBreak="0">
    <w:nsid w:val="69C90085"/>
    <w:multiLevelType w:val="multilevel"/>
    <w:tmpl w:val="1B944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60AF2"/>
    <w:multiLevelType w:val="multilevel"/>
    <w:tmpl w:val="456C91D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9D2EE5"/>
    <w:multiLevelType w:val="multilevel"/>
    <w:tmpl w:val="83D4D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62425"/>
    <w:multiLevelType w:val="multilevel"/>
    <w:tmpl w:val="8CB6932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3" w15:restartNumberingAfterBreak="0">
    <w:nsid w:val="77CB0292"/>
    <w:multiLevelType w:val="multilevel"/>
    <w:tmpl w:val="994EBFFE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4" w15:restartNumberingAfterBreak="0">
    <w:nsid w:val="7CA23150"/>
    <w:multiLevelType w:val="multilevel"/>
    <w:tmpl w:val="2A20669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 w16cid:durableId="703948984">
    <w:abstractNumId w:val="2"/>
  </w:num>
  <w:num w:numId="2" w16cid:durableId="1679503848">
    <w:abstractNumId w:val="22"/>
  </w:num>
  <w:num w:numId="3" w16cid:durableId="1063407549">
    <w:abstractNumId w:val="14"/>
  </w:num>
  <w:num w:numId="4" w16cid:durableId="1055277158">
    <w:abstractNumId w:val="6"/>
  </w:num>
  <w:num w:numId="5" w16cid:durableId="1144397896">
    <w:abstractNumId w:val="0"/>
  </w:num>
  <w:num w:numId="6" w16cid:durableId="305747423">
    <w:abstractNumId w:val="7"/>
  </w:num>
  <w:num w:numId="7" w16cid:durableId="983316346">
    <w:abstractNumId w:val="20"/>
  </w:num>
  <w:num w:numId="8" w16cid:durableId="1784764838">
    <w:abstractNumId w:val="19"/>
  </w:num>
  <w:num w:numId="9" w16cid:durableId="217056582">
    <w:abstractNumId w:val="21"/>
  </w:num>
  <w:num w:numId="10" w16cid:durableId="1262376735">
    <w:abstractNumId w:val="17"/>
  </w:num>
  <w:num w:numId="11" w16cid:durableId="1609775551">
    <w:abstractNumId w:val="8"/>
  </w:num>
  <w:num w:numId="12" w16cid:durableId="1093434178">
    <w:abstractNumId w:val="3"/>
  </w:num>
  <w:num w:numId="13" w16cid:durableId="430902022">
    <w:abstractNumId w:val="5"/>
  </w:num>
  <w:num w:numId="14" w16cid:durableId="286398274">
    <w:abstractNumId w:val="23"/>
  </w:num>
  <w:num w:numId="15" w16cid:durableId="1852791886">
    <w:abstractNumId w:val="11"/>
  </w:num>
  <w:num w:numId="16" w16cid:durableId="818889190">
    <w:abstractNumId w:val="18"/>
  </w:num>
  <w:num w:numId="17" w16cid:durableId="459106242">
    <w:abstractNumId w:val="12"/>
  </w:num>
  <w:num w:numId="18" w16cid:durableId="932543621">
    <w:abstractNumId w:val="1"/>
  </w:num>
  <w:num w:numId="19" w16cid:durableId="498236895">
    <w:abstractNumId w:val="4"/>
  </w:num>
  <w:num w:numId="20" w16cid:durableId="990405565">
    <w:abstractNumId w:val="10"/>
  </w:num>
  <w:num w:numId="21" w16cid:durableId="512455328">
    <w:abstractNumId w:val="13"/>
  </w:num>
  <w:num w:numId="22" w16cid:durableId="1447965742">
    <w:abstractNumId w:val="9"/>
  </w:num>
  <w:num w:numId="23" w16cid:durableId="74670890">
    <w:abstractNumId w:val="16"/>
  </w:num>
  <w:num w:numId="24" w16cid:durableId="2039313291">
    <w:abstractNumId w:val="24"/>
  </w:num>
  <w:num w:numId="25" w16cid:durableId="1252733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07"/>
    <w:rsid w:val="002729A0"/>
    <w:rsid w:val="002E4D07"/>
    <w:rsid w:val="0082753D"/>
    <w:rsid w:val="0089423E"/>
    <w:rsid w:val="00B752EE"/>
    <w:rsid w:val="00BF639B"/>
    <w:rsid w:val="00D6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244C9"/>
  <w15:docId w15:val="{B04EC36E-7FFB-5741-B2A6-9D8D9CE2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96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E0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96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96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E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E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E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03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D13"/>
    <w:rPr>
      <w:b/>
      <w:bCs/>
      <w:sz w:val="20"/>
      <w:szCs w:val="2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ogvI1KqqBCV39M70UHbasDeUQ==">CgMxLjAyDmguajNyandrbXg3eXE5OAByITE5TTNTdTQ5RVJ5Qk0tS1phUW9VSUpQUTBydGlwcjZzdQ==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Gopal  H. Badlani</dc:creator>
  <cp:lastModifiedBy>Matthews, Catherine Ann</cp:lastModifiedBy>
  <cp:revision>2</cp:revision>
  <dcterms:created xsi:type="dcterms:W3CDTF">2026-05-05T16:30:00Z</dcterms:created>
  <dcterms:modified xsi:type="dcterms:W3CDTF">2026-05-05T16:30:00Z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0x010100A363145F9CD79E49A0179AB69C522D89</vt:lpwstr>
  </property>
</Properties>
</file>