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0DEB" w:rsidRDefault="003A0DEB">
      <w:pPr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</w:rPr>
        <w:t>Supplementary Table 2</w:t>
      </w:r>
      <w:r>
        <w:rPr>
          <w:rFonts w:ascii="Times New Roman" w:hAnsi="Times New Roman" w:cs="Times New Roman"/>
        </w:rPr>
        <w:t xml:space="preserve"> Univariate analysis of baseline covariates that may be determinants of 12</w:t>
      </w:r>
      <w:r>
        <w:rPr>
          <w:rFonts w:ascii="Times New Roman" w:hAnsi="Times New Roman" w:cs="Times New Roman"/>
        </w:rPr>
        <w:noBreakHyphen/>
        <w:t>month persistence in Germany</w:t>
      </w:r>
    </w:p>
    <w:tbl>
      <w:tblPr>
        <w:tblW w:w="10733" w:type="dxa"/>
        <w:tblInd w:w="-106" w:type="dxa"/>
        <w:tblBorders>
          <w:top w:val="single" w:sz="4" w:space="0" w:color="auto"/>
          <w:bottom w:val="single" w:sz="4" w:space="0" w:color="auto"/>
        </w:tblBorders>
        <w:tblLook w:val="0000" w:firstRow="0" w:lastRow="0" w:firstColumn="0" w:lastColumn="0" w:noHBand="0" w:noVBand="0"/>
      </w:tblPr>
      <w:tblGrid>
        <w:gridCol w:w="6197"/>
        <w:gridCol w:w="567"/>
        <w:gridCol w:w="1276"/>
        <w:gridCol w:w="1752"/>
        <w:gridCol w:w="941"/>
      </w:tblGrid>
      <w:tr w:rsidR="003A0DEB">
        <w:trPr>
          <w:cantSplit/>
          <w:tblHeader/>
        </w:trPr>
        <w:tc>
          <w:tcPr>
            <w:tcW w:w="61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A0DEB" w:rsidRDefault="003A0DEB">
            <w:pPr>
              <w:spacing w:after="0" w:line="480" w:lineRule="auto"/>
              <w:ind w:left="357" w:hanging="357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kern w:val="24"/>
                <w:sz w:val="20"/>
                <w:szCs w:val="20"/>
              </w:rPr>
              <w:t>Covariate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kern w:val="2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kern w:val="24"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/>
                <w:b/>
                <w:bCs/>
                <w:kern w:val="24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A0DEB" w:rsidRDefault="003A0DEB" w:rsidP="002C5ACC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kern w:val="24"/>
                <w:sz w:val="20"/>
                <w:szCs w:val="20"/>
              </w:rPr>
              <w:t>Persistence</w:t>
            </w:r>
            <w:r w:rsidR="002C5ACC">
              <w:rPr>
                <w:rFonts w:ascii="Times New Roman" w:hAnsi="Times New Roman" w:cs="Times New Roman"/>
                <w:b/>
                <w:bCs/>
                <w:kern w:val="24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kern w:val="24"/>
                <w:sz w:val="20"/>
                <w:szCs w:val="20"/>
              </w:rPr>
              <w:t>%</w:t>
            </w:r>
          </w:p>
        </w:tc>
        <w:tc>
          <w:tcPr>
            <w:tcW w:w="17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kern w:val="24"/>
                <w:sz w:val="20"/>
                <w:szCs w:val="20"/>
              </w:rPr>
              <w:t>OR (95% CI)</w:t>
            </w:r>
            <w:r>
              <w:rPr>
                <w:rFonts w:ascii="Times New Roman" w:hAnsi="Times New Roman" w:cs="Times New Roman"/>
                <w:b/>
                <w:bCs/>
                <w:kern w:val="24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kern w:val="24"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/>
                <w:b/>
                <w:bCs/>
                <w:kern w:val="24"/>
                <w:sz w:val="20"/>
                <w:szCs w:val="20"/>
              </w:rPr>
              <w:t> value</w:t>
            </w:r>
          </w:p>
        </w:tc>
      </w:tr>
      <w:tr w:rsidR="003A0DEB">
        <w:trPr>
          <w:cantSplit/>
        </w:trPr>
        <w:tc>
          <w:tcPr>
            <w:tcW w:w="619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ind w:left="357" w:hanging="357"/>
              <w:rPr>
                <w:rFonts w:ascii="Times New Roman" w:hAnsi="Times New Roman" w:cs="Times New Roman"/>
                <w:kern w:val="24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kern w:val="24"/>
                <w:sz w:val="20"/>
                <w:szCs w:val="20"/>
                <w:lang w:eastAsia="en-GB"/>
              </w:rPr>
              <w:t>Patient PMO support tools and/or programs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  <w:t xml:space="preserve">Active </w:t>
            </w:r>
            <w:proofErr w:type="spellStart"/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  <w:t>reminder</w:t>
            </w: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vertAlign w:val="superscript"/>
                <w:lang w:eastAsia="en-GB"/>
              </w:rPr>
              <w:t>c</w:t>
            </w:r>
            <w:proofErr w:type="spellEnd"/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  <w:t xml:space="preserve">Passive </w:t>
            </w:r>
            <w:proofErr w:type="spellStart"/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  <w:t>reminder</w:t>
            </w: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vertAlign w:val="superscript"/>
                <w:lang w:eastAsia="en-GB"/>
              </w:rPr>
              <w:t>d</w:t>
            </w:r>
            <w:proofErr w:type="spellEnd"/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kern w:val="24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  <w:t>No reminder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  <w:t>295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  <w:t>130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  <w:t>172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  <w:t>92.5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  <w:t>91.5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  <w:t>93.0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  <w:t>Reference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  <w:t>0.87 (0.41–1.85)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  <w:t>1.07 (0.52–2.23)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  <w:t>0.8873</w:t>
            </w:r>
          </w:p>
        </w:tc>
      </w:tr>
      <w:tr w:rsidR="003A0DEB">
        <w:trPr>
          <w:cantSplit/>
        </w:trPr>
        <w:tc>
          <w:tcPr>
            <w:tcW w:w="619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ind w:left="357" w:hanging="357"/>
              <w:rPr>
                <w:rFonts w:ascii="Times New Roman" w:hAnsi="Times New Roman" w:cs="Times New Roman"/>
                <w:kern w:val="24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kern w:val="24"/>
                <w:sz w:val="20"/>
                <w:szCs w:val="20"/>
                <w:lang w:eastAsia="en-GB"/>
              </w:rPr>
              <w:t>Body mass index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vertAlign w:val="superscript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  <w:t>&gt;25 kg/m</w:t>
            </w: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vertAlign w:val="superscript"/>
                <w:lang w:eastAsia="en-GB"/>
              </w:rPr>
              <w:t>2</w:t>
            </w:r>
          </w:p>
          <w:p w:rsidR="003A0DEB" w:rsidRDefault="003A0DEB" w:rsidP="002C5ACC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>≤</w:t>
            </w: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  <w:t>25 kg/m</w:t>
            </w: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vertAlign w:val="superscript"/>
                <w:lang w:eastAsia="en-GB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270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271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93.3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91.9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Reference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0.81 (0.42–1.54)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  <w:t>0.5195</w:t>
            </w:r>
          </w:p>
        </w:tc>
      </w:tr>
      <w:tr w:rsidR="003A0DEB">
        <w:trPr>
          <w:cantSplit/>
        </w:trPr>
        <w:tc>
          <w:tcPr>
            <w:tcW w:w="619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>Age at menopause (median = 50.0 years)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>≤Median</w:t>
            </w:r>
          </w:p>
          <w:p w:rsidR="003A0DEB" w:rsidRDefault="003A0DEB" w:rsidP="002C5ACC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>&gt;Median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343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160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92.7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96.3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Reference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2.02 (0.81–5.02)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0.1312</w:t>
            </w:r>
          </w:p>
        </w:tc>
      </w:tr>
      <w:tr w:rsidR="003A0DEB">
        <w:trPr>
          <w:cantSplit/>
        </w:trPr>
        <w:tc>
          <w:tcPr>
            <w:tcW w:w="619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ind w:left="714" w:hanging="71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Cause of menopause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>Natural onset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>Clinically/surgically induced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>Not available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392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104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95.2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89.4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84.4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Reference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0.43 (0.20–0.94)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0.27 (0.13–0.56)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0.0014</w:t>
            </w:r>
            <w:r>
              <w:rPr>
                <w:rFonts w:ascii="Arial" w:hAnsi="Arial" w:cs="Arial"/>
                <w:sz w:val="20"/>
                <w:szCs w:val="20"/>
                <w:lang w:eastAsia="en-GB"/>
              </w:rPr>
              <w:t>*</w:t>
            </w:r>
          </w:p>
        </w:tc>
      </w:tr>
      <w:tr w:rsidR="003A0DEB">
        <w:trPr>
          <w:cantSplit/>
        </w:trPr>
        <w:tc>
          <w:tcPr>
            <w:tcW w:w="619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ind w:left="357" w:hanging="357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  <w:t>Height loss since maximal height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  <w:t>No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  <w:t>141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  <w:t>422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  <w:t>92.9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  <w:t>92.2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  <w:t>Reference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  <w:t>0.90 (0.43–1.88)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  <w:t>0.7783</w:t>
            </w:r>
          </w:p>
        </w:tc>
      </w:tr>
      <w:tr w:rsidR="003A0DEB">
        <w:trPr>
          <w:cantSplit/>
        </w:trPr>
        <w:tc>
          <w:tcPr>
            <w:tcW w:w="619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Height loss  (median = 4.0 cm)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  <w:t>≤Median</w:t>
            </w:r>
          </w:p>
          <w:p w:rsidR="003A0DEB" w:rsidRDefault="003A0DEB" w:rsidP="002C5ACC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  <w:t>&gt;Median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255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165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92.5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91.5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Reference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0.87 (0.42–1.78)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0.7007</w:t>
            </w:r>
          </w:p>
        </w:tc>
      </w:tr>
      <w:tr w:rsidR="003A0DEB">
        <w:trPr>
          <w:cantSplit/>
        </w:trPr>
        <w:tc>
          <w:tcPr>
            <w:tcW w:w="619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ind w:left="357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Time since most recent historical fracture to first injection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&lt;12 months</w:t>
            </w:r>
          </w:p>
          <w:p w:rsidR="003A0DEB" w:rsidRDefault="003A0DEB" w:rsidP="002C5ACC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≥12 months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97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292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90.7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91.8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Reference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1.14 (0.51–2.55)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0.7458</w:t>
            </w:r>
          </w:p>
        </w:tc>
      </w:tr>
      <w:tr w:rsidR="003A0DEB">
        <w:trPr>
          <w:cantSplit/>
        </w:trPr>
        <w:tc>
          <w:tcPr>
            <w:tcW w:w="619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ind w:left="357" w:hanging="357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>Historical fracture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  <w:t>194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  <w:t>405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  <w:t>94.3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  <w:t>91.6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  <w:t>Reference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  <w:t>0.66 (0.32–1.32)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  <w:t>0.2393</w:t>
            </w:r>
          </w:p>
        </w:tc>
      </w:tr>
      <w:tr w:rsidR="003A0DEB">
        <w:trPr>
          <w:cantSplit/>
        </w:trPr>
        <w:tc>
          <w:tcPr>
            <w:tcW w:w="619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ind w:left="357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lastRenderedPageBreak/>
              <w:t>Historical hip fracture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No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579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20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92.6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90.0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Reference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0.72 (0.16–3.21)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0.6682</w:t>
            </w:r>
          </w:p>
        </w:tc>
      </w:tr>
      <w:tr w:rsidR="003A0DEB">
        <w:trPr>
          <w:cantSplit/>
        </w:trPr>
        <w:tc>
          <w:tcPr>
            <w:tcW w:w="619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ind w:left="357" w:hanging="3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Historical vertebral fracture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417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93.8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89.6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Reference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0.57 (0.31–1.06)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0.0756</w:t>
            </w:r>
          </w:p>
        </w:tc>
      </w:tr>
      <w:tr w:rsidR="003A0DEB">
        <w:trPr>
          <w:cantSplit/>
        </w:trPr>
        <w:tc>
          <w:tcPr>
            <w:tcW w:w="619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≥2 historical fractures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413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186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93.9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89.2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Reference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0.53 (0.29–0.99)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0.0462</w:t>
            </w:r>
            <w:r>
              <w:rPr>
                <w:rFonts w:ascii="Arial" w:hAnsi="Arial" w:cs="Arial"/>
                <w:sz w:val="20"/>
                <w:szCs w:val="20"/>
                <w:lang w:eastAsia="en-GB"/>
              </w:rPr>
              <w:t>*</w:t>
            </w:r>
          </w:p>
        </w:tc>
      </w:tr>
      <w:tr w:rsidR="003A0DEB">
        <w:trPr>
          <w:cantSplit/>
        </w:trPr>
        <w:tc>
          <w:tcPr>
            <w:tcW w:w="619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ind w:left="357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Hospitalization for osteoporotic fracture before enrollment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No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487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107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92.8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91.6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Reference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0.84 (0.39–1.81)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0.6618</w:t>
            </w:r>
          </w:p>
        </w:tc>
      </w:tr>
      <w:tr w:rsidR="003A0DEB">
        <w:trPr>
          <w:cantSplit/>
        </w:trPr>
        <w:tc>
          <w:tcPr>
            <w:tcW w:w="619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ind w:left="357" w:hanging="3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≥1 falls in the </w:t>
            </w:r>
            <w:r w:rsidR="0095371B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ast 12 months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477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92.9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89.4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Reference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0.65 (0.32–1.33)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0.2362</w:t>
            </w:r>
          </w:p>
        </w:tc>
      </w:tr>
      <w:tr w:rsidR="003A0DEB">
        <w:trPr>
          <w:cantSplit/>
        </w:trPr>
        <w:tc>
          <w:tcPr>
            <w:tcW w:w="619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ind w:left="357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≥1 occurrence of immobility experienced during the past 12 months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No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542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46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92.3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93.5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Reference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1.20 (0.36–4.05)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0.7641</w:t>
            </w:r>
          </w:p>
        </w:tc>
      </w:tr>
      <w:tr w:rsidR="003A0DEB">
        <w:trPr>
          <w:cantSplit/>
        </w:trPr>
        <w:tc>
          <w:tcPr>
            <w:tcW w:w="619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ind w:left="357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Parental history of fractured hip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No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Yes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Unknown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272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54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273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91.9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92.6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93.0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Reference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1.10 (0.36–3.33)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1.18 (0.62–2.23)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0.8824</w:t>
            </w:r>
          </w:p>
        </w:tc>
      </w:tr>
      <w:tr w:rsidR="003A0DEB">
        <w:trPr>
          <w:cantSplit/>
        </w:trPr>
        <w:tc>
          <w:tcPr>
            <w:tcW w:w="619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ind w:left="357" w:hanging="3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Current smoker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479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50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91.9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98.0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Reference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4.34 (0.58–32.31)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0.1515</w:t>
            </w:r>
          </w:p>
        </w:tc>
      </w:tr>
      <w:tr w:rsidR="003A0DEB">
        <w:trPr>
          <w:cantSplit/>
        </w:trPr>
        <w:tc>
          <w:tcPr>
            <w:tcW w:w="619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ind w:left="357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Former smoker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No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477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52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92.7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90.4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Reference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0.74 (0.28–1.99)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0.5559</w:t>
            </w:r>
          </w:p>
        </w:tc>
      </w:tr>
      <w:tr w:rsidR="003A0DEB">
        <w:trPr>
          <w:cantSplit/>
        </w:trPr>
        <w:tc>
          <w:tcPr>
            <w:tcW w:w="619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ind w:left="357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Prior glucocorticoid use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 xml:space="preserve">No 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510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73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92.5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91.8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Reference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0.90 (0.37–2.21)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0.8163</w:t>
            </w:r>
          </w:p>
        </w:tc>
      </w:tr>
      <w:tr w:rsidR="003A0DEB">
        <w:trPr>
          <w:cantSplit/>
        </w:trPr>
        <w:tc>
          <w:tcPr>
            <w:tcW w:w="619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ind w:left="357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Prior secondary osteoporosis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No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527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66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93.0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89.4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Reference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0.64 (0.27–1.49)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0.2985</w:t>
            </w:r>
          </w:p>
        </w:tc>
      </w:tr>
      <w:tr w:rsidR="003A0DEB">
        <w:trPr>
          <w:cantSplit/>
          <w:trHeight w:val="469"/>
        </w:trPr>
        <w:tc>
          <w:tcPr>
            <w:tcW w:w="619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ind w:left="357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≥3 units of alcohol per day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No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497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92.4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100.0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Reference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NE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NE</w:t>
            </w:r>
          </w:p>
        </w:tc>
      </w:tr>
      <w:tr w:rsidR="003A0DEB">
        <w:trPr>
          <w:cantSplit/>
        </w:trPr>
        <w:tc>
          <w:tcPr>
            <w:tcW w:w="619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tabs>
                <w:tab w:val="right" w:pos="5880"/>
              </w:tabs>
              <w:spacing w:after="0" w:line="480" w:lineRule="auto"/>
              <w:ind w:left="357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Total hip T-score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&gt;−2.5</w:t>
            </w:r>
          </w:p>
          <w:p w:rsidR="003A0DEB" w:rsidRDefault="003A0DEB" w:rsidP="002C5ACC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≤−2.5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277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136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91.3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94.1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Reference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1.52 (0.66–3.47)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0.3233</w:t>
            </w:r>
          </w:p>
        </w:tc>
      </w:tr>
      <w:tr w:rsidR="003A0DEB">
        <w:trPr>
          <w:cantSplit/>
        </w:trPr>
        <w:tc>
          <w:tcPr>
            <w:tcW w:w="619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ind w:left="357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Femoral neck T-score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&gt;−2.5</w:t>
            </w:r>
          </w:p>
          <w:p w:rsidR="003A0DEB" w:rsidRDefault="003A0DEB" w:rsidP="002C5ACC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≤−2.5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265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198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90.6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92.9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Reference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1.37 (0.69–2.71)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0.3667</w:t>
            </w:r>
          </w:p>
        </w:tc>
      </w:tr>
      <w:tr w:rsidR="003A0DEB">
        <w:trPr>
          <w:cantSplit/>
        </w:trPr>
        <w:tc>
          <w:tcPr>
            <w:tcW w:w="619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ind w:left="357" w:hanging="357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Lumbar</w:t>
            </w:r>
            <w:r w:rsidR="0095371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spine T-score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&gt;−2.5</w:t>
            </w:r>
          </w:p>
          <w:p w:rsidR="003A0DEB" w:rsidRDefault="003A0DEB" w:rsidP="002C5ACC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≤−2.5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151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348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88.1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93.4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Reference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1.91 (1.00–3.66)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0.0502</w:t>
            </w:r>
          </w:p>
        </w:tc>
      </w:tr>
      <w:tr w:rsidR="003A0DEB">
        <w:trPr>
          <w:cantSplit/>
        </w:trPr>
        <w:tc>
          <w:tcPr>
            <w:tcW w:w="619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ind w:left="357" w:hanging="3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Age group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&lt;65 years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65–74 years</w:t>
            </w:r>
          </w:p>
          <w:p w:rsidR="003A0DEB" w:rsidRDefault="003A0DEB" w:rsidP="002C5ACC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≥75 years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119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228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252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94.1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94.3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90.1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Reference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1.03 (0.40–2.66)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0.57 (0.24–1.35)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0.1693</w:t>
            </w:r>
          </w:p>
        </w:tc>
      </w:tr>
      <w:tr w:rsidR="003A0DEB">
        <w:trPr>
          <w:cantSplit/>
        </w:trPr>
        <w:tc>
          <w:tcPr>
            <w:tcW w:w="619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Time since PMO diagnosis (median = 5.0 years)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≤Median</w:t>
            </w:r>
          </w:p>
          <w:p w:rsidR="003A0DEB" w:rsidRDefault="003A0DEB" w:rsidP="002C5ACC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&gt;Median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312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273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92.3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93.4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Reference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1.18 (0.63–2.23)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0.6078</w:t>
            </w:r>
          </w:p>
        </w:tc>
      </w:tr>
      <w:tr w:rsidR="003A0DEB">
        <w:trPr>
          <w:cantSplit/>
        </w:trPr>
        <w:tc>
          <w:tcPr>
            <w:tcW w:w="619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Number of prescription medications taken at baseline (median = 2.0)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≤Median</w:t>
            </w:r>
          </w:p>
          <w:p w:rsidR="003A0DEB" w:rsidRDefault="003A0DEB" w:rsidP="002C5ACC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&gt;Median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367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232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93.2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91.4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Reference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0.77 (0.42–1.43)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0.4143</w:t>
            </w:r>
          </w:p>
        </w:tc>
      </w:tr>
      <w:tr w:rsidR="003A0DEB">
        <w:trPr>
          <w:cantSplit/>
        </w:trPr>
        <w:tc>
          <w:tcPr>
            <w:tcW w:w="619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ind w:left="357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Number of comorbidities (median = 3.0)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≤Median</w:t>
            </w:r>
          </w:p>
          <w:p w:rsidR="003A0DEB" w:rsidRDefault="003A0DEB" w:rsidP="002C5ACC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&gt;Median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337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262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92.6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92.4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Reference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0.97 (0.53–1.79)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0.9209</w:t>
            </w:r>
          </w:p>
        </w:tc>
      </w:tr>
      <w:tr w:rsidR="003A0DEB">
        <w:trPr>
          <w:cantSplit/>
        </w:trPr>
        <w:tc>
          <w:tcPr>
            <w:tcW w:w="619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ind w:left="357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Mental illness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No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538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61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92.6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91.8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Reference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0.90 (0.34–2.37)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0.8307</w:t>
            </w:r>
          </w:p>
        </w:tc>
      </w:tr>
      <w:tr w:rsidR="003A0DEB">
        <w:trPr>
          <w:cantSplit/>
        </w:trPr>
        <w:tc>
          <w:tcPr>
            <w:tcW w:w="619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ind w:left="357" w:hanging="3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Any chronic medical condition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33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566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84.8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92.9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Reference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2.35 (0.86–6.41)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0.0956</w:t>
            </w:r>
          </w:p>
        </w:tc>
      </w:tr>
      <w:tr w:rsidR="003A0DEB">
        <w:trPr>
          <w:cantSplit/>
        </w:trPr>
        <w:tc>
          <w:tcPr>
            <w:tcW w:w="619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ind w:left="357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Number of chronic medical conditions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2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3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33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198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222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128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84.8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93.9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91.9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93.8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88.9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Reference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2.77 (0.91–8.45)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2.02 (0.70–5.88)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2.68 (0.81–8.81)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1.43 (0.25–8.23)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0.4167</w:t>
            </w:r>
          </w:p>
        </w:tc>
      </w:tr>
      <w:tr w:rsidR="003A0DEB">
        <w:trPr>
          <w:cantSplit/>
        </w:trPr>
        <w:tc>
          <w:tcPr>
            <w:tcW w:w="619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ind w:left="357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Ever exposed to prior PMO therapy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No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66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532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89.4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92.9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Reference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1.54 (0.66–3.61)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0.3178</w:t>
            </w:r>
          </w:p>
        </w:tc>
      </w:tr>
      <w:tr w:rsidR="003A0DEB">
        <w:trPr>
          <w:cantSplit/>
        </w:trPr>
        <w:tc>
          <w:tcPr>
            <w:tcW w:w="619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 xml:space="preserve">Exposed </w:t>
            </w:r>
            <w:r w:rsidRPr="00CC76C4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to prior PMO therapy during the 12 months prior to enrollment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No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133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466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91.7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92.7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Reference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1.15 (0.56–2.33)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0.7070</w:t>
            </w:r>
          </w:p>
        </w:tc>
      </w:tr>
      <w:tr w:rsidR="003A0DEB">
        <w:trPr>
          <w:cantSplit/>
        </w:trPr>
        <w:tc>
          <w:tcPr>
            <w:tcW w:w="619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ind w:left="357" w:hanging="3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Calcium and/or vitamin D supplementation at baseline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198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401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89.9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93.8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Reference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1.69 (0.91–3.12)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0.0942</w:t>
            </w:r>
          </w:p>
        </w:tc>
      </w:tr>
      <w:tr w:rsidR="003A0DEB">
        <w:trPr>
          <w:cantSplit/>
        </w:trPr>
        <w:tc>
          <w:tcPr>
            <w:tcW w:w="619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History of discontinuation of prescription osteoporosis therapy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Not applicable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354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102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138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94.9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89.2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88.4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Reference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0.44 (0.20–0.97)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0.41 (0.20–0.83)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0.0241</w:t>
            </w:r>
            <w:r>
              <w:rPr>
                <w:rFonts w:ascii="Arial" w:hAnsi="Arial" w:cs="Arial"/>
                <w:sz w:val="20"/>
                <w:szCs w:val="20"/>
                <w:lang w:eastAsia="en-GB"/>
              </w:rPr>
              <w:t>*</w:t>
            </w:r>
          </w:p>
        </w:tc>
      </w:tr>
      <w:tr w:rsidR="003A0DEB">
        <w:trPr>
          <w:cantSplit/>
        </w:trPr>
        <w:tc>
          <w:tcPr>
            <w:tcW w:w="619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SF-12 Physical Component Summary score at baseline (median = 40.2)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eastAsia="en-GB"/>
              </w:rPr>
              <w:t>e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≤Median</w:t>
            </w:r>
          </w:p>
          <w:p w:rsidR="003A0DEB" w:rsidRDefault="003A0DEB" w:rsidP="002C5ACC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&gt;Median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260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259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92.3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93.8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Reference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1.27 (0.64–2.50)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0.4979</w:t>
            </w:r>
          </w:p>
        </w:tc>
      </w:tr>
      <w:tr w:rsidR="003A0DEB">
        <w:trPr>
          <w:cantSplit/>
        </w:trPr>
        <w:tc>
          <w:tcPr>
            <w:tcW w:w="619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SF-12 Mental Component Summary score at baseline (median = 49.6)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e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≤Median</w:t>
            </w:r>
          </w:p>
          <w:p w:rsidR="003A0DEB" w:rsidRDefault="003A0DEB" w:rsidP="002C5ACC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&gt;Median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260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259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91.5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94.6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Reference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1.62 (0.81–3.24)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0.1740</w:t>
            </w:r>
          </w:p>
        </w:tc>
      </w:tr>
      <w:tr w:rsidR="003A0DEB">
        <w:trPr>
          <w:cantSplit/>
        </w:trPr>
        <w:tc>
          <w:tcPr>
            <w:tcW w:w="619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MMAS-8 summary score at baseline (median = 7.0)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eastAsia="en-GB"/>
              </w:rPr>
              <w:t>f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≤Median</w:t>
            </w:r>
          </w:p>
          <w:p w:rsidR="003A0DEB" w:rsidRDefault="003A0DEB" w:rsidP="002C5ACC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&gt;Median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250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212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91.2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93.4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Reference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1.36 (0.68–2.74)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0.3818</w:t>
            </w:r>
          </w:p>
        </w:tc>
      </w:tr>
      <w:tr w:rsidR="003A0DEB">
        <w:trPr>
          <w:cantSplit/>
        </w:trPr>
        <w:tc>
          <w:tcPr>
            <w:tcW w:w="619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Physician specialty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Orthopedics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Rheumatology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Internal medicine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Endocrinology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Obstetrics/gynecology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Family practice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Other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302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111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72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28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19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46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91.7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93.7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100.0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90.3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89.3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100.0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93.5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Reference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1.34 (0.56–3.19)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NE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0.84 (0.35–2.02)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0.75 (0.21–2.67)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NE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1.29 (0.37–4.47)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0.9792</w:t>
            </w:r>
          </w:p>
        </w:tc>
      </w:tr>
      <w:tr w:rsidR="003A0DEB">
        <w:trPr>
          <w:cantSplit/>
        </w:trPr>
        <w:tc>
          <w:tcPr>
            <w:tcW w:w="619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Physician gender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Male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508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71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92.9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87.3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Reference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0.53 (0.24–1.14)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0.1045</w:t>
            </w:r>
          </w:p>
        </w:tc>
      </w:tr>
      <w:tr w:rsidR="003A0DEB">
        <w:trPr>
          <w:cantSplit/>
        </w:trPr>
        <w:tc>
          <w:tcPr>
            <w:tcW w:w="619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Physician years of practice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≥10 years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5–9 years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489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91.4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96.7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Reference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2.72 (0.83–8.98)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0.0999</w:t>
            </w:r>
          </w:p>
        </w:tc>
      </w:tr>
      <w:tr w:rsidR="003A0DEB">
        <w:trPr>
          <w:cantSplit/>
        </w:trPr>
        <w:tc>
          <w:tcPr>
            <w:tcW w:w="619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Sole physician or group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Sole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Group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283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296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94.0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90.5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Reference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0.61 (0.33–1.14)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0.1239</w:t>
            </w:r>
          </w:p>
        </w:tc>
      </w:tr>
      <w:tr w:rsidR="003A0DEB">
        <w:trPr>
          <w:cantSplit/>
        </w:trPr>
        <w:tc>
          <w:tcPr>
            <w:tcW w:w="619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Physician practice reminder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Yes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427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155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92.3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92.9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Reference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1.10 (0.54–2.23)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0.7990</w:t>
            </w:r>
          </w:p>
        </w:tc>
      </w:tr>
      <w:tr w:rsidR="003A0DEB">
        <w:trPr>
          <w:cantSplit/>
        </w:trPr>
        <w:tc>
          <w:tcPr>
            <w:tcW w:w="619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Center type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Public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Private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Other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203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358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92.1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93.0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77.8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Reference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1.14 (0.59–2.19)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0.30 (0.09–1.02)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0.0859</w:t>
            </w:r>
          </w:p>
        </w:tc>
      </w:tr>
      <w:tr w:rsidR="003A0DEB">
        <w:trPr>
          <w:cantSplit/>
        </w:trPr>
        <w:tc>
          <w:tcPr>
            <w:tcW w:w="619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Center academic or non-academic based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Academic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Non-academic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Both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Not available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214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306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51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91.1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92.5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94.1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100.0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Reference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1.20 (0.64–2.26)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1.56 (0.44–5.48)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NE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0.8905</w:t>
            </w:r>
          </w:p>
        </w:tc>
      </w:tr>
      <w:tr w:rsidR="003A0DEB">
        <w:trPr>
          <w:cantSplit/>
        </w:trPr>
        <w:tc>
          <w:tcPr>
            <w:tcW w:w="619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Participating in the Prolong patient support program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Yes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52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363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88.5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92.8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Reference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1.69 (0.66–4.33)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0.2734</w:t>
            </w:r>
          </w:p>
        </w:tc>
      </w:tr>
      <w:tr w:rsidR="003A0DEB">
        <w:trPr>
          <w:cantSplit/>
        </w:trPr>
        <w:tc>
          <w:tcPr>
            <w:tcW w:w="619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Size of the clinic (number of physicians)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2–3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4–5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6–10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188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78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30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89.4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92.3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93.3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Reference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1.43 (0.55–3.71)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1.67 (0.37–7.53)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0.6530</w:t>
            </w:r>
          </w:p>
        </w:tc>
      </w:tr>
      <w:tr w:rsidR="003A0DEB">
        <w:trPr>
          <w:cantSplit/>
        </w:trPr>
        <w:tc>
          <w:tcPr>
            <w:tcW w:w="619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 xml:space="preserve">Geographic region 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Urban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Rural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493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86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92.3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91.9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Reference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0.94 (0.41–2.19)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0.8903</w:t>
            </w:r>
          </w:p>
        </w:tc>
      </w:tr>
      <w:tr w:rsidR="003A0DEB">
        <w:trPr>
          <w:cantSplit/>
        </w:trPr>
        <w:tc>
          <w:tcPr>
            <w:tcW w:w="619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Type of healthcare insurance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Private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Public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Other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100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486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93.0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92.4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100.0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Reference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0.91 (0.40–2.11)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NE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0.9777</w:t>
            </w:r>
          </w:p>
        </w:tc>
      </w:tr>
      <w:tr w:rsidR="003A0DEB">
        <w:trPr>
          <w:cantSplit/>
        </w:trPr>
        <w:tc>
          <w:tcPr>
            <w:tcW w:w="619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Highest education level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University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No formal education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Elementary education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Secondary education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Not available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47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15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132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75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240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89.4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93.3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94.7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89.3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91.3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Reference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1.67 (0.18–15.51)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2.13 (0.64–7.06)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1.00 (0.31–3.25)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1.24 (0.44–3.48)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0.6434</w:t>
            </w:r>
          </w:p>
        </w:tc>
      </w:tr>
      <w:tr w:rsidR="003A0DEB">
        <w:trPr>
          <w:cantSplit/>
        </w:trPr>
        <w:tc>
          <w:tcPr>
            <w:tcW w:w="619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ind w:left="357" w:hanging="357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  <w:t>Living situation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Nursing home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At home with spouse/family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At home with care/support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At home alone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Not available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  <w:t>5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  <w:t>253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  <w:t>12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  <w:t>145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  <w:t>115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  <w:t>80.0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  <w:t>92.5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  <w:t>91.7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  <w:t>89.7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  <w:t>95.7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  <w:t>Reference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  <w:t>3.08 (0.33–28.94)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  <w:t>2.75 (0.14–55.17)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  <w:t>2.17 (0.23–20.67)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  <w:t>5.50 (0.52–58.69)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  <w:t>0.3978</w:t>
            </w:r>
          </w:p>
        </w:tc>
      </w:tr>
      <w:tr w:rsidR="003A0DEB">
        <w:trPr>
          <w:cantSplit/>
        </w:trPr>
        <w:tc>
          <w:tcPr>
            <w:tcW w:w="619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ind w:left="357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Employment status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Employed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Self employed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Unemployed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Retired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52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4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11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492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90.4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100.0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90.9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92.3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Reference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NE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1.06 (0.11–10.12)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1.27 (0.48–3.39)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0.9691</w:t>
            </w:r>
          </w:p>
        </w:tc>
      </w:tr>
      <w:tr w:rsidR="003A0DEB">
        <w:trPr>
          <w:cantSplit/>
        </w:trPr>
        <w:tc>
          <w:tcPr>
            <w:tcW w:w="619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ind w:left="357" w:hanging="357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  <w:t>Marital status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Married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Never married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Divorced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Separated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Widowed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244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22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19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6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144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92.6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86.4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89.5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83.3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91.7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Reference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0.50 (0.14–1.87)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0.68 (0.14–3.16)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0.40 (0.04–3.59)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0.88 (0.41–1.88)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  <w:t>0.7880</w:t>
            </w:r>
          </w:p>
        </w:tc>
      </w:tr>
      <w:tr w:rsidR="003A0DEB">
        <w:trPr>
          <w:cantSplit/>
        </w:trPr>
        <w:tc>
          <w:tcPr>
            <w:tcW w:w="619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ind w:left="357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Proximity to clinic/practice (median = 20.0 min)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≤Median</w:t>
            </w:r>
          </w:p>
          <w:p w:rsidR="003A0DEB" w:rsidRDefault="003A0DEB" w:rsidP="002C5ACC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&gt;Median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222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185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93.2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90.8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Reference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0.72 (0.35–1.48)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0.3657</w:t>
            </w:r>
          </w:p>
        </w:tc>
      </w:tr>
      <w:tr w:rsidR="003A0DEB">
        <w:trPr>
          <w:cantSplit/>
        </w:trPr>
        <w:tc>
          <w:tcPr>
            <w:tcW w:w="619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A0DEB" w:rsidRDefault="003A0DEB">
            <w:pPr>
              <w:spacing w:after="0" w:line="480" w:lineRule="auto"/>
              <w:ind w:left="357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Method of transport to health provider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Own vehicle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Walk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Cycle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Public transport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Other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173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48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4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99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94.2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91.7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100.0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87.9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88.7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Reference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0.67 (0.20–2.25)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NE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0.44 (0.18–1.07)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0.48 (0.18–1.33)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0.4432</w:t>
            </w:r>
          </w:p>
        </w:tc>
      </w:tr>
    </w:tbl>
    <w:p w:rsidR="003A0DEB" w:rsidRDefault="003A0DEB">
      <w:pPr>
        <w:spacing w:line="360" w:lineRule="auto"/>
        <w:rPr>
          <w:rFonts w:ascii="Times New Roman" w:hAnsi="Times New Roman" w:cs="Times New Roman"/>
        </w:rPr>
      </w:pPr>
      <w:r>
        <w:rPr>
          <w:rFonts w:ascii="Arial" w:hAnsi="Arial" w:cs="Arial"/>
        </w:rPr>
        <w:t>*</w:t>
      </w:r>
      <w:r>
        <w:rPr>
          <w:rFonts w:ascii="Times New Roman" w:hAnsi="Times New Roman" w:cs="Times New Roman"/>
        </w:rPr>
        <w:t xml:space="preserve">Statistically significant: </w:t>
      </w:r>
      <w:r>
        <w:rPr>
          <w:rFonts w:ascii="Times New Roman" w:hAnsi="Times New Roman" w:cs="Times New Roman"/>
          <w:i/>
          <w:iCs/>
        </w:rPr>
        <w:t>p </w:t>
      </w:r>
      <w:r>
        <w:rPr>
          <w:rFonts w:ascii="Times New Roman" w:hAnsi="Times New Roman" w:cs="Times New Roman"/>
        </w:rPr>
        <w:t>&lt; 0.05</w:t>
      </w:r>
    </w:p>
    <w:p w:rsidR="003A0DEB" w:rsidRDefault="003A0DEB">
      <w:pPr>
        <w:spacing w:line="360" w:lineRule="auto"/>
        <w:rPr>
          <w:rFonts w:ascii="Times New Roman" w:hAnsi="Times New Roman" w:cs="Times New Roman"/>
        </w:rPr>
      </w:pPr>
      <w:proofErr w:type="spellStart"/>
      <w:proofErr w:type="gramStart"/>
      <w:r>
        <w:rPr>
          <w:rFonts w:ascii="Times New Roman" w:hAnsi="Times New Roman" w:cs="Times New Roman"/>
          <w:vertAlign w:val="superscript"/>
        </w:rPr>
        <w:t>a</w:t>
      </w:r>
      <w:r>
        <w:rPr>
          <w:rFonts w:ascii="Times New Roman" w:hAnsi="Times New Roman" w:cs="Times New Roman"/>
          <w:i/>
          <w:iCs/>
        </w:rPr>
        <w:t>N</w:t>
      </w:r>
      <w:proofErr w:type="spellEnd"/>
      <w:proofErr w:type="gramEnd"/>
      <w:r>
        <w:rPr>
          <w:rFonts w:ascii="Times New Roman" w:hAnsi="Times New Roman" w:cs="Times New Roman"/>
        </w:rPr>
        <w:t xml:space="preserve"> is the number of patients in the full analysis set within the covariate group</w:t>
      </w:r>
    </w:p>
    <w:p w:rsidR="003A0DEB" w:rsidRDefault="003A0DEB">
      <w:pPr>
        <w:spacing w:line="360" w:lineRule="auto"/>
        <w:rPr>
          <w:rFonts w:ascii="Times New Roman" w:hAnsi="Times New Roman" w:cs="Times New Roman"/>
        </w:rPr>
      </w:pPr>
      <w:proofErr w:type="spellStart"/>
      <w:proofErr w:type="gramStart"/>
      <w:r>
        <w:rPr>
          <w:rFonts w:ascii="Times New Roman" w:hAnsi="Times New Roman" w:cs="Times New Roman"/>
          <w:vertAlign w:val="superscript"/>
        </w:rPr>
        <w:t>b</w:t>
      </w:r>
      <w:r>
        <w:rPr>
          <w:rFonts w:ascii="Times New Roman" w:hAnsi="Times New Roman" w:cs="Times New Roman"/>
        </w:rPr>
        <w:t>Univariate</w:t>
      </w:r>
      <w:proofErr w:type="spellEnd"/>
      <w:proofErr w:type="gramEnd"/>
      <w:r>
        <w:rPr>
          <w:rFonts w:ascii="Times New Roman" w:hAnsi="Times New Roman" w:cs="Times New Roman"/>
        </w:rPr>
        <w:t xml:space="preserve"> logistic regression: odds ratio &lt;1 favors the reference category</w:t>
      </w:r>
    </w:p>
    <w:p w:rsidR="003A0DEB" w:rsidRDefault="003A0DEB">
      <w:pPr>
        <w:spacing w:line="360" w:lineRule="auto"/>
        <w:rPr>
          <w:rFonts w:ascii="Times New Roman" w:hAnsi="Times New Roman" w:cs="Times New Roman"/>
        </w:rPr>
      </w:pPr>
      <w:proofErr w:type="spellStart"/>
      <w:proofErr w:type="gramStart"/>
      <w:r>
        <w:rPr>
          <w:rFonts w:ascii="Times New Roman" w:hAnsi="Times New Roman" w:cs="Times New Roman"/>
          <w:vertAlign w:val="superscript"/>
        </w:rPr>
        <w:t>c</w:t>
      </w:r>
      <w:r>
        <w:rPr>
          <w:rFonts w:ascii="Times New Roman" w:hAnsi="Times New Roman" w:cs="Times New Roman"/>
        </w:rPr>
        <w:t>Active</w:t>
      </w:r>
      <w:proofErr w:type="spellEnd"/>
      <w:proofErr w:type="gramEnd"/>
      <w:r>
        <w:rPr>
          <w:rFonts w:ascii="Times New Roman" w:hAnsi="Times New Roman" w:cs="Times New Roman"/>
        </w:rPr>
        <w:t xml:space="preserve"> reminder includes telephone call, mailing, and e</w:t>
      </w:r>
      <w:r w:rsidR="0095371B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mail or SMS</w:t>
      </w:r>
    </w:p>
    <w:p w:rsidR="003A0DEB" w:rsidRDefault="003A0DEB">
      <w:pPr>
        <w:spacing w:line="360" w:lineRule="auto"/>
        <w:rPr>
          <w:rFonts w:ascii="Times New Roman" w:hAnsi="Times New Roman" w:cs="Times New Roman"/>
        </w:rPr>
      </w:pPr>
      <w:proofErr w:type="spellStart"/>
      <w:proofErr w:type="gramStart"/>
      <w:r>
        <w:rPr>
          <w:rFonts w:ascii="Times New Roman" w:hAnsi="Times New Roman" w:cs="Times New Roman"/>
          <w:vertAlign w:val="superscript"/>
        </w:rPr>
        <w:t>d</w:t>
      </w:r>
      <w:r>
        <w:rPr>
          <w:rFonts w:ascii="Times New Roman" w:hAnsi="Times New Roman" w:cs="Times New Roman"/>
        </w:rPr>
        <w:t>Passive</w:t>
      </w:r>
      <w:proofErr w:type="spellEnd"/>
      <w:proofErr w:type="gramEnd"/>
      <w:r>
        <w:rPr>
          <w:rFonts w:ascii="Times New Roman" w:hAnsi="Times New Roman" w:cs="Times New Roman"/>
        </w:rPr>
        <w:t xml:space="preserve"> reminder includes appointment card, sticker from drug package, and magazine</w:t>
      </w:r>
    </w:p>
    <w:p w:rsidR="003A0DEB" w:rsidRDefault="003A0DEB">
      <w:pPr>
        <w:spacing w:line="360" w:lineRule="auto"/>
        <w:rPr>
          <w:rFonts w:ascii="Times New Roman" w:hAnsi="Times New Roman" w:cs="Times New Roman"/>
        </w:rPr>
      </w:pPr>
      <w:proofErr w:type="spellStart"/>
      <w:proofErr w:type="gramStart"/>
      <w:r>
        <w:rPr>
          <w:rFonts w:ascii="Times New Roman" w:hAnsi="Times New Roman" w:cs="Times New Roman"/>
          <w:vertAlign w:val="superscript"/>
        </w:rPr>
        <w:t>e</w:t>
      </w:r>
      <w:r>
        <w:rPr>
          <w:rFonts w:ascii="Times New Roman" w:hAnsi="Times New Roman" w:cs="Times New Roman"/>
        </w:rPr>
        <w:t>Analyzed</w:t>
      </w:r>
      <w:proofErr w:type="spellEnd"/>
      <w:proofErr w:type="gramEnd"/>
      <w:r>
        <w:rPr>
          <w:rFonts w:ascii="Times New Roman" w:hAnsi="Times New Roman" w:cs="Times New Roman"/>
        </w:rPr>
        <w:t xml:space="preserve"> by </w:t>
      </w:r>
      <w:proofErr w:type="spellStart"/>
      <w:r>
        <w:rPr>
          <w:rFonts w:ascii="Times New Roman" w:hAnsi="Times New Roman" w:cs="Times New Roman"/>
        </w:rPr>
        <w:t>QualityMetric</w:t>
      </w:r>
      <w:proofErr w:type="spellEnd"/>
      <w:r>
        <w:rPr>
          <w:rFonts w:ascii="Times New Roman" w:hAnsi="Times New Roman" w:cs="Times New Roman"/>
        </w:rPr>
        <w:t xml:space="preserve"> Health Outcomes Scoring Software V4.5</w:t>
      </w:r>
    </w:p>
    <w:p w:rsidR="003A0DEB" w:rsidRDefault="003A0DEB">
      <w:pPr>
        <w:spacing w:line="360" w:lineRule="auto"/>
        <w:rPr>
          <w:rFonts w:ascii="Times New Roman" w:hAnsi="Times New Roman" w:cs="Times New Roman"/>
        </w:rPr>
      </w:pPr>
      <w:proofErr w:type="spellStart"/>
      <w:proofErr w:type="gramStart"/>
      <w:r>
        <w:rPr>
          <w:rFonts w:ascii="Times New Roman" w:hAnsi="Times New Roman" w:cs="Times New Roman"/>
          <w:vertAlign w:val="superscript"/>
        </w:rPr>
        <w:t>f</w:t>
      </w:r>
      <w:r>
        <w:rPr>
          <w:rFonts w:ascii="Times New Roman" w:hAnsi="Times New Roman" w:cs="Times New Roman"/>
        </w:rPr>
        <w:t>Score</w:t>
      </w:r>
      <w:proofErr w:type="spellEnd"/>
      <w:proofErr w:type="gramEnd"/>
      <w:r>
        <w:rPr>
          <w:rFonts w:ascii="Times New Roman" w:hAnsi="Times New Roman" w:cs="Times New Roman"/>
        </w:rPr>
        <w:t xml:space="preserve"> calculated using data from patients who answered all questions</w:t>
      </w:r>
    </w:p>
    <w:p w:rsidR="003A0DEB" w:rsidRDefault="003A0DEB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BMD, bone mineral density; CI, confidence interval; MMAS, </w:t>
      </w:r>
      <w:proofErr w:type="spellStart"/>
      <w:r>
        <w:rPr>
          <w:rFonts w:ascii="Times New Roman" w:hAnsi="Times New Roman" w:cs="Times New Roman"/>
        </w:rPr>
        <w:t>Morisky</w:t>
      </w:r>
      <w:proofErr w:type="spellEnd"/>
      <w:r>
        <w:rPr>
          <w:rFonts w:ascii="Times New Roman" w:hAnsi="Times New Roman" w:cs="Times New Roman"/>
        </w:rPr>
        <w:t xml:space="preserve"> Medication-taking Adherence Scale; NE, not estimable; </w:t>
      </w:r>
      <w:r w:rsidR="00647518">
        <w:rPr>
          <w:rFonts w:ascii="Times New Roman" w:hAnsi="Times New Roman" w:cs="Times New Roman"/>
        </w:rPr>
        <w:t xml:space="preserve">OR, odds ratio; </w:t>
      </w:r>
      <w:r>
        <w:rPr>
          <w:rFonts w:ascii="Times New Roman" w:hAnsi="Times New Roman" w:cs="Times New Roman"/>
        </w:rPr>
        <w:t>PMO, postmenopausal osteoporosis</w:t>
      </w:r>
    </w:p>
    <w:p w:rsidR="003A0DEB" w:rsidRDefault="003A0DEB">
      <w:pPr>
        <w:spacing w:line="360" w:lineRule="auto"/>
        <w:rPr>
          <w:rFonts w:ascii="Times New Roman" w:hAnsi="Times New Roman" w:cs="Times New Roman"/>
        </w:rPr>
      </w:pPr>
    </w:p>
    <w:sectPr w:rsidR="003A0DEB" w:rsidSect="003A0DEB">
      <w:headerReference w:type="default" r:id="rId8"/>
      <w:footerReference w:type="default" r:id="rId9"/>
      <w:pgSz w:w="11906" w:h="16838"/>
      <w:pgMar w:top="1440" w:right="851" w:bottom="1440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5ACC" w:rsidRDefault="002C5AC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0">
    <w:p w:rsidR="002C5ACC" w:rsidRDefault="002C5AC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  <w:endnote w:type="continuationNotice" w:id="1">
    <w:p w:rsidR="002C5ACC" w:rsidRDefault="002C5ACC">
      <w:pPr>
        <w:spacing w:after="0" w:line="240" w:lineRule="auto"/>
        <w:rPr>
          <w:rFonts w:ascii="Times New Roman" w:hAnsi="Times New Roman" w:cs="Times New Roman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5ACC" w:rsidRDefault="002C5ACC">
    <w:pPr>
      <w:pStyle w:val="Footer"/>
      <w:jc w:val="right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 xml:space="preserve"> PAGE   \* MERGEFORMAT </w:instrText>
    </w:r>
    <w:r>
      <w:rPr>
        <w:rFonts w:ascii="Times New Roman" w:hAnsi="Times New Roman" w:cs="Times New Roman"/>
      </w:rPr>
      <w:fldChar w:fldCharType="separate"/>
    </w:r>
    <w:r w:rsidR="00F51614">
      <w:rPr>
        <w:rFonts w:ascii="Times New Roman" w:hAnsi="Times New Roman" w:cs="Times New Roman"/>
        <w:noProof/>
      </w:rPr>
      <w:t>8</w:t>
    </w:r>
    <w:r>
      <w:rPr>
        <w:rFonts w:ascii="Times New Roman" w:hAnsi="Times New Roman" w:cs="Times New Roman"/>
      </w:rPr>
      <w:fldChar w:fldCharType="end"/>
    </w:r>
  </w:p>
  <w:p w:rsidR="002C5ACC" w:rsidRDefault="002C5ACC">
    <w:pPr>
      <w:pStyle w:val="Footer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5ACC" w:rsidRDefault="002C5AC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0">
    <w:p w:rsidR="002C5ACC" w:rsidRDefault="002C5AC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  <w:footnote w:type="continuationNotice" w:id="1">
    <w:p w:rsidR="002C5ACC" w:rsidRDefault="002C5ACC">
      <w:pPr>
        <w:spacing w:after="0" w:line="240" w:lineRule="auto"/>
        <w:rPr>
          <w:rFonts w:ascii="Times New Roman" w:hAnsi="Times New Roman" w:cs="Times New Roman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5ACC" w:rsidRDefault="002C5ACC">
    <w:pPr>
      <w:pStyle w:val="Head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126 study: 12 month manuscript</w:t>
    </w:r>
    <w:r>
      <w:rPr>
        <w:rFonts w:ascii="Times New Roman" w:hAnsi="Times New Roman" w:cs="Times New Roman"/>
      </w:rPr>
      <w:tab/>
    </w:r>
    <w:r>
      <w:rPr>
        <w:rFonts w:ascii="Times New Roman" w:hAnsi="Times New Roman" w:cs="Times New Roman"/>
      </w:rPr>
      <w:tab/>
      <w:t>22 December 2014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73157"/>
    <w:multiLevelType w:val="hybridMultilevel"/>
    <w:tmpl w:val="98A0D362"/>
    <w:lvl w:ilvl="0" w:tplc="15D6F0EE">
      <w:numFmt w:val="bullet"/>
      <w:lvlText w:val=""/>
      <w:lvlJc w:val="left"/>
      <w:pPr>
        <w:ind w:left="717" w:hanging="360"/>
      </w:pPr>
      <w:rPr>
        <w:rFonts w:ascii="Wingdings" w:eastAsia="Times New Roman" w:hAnsi="Wingdings" w:hint="default"/>
        <w:color w:val="000000"/>
      </w:rPr>
    </w:lvl>
    <w:lvl w:ilvl="1" w:tplc="08090003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57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ind w:left="2877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17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ind w:left="5037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77" w:hanging="360"/>
      </w:pPr>
      <w:rPr>
        <w:rFonts w:ascii="Wingdings" w:hAnsi="Wingdings" w:cs="Wingdings" w:hint="default"/>
      </w:rPr>
    </w:lvl>
  </w:abstractNum>
  <w:abstractNum w:abstractNumId="1">
    <w:nsid w:val="4FF41768"/>
    <w:multiLevelType w:val="multilevel"/>
    <w:tmpl w:val="43186B9E"/>
    <w:lvl w:ilvl="0">
      <w:numFmt w:val="decimal"/>
      <w:lvlText w:val="%1.0"/>
      <w:lvlJc w:val="left"/>
      <w:pPr>
        <w:ind w:left="405" w:hanging="405"/>
      </w:pPr>
      <w:rPr>
        <w:rFonts w:ascii="Times New Roman" w:hAnsi="Times New Roman" w:cs="Times New Roman" w:hint="default"/>
      </w:rPr>
    </w:lvl>
    <w:lvl w:ilvl="1">
      <w:start w:val="1"/>
      <w:numFmt w:val="decimalZero"/>
      <w:lvlText w:val="%1.%2"/>
      <w:lvlJc w:val="left"/>
      <w:pPr>
        <w:ind w:left="1125" w:hanging="405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trackRevisions/>
  <w:defaultTabStop w:val="720"/>
  <w:doNotHyphenateCaps/>
  <w:characterSpacingControl w:val="doNotCompress"/>
  <w:doNotValidateAgainstSchema/>
  <w:doNotDemarcateInvalidXml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DEB"/>
    <w:rsid w:val="0001400D"/>
    <w:rsid w:val="001008EE"/>
    <w:rsid w:val="00113219"/>
    <w:rsid w:val="001B5DA6"/>
    <w:rsid w:val="002C5ACC"/>
    <w:rsid w:val="002F69AD"/>
    <w:rsid w:val="003A0DEB"/>
    <w:rsid w:val="00623254"/>
    <w:rsid w:val="00647518"/>
    <w:rsid w:val="007001E2"/>
    <w:rsid w:val="00722BDF"/>
    <w:rsid w:val="0095371B"/>
    <w:rsid w:val="009E646C"/>
    <w:rsid w:val="00B871A6"/>
    <w:rsid w:val="00CC76C4"/>
    <w:rsid w:val="00CF2137"/>
    <w:rsid w:val="00E07D70"/>
    <w:rsid w:val="00E62805"/>
    <w:rsid w:val="00EA7442"/>
    <w:rsid w:val="00F51614"/>
    <w:rsid w:val="00FF7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nhideWhenUsed="0"/>
    <w:lsdException w:name="header" w:unhideWhenUsed="0"/>
    <w:lsdException w:name="footer" w:unhideWhenUsed="0"/>
    <w:lsdException w:name="caption" w:uiPriority="35" w:qFormat="1"/>
    <w:lsdException w:name="annotation reference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annotation subject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rPr>
      <w:rFonts w:ascii="Times New Roman" w:hAnsi="Times New Roman" w:cs="Times New Roman"/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pPr>
      <w:widowControl w:val="0"/>
      <w:autoSpaceDE w:val="0"/>
      <w:autoSpaceDN w:val="0"/>
      <w:adjustRightInd w:val="0"/>
      <w:spacing w:before="100" w:after="100" w:line="360" w:lineRule="auto"/>
      <w:ind w:left="360"/>
    </w:pPr>
    <w:rPr>
      <w:rFonts w:ascii="Cambria" w:hAnsi="Cambria" w:cs="Cambria"/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Cambria" w:hAnsi="Cambria" w:cs="Cambria"/>
      <w:sz w:val="24"/>
      <w:szCs w:val="24"/>
      <w:lang w:val="en-GB" w:eastAsia="en-US"/>
    </w:rPr>
  </w:style>
  <w:style w:type="paragraph" w:styleId="BalloonText">
    <w:name w:val="Balloon Text"/>
    <w:basedOn w:val="Normal"/>
    <w:link w:val="BalloonTextChar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ahoma" w:hAnsi="Tahoma" w:cs="Tahoma"/>
      <w:sz w:val="16"/>
      <w:szCs w:val="16"/>
      <w:lang w:val="en-GB" w:eastAsia="en-US"/>
    </w:rPr>
  </w:style>
  <w:style w:type="paragraph" w:styleId="ListParagraph">
    <w:name w:val="List Paragraph"/>
    <w:basedOn w:val="Normal"/>
    <w:uiPriority w:val="99"/>
    <w:qFormat/>
    <w:pPr>
      <w:ind w:left="720"/>
    </w:pPr>
  </w:style>
  <w:style w:type="paragraph" w:styleId="CommentSubject">
    <w:name w:val="annotation subject"/>
    <w:basedOn w:val="CommentText"/>
    <w:next w:val="CommentText"/>
    <w:link w:val="CommentSubjectChar"/>
    <w:uiPriority w:val="99"/>
    <w:pPr>
      <w:widowControl/>
      <w:autoSpaceDE/>
      <w:autoSpaceDN/>
      <w:adjustRightInd/>
      <w:spacing w:before="0" w:after="200" w:line="240" w:lineRule="auto"/>
      <w:ind w:left="0"/>
    </w:pPr>
    <w:rPr>
      <w:rFonts w:ascii="Calibri" w:hAnsi="Calibri" w:cs="Calibri"/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rPr>
      <w:rFonts w:ascii="Calibri" w:hAnsi="Calibri" w:cs="Calibri"/>
      <w:b/>
      <w:bCs/>
      <w:sz w:val="20"/>
      <w:szCs w:val="20"/>
      <w:lang w:val="en-GB" w:eastAsia="en-US"/>
    </w:rPr>
  </w:style>
  <w:style w:type="paragraph" w:styleId="Revision">
    <w:name w:val="Revision"/>
    <w:hidden/>
    <w:uiPriority w:val="99"/>
    <w:rPr>
      <w:rFonts w:ascii="Calibri" w:hAnsi="Calibri" w:cs="Calibri"/>
      <w:lang w:val="en-GB"/>
    </w:rPr>
  </w:style>
  <w:style w:type="paragraph" w:styleId="Header">
    <w:name w:val="header"/>
    <w:basedOn w:val="Normal"/>
    <w:link w:val="HeaderChar"/>
    <w:uiPriority w:val="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Pr>
      <w:rFonts w:ascii="Calibri" w:hAnsi="Calibri" w:cs="Calibri"/>
      <w:lang w:val="en-GB" w:eastAsia="en-US"/>
    </w:rPr>
  </w:style>
  <w:style w:type="paragraph" w:styleId="Footer">
    <w:name w:val="footer"/>
    <w:basedOn w:val="Normal"/>
    <w:link w:val="FooterChar"/>
    <w:uiPriority w:val="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Pr>
      <w:rFonts w:ascii="Calibri" w:hAnsi="Calibri" w:cs="Calibri"/>
      <w:lang w:val="en-GB" w:eastAsia="en-US"/>
    </w:rPr>
  </w:style>
  <w:style w:type="character" w:styleId="Emphasis">
    <w:name w:val="Emphasis"/>
    <w:basedOn w:val="DefaultParagraphFont"/>
    <w:uiPriority w:val="99"/>
    <w:qFormat/>
    <w:rPr>
      <w:rFonts w:ascii="Times New Roman" w:hAnsi="Times New Roman" w:cs="Times New Roman"/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nhideWhenUsed="0"/>
    <w:lsdException w:name="header" w:unhideWhenUsed="0"/>
    <w:lsdException w:name="footer" w:unhideWhenUsed="0"/>
    <w:lsdException w:name="caption" w:uiPriority="35" w:qFormat="1"/>
    <w:lsdException w:name="annotation reference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annotation subject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rPr>
      <w:rFonts w:ascii="Times New Roman" w:hAnsi="Times New Roman" w:cs="Times New Roman"/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pPr>
      <w:widowControl w:val="0"/>
      <w:autoSpaceDE w:val="0"/>
      <w:autoSpaceDN w:val="0"/>
      <w:adjustRightInd w:val="0"/>
      <w:spacing w:before="100" w:after="100" w:line="360" w:lineRule="auto"/>
      <w:ind w:left="360"/>
    </w:pPr>
    <w:rPr>
      <w:rFonts w:ascii="Cambria" w:hAnsi="Cambria" w:cs="Cambria"/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Cambria" w:hAnsi="Cambria" w:cs="Cambria"/>
      <w:sz w:val="24"/>
      <w:szCs w:val="24"/>
      <w:lang w:val="en-GB" w:eastAsia="en-US"/>
    </w:rPr>
  </w:style>
  <w:style w:type="paragraph" w:styleId="BalloonText">
    <w:name w:val="Balloon Text"/>
    <w:basedOn w:val="Normal"/>
    <w:link w:val="BalloonTextChar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ahoma" w:hAnsi="Tahoma" w:cs="Tahoma"/>
      <w:sz w:val="16"/>
      <w:szCs w:val="16"/>
      <w:lang w:val="en-GB" w:eastAsia="en-US"/>
    </w:rPr>
  </w:style>
  <w:style w:type="paragraph" w:styleId="ListParagraph">
    <w:name w:val="List Paragraph"/>
    <w:basedOn w:val="Normal"/>
    <w:uiPriority w:val="99"/>
    <w:qFormat/>
    <w:pPr>
      <w:ind w:left="720"/>
    </w:pPr>
  </w:style>
  <w:style w:type="paragraph" w:styleId="CommentSubject">
    <w:name w:val="annotation subject"/>
    <w:basedOn w:val="CommentText"/>
    <w:next w:val="CommentText"/>
    <w:link w:val="CommentSubjectChar"/>
    <w:uiPriority w:val="99"/>
    <w:pPr>
      <w:widowControl/>
      <w:autoSpaceDE/>
      <w:autoSpaceDN/>
      <w:adjustRightInd/>
      <w:spacing w:before="0" w:after="200" w:line="240" w:lineRule="auto"/>
      <w:ind w:left="0"/>
    </w:pPr>
    <w:rPr>
      <w:rFonts w:ascii="Calibri" w:hAnsi="Calibri" w:cs="Calibri"/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rPr>
      <w:rFonts w:ascii="Calibri" w:hAnsi="Calibri" w:cs="Calibri"/>
      <w:b/>
      <w:bCs/>
      <w:sz w:val="20"/>
      <w:szCs w:val="20"/>
      <w:lang w:val="en-GB" w:eastAsia="en-US"/>
    </w:rPr>
  </w:style>
  <w:style w:type="paragraph" w:styleId="Revision">
    <w:name w:val="Revision"/>
    <w:hidden/>
    <w:uiPriority w:val="99"/>
    <w:rPr>
      <w:rFonts w:ascii="Calibri" w:hAnsi="Calibri" w:cs="Calibri"/>
      <w:lang w:val="en-GB"/>
    </w:rPr>
  </w:style>
  <w:style w:type="paragraph" w:styleId="Header">
    <w:name w:val="header"/>
    <w:basedOn w:val="Normal"/>
    <w:link w:val="HeaderChar"/>
    <w:uiPriority w:val="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Pr>
      <w:rFonts w:ascii="Calibri" w:hAnsi="Calibri" w:cs="Calibri"/>
      <w:lang w:val="en-GB" w:eastAsia="en-US"/>
    </w:rPr>
  </w:style>
  <w:style w:type="paragraph" w:styleId="Footer">
    <w:name w:val="footer"/>
    <w:basedOn w:val="Normal"/>
    <w:link w:val="FooterChar"/>
    <w:uiPriority w:val="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Pr>
      <w:rFonts w:ascii="Calibri" w:hAnsi="Calibri" w:cs="Calibri"/>
      <w:lang w:val="en-GB" w:eastAsia="en-US"/>
    </w:rPr>
  </w:style>
  <w:style w:type="character" w:styleId="Emphasis">
    <w:name w:val="Emphasis"/>
    <w:basedOn w:val="DefaultParagraphFont"/>
    <w:uiPriority w:val="99"/>
    <w:qFormat/>
    <w:rPr>
      <w:rFonts w:ascii="Times New Roman" w:hAnsi="Times New Roman" w:cs="Times New Roman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1195</Words>
  <Characters>6291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Amgen Inc.</Company>
  <LinksUpToDate>false</LinksUpToDate>
  <CharactersWithSpaces>7472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Elizabeth Hartfield</dc:creator>
  <cp:lastModifiedBy>Kim Allcott</cp:lastModifiedBy>
  <cp:revision>3</cp:revision>
  <cp:lastPrinted>2014-09-09T08:16:00Z</cp:lastPrinted>
  <dcterms:created xsi:type="dcterms:W3CDTF">2015-05-21T07:55:00Z</dcterms:created>
  <dcterms:modified xsi:type="dcterms:W3CDTF">2015-05-21T07:55:00Z</dcterms:modified>
</cp:coreProperties>
</file>