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C82" w:rsidRPr="008314B6" w:rsidRDefault="008314B6">
      <w:pPr>
        <w:rPr>
          <w:b/>
          <w:u w:val="single"/>
        </w:rPr>
      </w:pPr>
      <w:r w:rsidRPr="008314B6">
        <w:rPr>
          <w:b/>
          <w:u w:val="single"/>
        </w:rPr>
        <w:t>Supplementary Figures</w:t>
      </w:r>
    </w:p>
    <w:p w:rsidR="008314B6" w:rsidRDefault="008314B6"/>
    <w:p w:rsidR="008314B6" w:rsidRDefault="008314B6">
      <w:r w:rsidRPr="00C658C4">
        <w:rPr>
          <w:noProof/>
        </w:rPr>
        <w:drawing>
          <wp:inline distT="0" distB="0" distL="0" distR="0" wp14:anchorId="35C83887" wp14:editId="5D2D658A">
            <wp:extent cx="3667125" cy="5772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4B6" w:rsidRDefault="008314B6"/>
    <w:p w:rsidR="008314B6" w:rsidRPr="00881722" w:rsidRDefault="008314B6" w:rsidP="008314B6">
      <w:pPr>
        <w:pStyle w:val="Caption"/>
        <w:rPr>
          <w:rFonts w:asciiTheme="minorHAnsi" w:hAnsiTheme="minorHAnsi" w:cstheme="minorHAnsi"/>
          <w:i/>
          <w:szCs w:val="22"/>
        </w:rPr>
      </w:pPr>
      <w:bookmarkStart w:id="0" w:name="_Toc6146033"/>
      <w:r>
        <w:rPr>
          <w:rFonts w:asciiTheme="minorHAnsi" w:hAnsiTheme="minorHAnsi" w:cstheme="minorHAnsi"/>
          <w:szCs w:val="22"/>
        </w:rPr>
        <w:t xml:space="preserve">Figure 1S: </w:t>
      </w:r>
      <w:r w:rsidRPr="00881722">
        <w:rPr>
          <w:rFonts w:asciiTheme="minorHAnsi" w:hAnsiTheme="minorHAnsi" w:cstheme="minorHAnsi"/>
          <w:szCs w:val="22"/>
        </w:rPr>
        <w:t>Mechanical hyperalgesia is more pronounced in</w:t>
      </w:r>
      <w:r>
        <w:rPr>
          <w:rFonts w:asciiTheme="minorHAnsi" w:hAnsiTheme="minorHAnsi" w:cstheme="minorHAnsi"/>
          <w:szCs w:val="22"/>
        </w:rPr>
        <w:t xml:space="preserve"> </w:t>
      </w:r>
      <w:r w:rsidRPr="00881722">
        <w:rPr>
          <w:rFonts w:asciiTheme="minorHAnsi" w:hAnsiTheme="minorHAnsi" w:cstheme="minorHAnsi"/>
          <w:szCs w:val="22"/>
        </w:rPr>
        <w:t>NIP228-treated Sham mice than MEDI578-treated mice after sham surgery while thermal sensitivity remains unchanged.</w:t>
      </w:r>
      <w:bookmarkEnd w:id="0"/>
    </w:p>
    <w:p w:rsidR="008314B6" w:rsidRPr="00881722" w:rsidRDefault="008314B6" w:rsidP="008314B6">
      <w:pPr>
        <w:spacing w:line="240" w:lineRule="auto"/>
        <w:rPr>
          <w:rStyle w:val="TextfigureChar"/>
          <w:rFonts w:cstheme="minorHAnsi"/>
        </w:rPr>
      </w:pPr>
      <w:r w:rsidRPr="00881722">
        <w:rPr>
          <w:rStyle w:val="TextfigureChar"/>
          <w:rFonts w:cstheme="minorHAnsi"/>
        </w:rPr>
        <w:t xml:space="preserve">Female C57BL/6 mice, 11 - 12 weeks-old at fracture Sham surgery (week 0). (A) Mechanical hyperalgesia (withdrawal threshold) from baseline (week -1) to six weeks after surgery. (B) Thermal hyperalgesia (withdrawal latency). Results are expressed as </w:t>
      </w:r>
      <w:r w:rsidRPr="00881722">
        <w:rPr>
          <w:rStyle w:val="TextfigureChar"/>
          <w:rFonts w:cstheme="minorHAnsi"/>
          <w:i/>
        </w:rPr>
        <w:t>M</w:t>
      </w:r>
      <w:r w:rsidRPr="00881722">
        <w:rPr>
          <w:rStyle w:val="TextfigureChar"/>
          <w:rFonts w:cstheme="minorHAnsi"/>
        </w:rPr>
        <w:t xml:space="preserve"> ± </w:t>
      </w:r>
      <w:r w:rsidRPr="00881722">
        <w:rPr>
          <w:rStyle w:val="TextfigureChar"/>
          <w:rFonts w:cstheme="minorHAnsi"/>
          <w:i/>
        </w:rPr>
        <w:t>SEM</w:t>
      </w:r>
      <w:r w:rsidRPr="00881722">
        <w:rPr>
          <w:rStyle w:val="TextfigureChar"/>
          <w:rFonts w:cstheme="minorHAnsi"/>
        </w:rPr>
        <w:t xml:space="preserve">, </w:t>
      </w:r>
      <w:r w:rsidRPr="00881722">
        <w:rPr>
          <w:rFonts w:cstheme="minorHAnsi"/>
        </w:rPr>
        <w:t xml:space="preserve">Sham-MEDI578 </w:t>
      </w:r>
      <w:r w:rsidRPr="00881722">
        <w:rPr>
          <w:rStyle w:val="TextfigureChar"/>
          <w:rFonts w:cstheme="minorHAnsi"/>
          <w:i/>
        </w:rPr>
        <w:t>n</w:t>
      </w:r>
      <w:r w:rsidRPr="00881722">
        <w:rPr>
          <w:rStyle w:val="TextfigureChar"/>
          <w:rFonts w:cstheme="minorHAnsi"/>
        </w:rPr>
        <w:t xml:space="preserve"> = 10</w:t>
      </w:r>
      <w:r w:rsidRPr="00881722">
        <w:rPr>
          <w:rFonts w:cstheme="minorHAnsi"/>
        </w:rPr>
        <w:t xml:space="preserve">, Sham-NIP228 </w:t>
      </w:r>
      <w:r w:rsidRPr="00881722">
        <w:rPr>
          <w:rStyle w:val="TextfigureChar"/>
          <w:rFonts w:cstheme="minorHAnsi"/>
          <w:i/>
        </w:rPr>
        <w:t>n</w:t>
      </w:r>
      <w:r w:rsidRPr="00881722">
        <w:rPr>
          <w:rStyle w:val="TextfigureChar"/>
          <w:rFonts w:cstheme="minorHAnsi"/>
        </w:rPr>
        <w:t xml:space="preserve"> = 10</w:t>
      </w:r>
      <w:r w:rsidRPr="00881722">
        <w:rPr>
          <w:rFonts w:cstheme="minorHAnsi"/>
        </w:rPr>
        <w:t>.</w:t>
      </w:r>
      <w:r w:rsidRPr="00881722">
        <w:rPr>
          <w:rStyle w:val="TextfigureChar"/>
          <w:rFonts w:cstheme="minorHAnsi"/>
        </w:rPr>
        <w:t xml:space="preserve"> Two-way repeated measures ANOVA, Dunnett’s multiple comparisons test for differences within each group: * </w:t>
      </w:r>
      <w:r w:rsidRPr="00881722">
        <w:rPr>
          <w:rStyle w:val="TextfigureChar"/>
          <w:rFonts w:cstheme="minorHAnsi"/>
          <w:i/>
        </w:rPr>
        <w:t>p</w:t>
      </w:r>
      <w:r w:rsidRPr="00881722">
        <w:rPr>
          <w:rStyle w:val="TextfigureChar"/>
          <w:rFonts w:cstheme="minorHAnsi"/>
        </w:rPr>
        <w:t xml:space="preserve"> &lt; 0.05 each group compared to baseline. Tukey’s multiple comparisons test for differences between groups: ns.</w:t>
      </w:r>
    </w:p>
    <w:p w:rsidR="008314B6" w:rsidRDefault="008314B6"/>
    <w:p w:rsidR="00FC68D0" w:rsidRDefault="00FC68D0">
      <w:r>
        <w:rPr>
          <w:noProof/>
        </w:rPr>
        <w:lastRenderedPageBreak/>
        <w:drawing>
          <wp:inline distT="0" distB="0" distL="0" distR="0" wp14:anchorId="26D70F07" wp14:editId="23683FB0">
            <wp:extent cx="5200339" cy="548687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1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339" cy="5486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8D0" w:rsidRDefault="00FC68D0"/>
    <w:p w:rsidR="00FC68D0" w:rsidRPr="008C2792" w:rsidRDefault="00FC68D0" w:rsidP="00FC68D0">
      <w:pPr>
        <w:pStyle w:val="NormalWeb"/>
        <w:kinsoku w:val="0"/>
        <w:overflowPunct w:val="0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2"/>
          <w:szCs w:val="22"/>
        </w:rPr>
      </w:pPr>
      <w:bookmarkStart w:id="1" w:name="_Hlk67908207"/>
      <w:r w:rsidRPr="008C2792">
        <w:rPr>
          <w:rFonts w:ascii="Calibri" w:hAnsi="Calibri"/>
          <w:b/>
          <w:bCs/>
          <w:color w:val="000000" w:themeColor="text1"/>
          <w:kern w:val="24"/>
          <w:sz w:val="22"/>
          <w:szCs w:val="22"/>
          <w:u w:val="single"/>
          <w:lang w:val="en-US"/>
        </w:rPr>
        <w:t>F</w:t>
      </w:r>
      <w:r>
        <w:rPr>
          <w:rFonts w:ascii="Calibri" w:hAnsi="Calibri"/>
          <w:b/>
          <w:bCs/>
          <w:color w:val="000000" w:themeColor="text1"/>
          <w:kern w:val="24"/>
          <w:sz w:val="22"/>
          <w:szCs w:val="22"/>
          <w:u w:val="single"/>
          <w:lang w:val="en-US"/>
        </w:rPr>
        <w:t>ig</w:t>
      </w:r>
      <w:r w:rsidRPr="008C2792">
        <w:rPr>
          <w:rFonts w:ascii="Calibri" w:hAnsi="Calibri"/>
          <w:b/>
          <w:bCs/>
          <w:color w:val="000000" w:themeColor="text1"/>
          <w:kern w:val="24"/>
          <w:sz w:val="22"/>
          <w:szCs w:val="22"/>
          <w:u w:val="single"/>
          <w:lang w:val="en-US"/>
        </w:rPr>
        <w:t xml:space="preserve">ure </w:t>
      </w:r>
      <w:r>
        <w:rPr>
          <w:rFonts w:ascii="Calibri" w:hAnsi="Calibri"/>
          <w:b/>
          <w:bCs/>
          <w:color w:val="000000" w:themeColor="text1"/>
          <w:kern w:val="24"/>
          <w:sz w:val="22"/>
          <w:szCs w:val="22"/>
          <w:u w:val="single"/>
          <w:lang w:val="en-US"/>
        </w:rPr>
        <w:t>2</w:t>
      </w:r>
      <w:r w:rsidRPr="008C2792">
        <w:rPr>
          <w:rFonts w:ascii="Calibri" w:hAnsi="Calibri"/>
          <w:b/>
          <w:bCs/>
          <w:color w:val="000000" w:themeColor="text1"/>
          <w:kern w:val="24"/>
          <w:sz w:val="22"/>
          <w:szCs w:val="22"/>
          <w:u w:val="single"/>
          <w:lang w:val="en-US"/>
        </w:rPr>
        <w:t xml:space="preserve">S: </w:t>
      </w:r>
      <w:r w:rsidRPr="008C2792"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 xml:space="preserve">Three-dimensional values of the microstructure of trabecular bone in the epiphysis 10 weeks after ovariectomy surgery (six weeks after fracture). </w:t>
      </w:r>
      <w:r>
        <w:rPr>
          <w:rFonts w:ascii="Calibri" w:hAnsi="Calibri"/>
          <w:b/>
          <w:bCs/>
          <w:color w:val="000000" w:themeColor="text1"/>
          <w:kern w:val="24"/>
          <w:sz w:val="22"/>
          <w:szCs w:val="22"/>
          <w:lang w:val="en-US"/>
        </w:rPr>
        <w:t>These parameters were measured in the femoral epiphysis of the OVX-fracture group (OVX) and the sham-fracture group (sham OVX).</w:t>
      </w:r>
    </w:p>
    <w:p w:rsidR="00FC68D0" w:rsidRPr="008C2792" w:rsidRDefault="00FC68D0" w:rsidP="00FC68D0">
      <w:pPr>
        <w:pStyle w:val="NormalWeb"/>
        <w:kinsoku w:val="0"/>
        <w:overflowPunct w:val="0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2"/>
          <w:szCs w:val="22"/>
        </w:rPr>
      </w:pPr>
      <w:r w:rsidRPr="008C2792">
        <w:rPr>
          <w:rFonts w:ascii="Calibri" w:eastAsia="Calibri" w:hAnsi="Calibri"/>
          <w:color w:val="000000" w:themeColor="text1"/>
          <w:kern w:val="24"/>
          <w:sz w:val="22"/>
          <w:szCs w:val="22"/>
        </w:rPr>
        <w:t xml:space="preserve">(A) Bone volume fraction. (B) Trabecular thickness. (C) Trabecular separation. (D) Trabecular number. (E) Trabecular pattern factor. (F) The degree of anisotropy. </w:t>
      </w:r>
      <w:r w:rsidRPr="008C2792">
        <w:rPr>
          <w:rFonts w:ascii="Calibri" w:eastAsia="Arial Unicode MS" w:hAnsi="Calibri" w:cs="Arial"/>
          <w:color w:val="000000" w:themeColor="text1"/>
          <w:kern w:val="24"/>
          <w:sz w:val="22"/>
          <w:szCs w:val="22"/>
        </w:rPr>
        <w:t xml:space="preserve">Results are expressed as </w:t>
      </w:r>
      <w:r w:rsidRPr="008C2792">
        <w:rPr>
          <w:rFonts w:ascii="Calibri" w:eastAsia="Arial Unicode MS" w:hAnsi="Calibri" w:cs="Arial"/>
          <w:i/>
          <w:iCs/>
          <w:color w:val="000000" w:themeColor="text1"/>
          <w:kern w:val="24"/>
          <w:sz w:val="22"/>
          <w:szCs w:val="22"/>
        </w:rPr>
        <w:t>M</w:t>
      </w:r>
      <w:r w:rsidRPr="008C2792">
        <w:rPr>
          <w:rFonts w:ascii="Calibri" w:eastAsia="Arial Unicode MS" w:hAnsi="Calibri" w:cs="Arial"/>
          <w:color w:val="000000" w:themeColor="text1"/>
          <w:kern w:val="24"/>
          <w:sz w:val="22"/>
          <w:szCs w:val="22"/>
        </w:rPr>
        <w:t xml:space="preserve"> ± </w:t>
      </w:r>
      <w:r w:rsidRPr="008C2792">
        <w:rPr>
          <w:rFonts w:ascii="Calibri" w:eastAsia="Arial Unicode MS" w:hAnsi="Calibri" w:cs="Arial"/>
          <w:i/>
          <w:iCs/>
          <w:color w:val="000000" w:themeColor="text1"/>
          <w:kern w:val="24"/>
          <w:sz w:val="22"/>
          <w:szCs w:val="22"/>
        </w:rPr>
        <w:t>SEM</w:t>
      </w:r>
      <w:r w:rsidRPr="008C2792">
        <w:rPr>
          <w:rFonts w:ascii="Calibri" w:eastAsia="Arial Unicode MS" w:hAnsi="Calibri" w:cs="Arial"/>
          <w:color w:val="000000" w:themeColor="text1"/>
          <w:kern w:val="24"/>
          <w:sz w:val="22"/>
          <w:szCs w:val="22"/>
        </w:rPr>
        <w:t xml:space="preserve">, </w:t>
      </w:r>
      <w:r w:rsidRPr="008C2792">
        <w:rPr>
          <w:rFonts w:ascii="Calibri" w:eastAsia="Arial Unicode MS" w:hAnsi="Calibri" w:cs="Arial"/>
          <w:i/>
          <w:iCs/>
          <w:color w:val="000000" w:themeColor="text1"/>
          <w:kern w:val="24"/>
          <w:sz w:val="22"/>
          <w:szCs w:val="22"/>
        </w:rPr>
        <w:t>n</w:t>
      </w:r>
      <w:r w:rsidRPr="008C2792">
        <w:rPr>
          <w:rFonts w:ascii="Calibri" w:eastAsia="Arial Unicode MS" w:hAnsi="Calibri" w:cs="Arial"/>
          <w:color w:val="000000" w:themeColor="text1"/>
          <w:kern w:val="24"/>
          <w:sz w:val="22"/>
          <w:szCs w:val="22"/>
        </w:rPr>
        <w:t xml:space="preserve"> = 6 / group. BV / TV (%): </w:t>
      </w:r>
      <w:r w:rsidRPr="008C2792">
        <w:rPr>
          <w:rFonts w:ascii="Calibri" w:eastAsia="Calibri" w:hAnsi="Calibri"/>
          <w:color w:val="000000" w:themeColor="text1"/>
          <w:kern w:val="24"/>
          <w:sz w:val="22"/>
          <w:szCs w:val="22"/>
        </w:rPr>
        <w:t>bone volume fraction</w:t>
      </w:r>
      <w:r w:rsidRPr="008C2792">
        <w:rPr>
          <w:rFonts w:ascii="Calibri" w:eastAsia="Arial Unicode MS" w:hAnsi="Calibri" w:cs="Arial"/>
          <w:color w:val="000000" w:themeColor="text1"/>
          <w:kern w:val="24"/>
          <w:sz w:val="22"/>
          <w:szCs w:val="22"/>
        </w:rPr>
        <w:t xml:space="preserve">, </w:t>
      </w:r>
      <w:proofErr w:type="spellStart"/>
      <w:proofErr w:type="gramStart"/>
      <w:r w:rsidRPr="008C2792">
        <w:rPr>
          <w:rFonts w:ascii="Calibri" w:eastAsia="Arial Unicode MS" w:hAnsi="Calibri" w:cs="Arial"/>
          <w:color w:val="000000" w:themeColor="text1"/>
          <w:kern w:val="24"/>
          <w:sz w:val="22"/>
          <w:szCs w:val="22"/>
        </w:rPr>
        <w:t>Tb.Th</w:t>
      </w:r>
      <w:proofErr w:type="spellEnd"/>
      <w:proofErr w:type="gramEnd"/>
      <w:r w:rsidRPr="008C2792">
        <w:rPr>
          <w:rFonts w:ascii="Calibri" w:eastAsia="Arial Unicode MS" w:hAnsi="Calibri" w:cs="Arial"/>
          <w:color w:val="000000" w:themeColor="text1"/>
          <w:kern w:val="24"/>
          <w:sz w:val="22"/>
          <w:szCs w:val="22"/>
        </w:rPr>
        <w:t xml:space="preserve"> (mm): mean thickness of the trabeculae, </w:t>
      </w:r>
      <w:proofErr w:type="spellStart"/>
      <w:r w:rsidRPr="008C2792">
        <w:rPr>
          <w:rFonts w:ascii="Calibri" w:eastAsia="Arial Unicode MS" w:hAnsi="Calibri" w:cs="Arial"/>
          <w:color w:val="000000" w:themeColor="text1"/>
          <w:kern w:val="24"/>
          <w:sz w:val="22"/>
          <w:szCs w:val="22"/>
        </w:rPr>
        <w:t>Tb.Sp</w:t>
      </w:r>
      <w:proofErr w:type="spellEnd"/>
      <w:r w:rsidRPr="008C2792">
        <w:rPr>
          <w:rFonts w:ascii="Calibri" w:eastAsia="Arial Unicode MS" w:hAnsi="Calibri" w:cs="Arial"/>
          <w:color w:val="000000" w:themeColor="text1"/>
          <w:kern w:val="24"/>
          <w:sz w:val="22"/>
          <w:szCs w:val="22"/>
        </w:rPr>
        <w:t xml:space="preserve"> (mm): mean distance between trabeculae, </w:t>
      </w:r>
      <w:proofErr w:type="spellStart"/>
      <w:r w:rsidRPr="008C2792">
        <w:rPr>
          <w:rFonts w:ascii="Calibri" w:eastAsia="Arial Unicode MS" w:hAnsi="Calibri" w:cs="Arial"/>
          <w:color w:val="000000" w:themeColor="text1"/>
          <w:kern w:val="24"/>
          <w:sz w:val="22"/>
          <w:szCs w:val="22"/>
        </w:rPr>
        <w:t>Tb.N</w:t>
      </w:r>
      <w:proofErr w:type="spellEnd"/>
      <w:r w:rsidRPr="008C2792">
        <w:rPr>
          <w:rFonts w:ascii="Calibri" w:eastAsia="Arial Unicode MS" w:hAnsi="Calibri" w:cs="Arial"/>
          <w:color w:val="000000" w:themeColor="text1"/>
          <w:kern w:val="24"/>
          <w:sz w:val="22"/>
          <w:szCs w:val="22"/>
        </w:rPr>
        <w:t xml:space="preserve"> (1 / mm</w:t>
      </w:r>
      <w:r w:rsidRPr="008C2792">
        <w:rPr>
          <w:rFonts w:ascii="Calibri" w:eastAsia="Arial Unicode MS" w:hAnsi="Calibri" w:cs="Arial"/>
          <w:color w:val="000000" w:themeColor="text1"/>
          <w:kern w:val="24"/>
          <w:position w:val="7"/>
          <w:sz w:val="22"/>
          <w:szCs w:val="22"/>
          <w:vertAlign w:val="superscript"/>
        </w:rPr>
        <w:t>-1</w:t>
      </w:r>
      <w:r w:rsidRPr="008C2792">
        <w:rPr>
          <w:rFonts w:ascii="Calibri" w:eastAsia="Arial Unicode MS" w:hAnsi="Calibri" w:cs="Arial"/>
          <w:color w:val="000000" w:themeColor="text1"/>
          <w:kern w:val="24"/>
          <w:sz w:val="22"/>
          <w:szCs w:val="22"/>
        </w:rPr>
        <w:t xml:space="preserve">): average number of trabeculae, </w:t>
      </w:r>
      <w:proofErr w:type="spellStart"/>
      <w:r w:rsidRPr="008C2792">
        <w:rPr>
          <w:rFonts w:ascii="Calibri" w:eastAsia="Arial Unicode MS" w:hAnsi="Calibri" w:cs="Arial"/>
          <w:color w:val="000000" w:themeColor="text1"/>
          <w:kern w:val="24"/>
          <w:sz w:val="22"/>
          <w:szCs w:val="22"/>
        </w:rPr>
        <w:t>Tb.Pf</w:t>
      </w:r>
      <w:proofErr w:type="spellEnd"/>
      <w:r w:rsidRPr="008C2792">
        <w:rPr>
          <w:rFonts w:ascii="Calibri" w:eastAsia="Arial Unicode MS" w:hAnsi="Calibri" w:cs="Arial"/>
          <w:color w:val="000000" w:themeColor="text1"/>
          <w:kern w:val="24"/>
          <w:sz w:val="22"/>
          <w:szCs w:val="22"/>
        </w:rPr>
        <w:t xml:space="preserve"> (mm</w:t>
      </w:r>
      <w:r w:rsidRPr="008C2792">
        <w:rPr>
          <w:rFonts w:ascii="Calibri" w:eastAsia="Arial Unicode MS" w:hAnsi="Calibri" w:cs="Arial"/>
          <w:color w:val="000000" w:themeColor="text1"/>
          <w:kern w:val="24"/>
          <w:position w:val="7"/>
          <w:sz w:val="22"/>
          <w:szCs w:val="22"/>
          <w:vertAlign w:val="superscript"/>
        </w:rPr>
        <w:t>-1</w:t>
      </w:r>
      <w:r w:rsidRPr="008C2792">
        <w:rPr>
          <w:rFonts w:ascii="Calibri" w:eastAsia="Arial Unicode MS" w:hAnsi="Calibri" w:cs="Arial"/>
          <w:color w:val="000000" w:themeColor="text1"/>
          <w:kern w:val="24"/>
          <w:sz w:val="22"/>
          <w:szCs w:val="22"/>
        </w:rPr>
        <w:t xml:space="preserve">): inverse index of connectivity, DA: the degree of anisotropy. Paired two-tailed </w:t>
      </w:r>
      <w:r w:rsidRPr="008C2792">
        <w:rPr>
          <w:rFonts w:ascii="Calibri" w:eastAsia="Arial Unicode MS" w:hAnsi="Calibri" w:cs="Arial"/>
          <w:i/>
          <w:iCs/>
          <w:color w:val="000000" w:themeColor="text1"/>
          <w:kern w:val="24"/>
          <w:sz w:val="22"/>
          <w:szCs w:val="22"/>
        </w:rPr>
        <w:t>t</w:t>
      </w:r>
      <w:r w:rsidRPr="008C2792">
        <w:rPr>
          <w:rFonts w:ascii="Calibri" w:eastAsia="Arial Unicode MS" w:hAnsi="Calibri" w:cs="Arial"/>
          <w:color w:val="000000" w:themeColor="text1"/>
          <w:kern w:val="24"/>
          <w:sz w:val="22"/>
          <w:szCs w:val="22"/>
        </w:rPr>
        <w:t xml:space="preserve">-test for differences between groups: * </w:t>
      </w:r>
      <w:r w:rsidRPr="008C2792">
        <w:rPr>
          <w:rFonts w:ascii="Calibri" w:eastAsia="Arial Unicode MS" w:hAnsi="Calibri" w:cs="Arial"/>
          <w:i/>
          <w:iCs/>
          <w:color w:val="000000" w:themeColor="text1"/>
          <w:kern w:val="24"/>
          <w:sz w:val="22"/>
          <w:szCs w:val="22"/>
        </w:rPr>
        <w:t>p</w:t>
      </w:r>
      <w:r w:rsidRPr="008C2792">
        <w:rPr>
          <w:rFonts w:ascii="Calibri" w:eastAsia="Arial Unicode MS" w:hAnsi="Calibri" w:cs="Arial"/>
          <w:color w:val="000000" w:themeColor="text1"/>
          <w:kern w:val="24"/>
          <w:sz w:val="22"/>
          <w:szCs w:val="22"/>
        </w:rPr>
        <w:t xml:space="preserve"> &lt; 0.05, ** </w:t>
      </w:r>
      <w:r w:rsidRPr="008C2792">
        <w:rPr>
          <w:rFonts w:ascii="Calibri" w:eastAsia="Arial Unicode MS" w:hAnsi="Calibri" w:cs="Arial"/>
          <w:i/>
          <w:iCs/>
          <w:color w:val="000000" w:themeColor="text1"/>
          <w:kern w:val="24"/>
          <w:sz w:val="22"/>
          <w:szCs w:val="22"/>
        </w:rPr>
        <w:t>p</w:t>
      </w:r>
      <w:r w:rsidRPr="008C2792">
        <w:rPr>
          <w:rFonts w:ascii="Calibri" w:eastAsia="Arial Unicode MS" w:hAnsi="Calibri" w:cs="Arial"/>
          <w:color w:val="000000" w:themeColor="text1"/>
          <w:kern w:val="24"/>
          <w:sz w:val="22"/>
          <w:szCs w:val="22"/>
        </w:rPr>
        <w:t xml:space="preserve"> &lt; 0.01.</w:t>
      </w:r>
    </w:p>
    <w:bookmarkEnd w:id="1"/>
    <w:p w:rsidR="00FC68D0" w:rsidRDefault="00FC68D0"/>
    <w:p w:rsidR="00033193" w:rsidRDefault="00033193">
      <w:bookmarkStart w:id="2" w:name="_GoBack"/>
      <w:bookmarkEnd w:id="2"/>
    </w:p>
    <w:sectPr w:rsidR="000331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4B6"/>
    <w:rsid w:val="00033193"/>
    <w:rsid w:val="001243BA"/>
    <w:rsid w:val="007D0C82"/>
    <w:rsid w:val="008314B6"/>
    <w:rsid w:val="00FC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3E5E0"/>
  <w15:chartTrackingRefBased/>
  <w15:docId w15:val="{A92B44EE-2BCD-4D95-A82E-BDCF847C9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Spacing"/>
    <w:uiPriority w:val="35"/>
    <w:unhideWhenUsed/>
    <w:qFormat/>
    <w:rsid w:val="008314B6"/>
    <w:pPr>
      <w:spacing w:after="0" w:line="240" w:lineRule="auto"/>
      <w:contextualSpacing/>
      <w:jc w:val="both"/>
    </w:pPr>
    <w:rPr>
      <w:rFonts w:ascii="Times New Roman" w:hAnsi="Times New Roman"/>
      <w:b/>
      <w:iCs/>
      <w:szCs w:val="18"/>
    </w:rPr>
  </w:style>
  <w:style w:type="paragraph" w:customStyle="1" w:styleId="Textfigure">
    <w:name w:val="Text figure"/>
    <w:basedOn w:val="Normal"/>
    <w:next w:val="Normal"/>
    <w:link w:val="TextfigureChar"/>
    <w:qFormat/>
    <w:rsid w:val="008314B6"/>
    <w:pPr>
      <w:spacing w:after="40" w:line="240" w:lineRule="auto"/>
      <w:jc w:val="both"/>
    </w:pPr>
    <w:rPr>
      <w:rFonts w:eastAsia="Arial Unicode MS" w:cs="Arial"/>
      <w:sz w:val="24"/>
      <w:szCs w:val="24"/>
    </w:rPr>
  </w:style>
  <w:style w:type="character" w:customStyle="1" w:styleId="TextfigureChar">
    <w:name w:val="Text figure Char"/>
    <w:basedOn w:val="DefaultParagraphFont"/>
    <w:link w:val="Textfigure"/>
    <w:rsid w:val="008314B6"/>
    <w:rPr>
      <w:rFonts w:eastAsia="Arial Unicode MS" w:cs="Arial"/>
      <w:sz w:val="24"/>
      <w:szCs w:val="24"/>
    </w:rPr>
  </w:style>
  <w:style w:type="paragraph" w:styleId="NoSpacing">
    <w:name w:val="No Spacing"/>
    <w:uiPriority w:val="1"/>
    <w:qFormat/>
    <w:rsid w:val="008314B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C6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RVC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Chenu, Chantal</dc:creator>
  <cp:keywords/>
  <dc:description/>
  <cp:lastModifiedBy>Chenu, Chantal</cp:lastModifiedBy>
  <cp:revision>2</cp:revision>
  <dcterms:created xsi:type="dcterms:W3CDTF">2021-03-29T09:47:00Z</dcterms:created>
  <dcterms:modified xsi:type="dcterms:W3CDTF">2021-03-29T10:06:00Z</dcterms:modified>
</cp:coreProperties>
</file>