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1DD6" w:rsidRPr="00A21DD6" w:rsidRDefault="00A21DD6" w:rsidP="00A21DD6">
      <w:pPr>
        <w:pStyle w:val="Heading3"/>
        <w:spacing w:line="480" w:lineRule="auto"/>
        <w:jc w:val="both"/>
        <w:rPr>
          <w:rFonts w:asciiTheme="minorHAnsi" w:hAnsiTheme="minorHAnsi"/>
          <w:b/>
          <w:color w:val="auto"/>
        </w:rPr>
      </w:pPr>
      <w:bookmarkStart w:id="0" w:name="_Toc465957632"/>
      <w:r w:rsidRPr="00A21DD6">
        <w:rPr>
          <w:rFonts w:asciiTheme="minorHAnsi" w:hAnsiTheme="minorHAnsi"/>
          <w:b/>
          <w:color w:val="auto"/>
        </w:rPr>
        <w:t>Supplementary methods</w:t>
      </w:r>
    </w:p>
    <w:p w:rsidR="00A21DD6" w:rsidRPr="00440041" w:rsidRDefault="00A21DD6" w:rsidP="00A21DD6">
      <w:pPr>
        <w:pStyle w:val="Heading3"/>
        <w:spacing w:line="480" w:lineRule="auto"/>
        <w:jc w:val="both"/>
        <w:rPr>
          <w:rFonts w:asciiTheme="minorHAnsi" w:hAnsiTheme="minorHAnsi"/>
          <w:color w:val="auto"/>
          <w:u w:val="single"/>
        </w:rPr>
      </w:pPr>
      <w:r w:rsidRPr="00440041">
        <w:rPr>
          <w:rFonts w:asciiTheme="minorHAnsi" w:hAnsiTheme="minorHAnsi"/>
          <w:color w:val="auto"/>
          <w:u w:val="single"/>
        </w:rPr>
        <w:t>Mechanical allodynia</w:t>
      </w:r>
      <w:bookmarkEnd w:id="0"/>
      <w:r w:rsidRPr="00440041">
        <w:rPr>
          <w:rFonts w:asciiTheme="minorHAnsi" w:hAnsiTheme="minorHAnsi"/>
          <w:color w:val="auto"/>
          <w:u w:val="single"/>
        </w:rPr>
        <w:t xml:space="preserve"> </w:t>
      </w:r>
    </w:p>
    <w:p w:rsidR="00A21DD6" w:rsidRDefault="00A21DD6" w:rsidP="00A21DD6">
      <w:pPr>
        <w:spacing w:line="480" w:lineRule="auto"/>
        <w:jc w:val="both"/>
        <w:rPr>
          <w:rFonts w:cs="Times New Roman"/>
          <w:sz w:val="24"/>
          <w:szCs w:val="24"/>
        </w:rPr>
      </w:pPr>
      <w:r w:rsidRPr="00440041">
        <w:rPr>
          <w:rFonts w:cs="Times New Roman"/>
          <w:sz w:val="24"/>
          <w:szCs w:val="24"/>
        </w:rPr>
        <w:t xml:space="preserve">Mechanical allodynia was monitored with graduated levels (0.07, 0.16, 0.4, 0.6, and 1.0 g) of von Frey filaments </w:t>
      </w:r>
      <w:r w:rsidRPr="00440041">
        <w:rPr>
          <w:sz w:val="24"/>
          <w:szCs w:val="24"/>
        </w:rPr>
        <w:t>(</w:t>
      </w:r>
      <w:proofErr w:type="spellStart"/>
      <w:r w:rsidRPr="00440041">
        <w:rPr>
          <w:sz w:val="24"/>
          <w:szCs w:val="24"/>
        </w:rPr>
        <w:t>Aesthesio</w:t>
      </w:r>
      <w:proofErr w:type="spellEnd"/>
      <w:r w:rsidRPr="00440041">
        <w:rPr>
          <w:sz w:val="24"/>
          <w:szCs w:val="24"/>
        </w:rPr>
        <w:t xml:space="preserve"> Precision Tactile Sensory Evaluator, </w:t>
      </w:r>
      <w:proofErr w:type="spellStart"/>
      <w:r w:rsidRPr="00440041">
        <w:rPr>
          <w:sz w:val="24"/>
          <w:szCs w:val="24"/>
        </w:rPr>
        <w:t>DanMic</w:t>
      </w:r>
      <w:proofErr w:type="spellEnd"/>
      <w:r w:rsidRPr="00440041">
        <w:rPr>
          <w:sz w:val="24"/>
          <w:szCs w:val="24"/>
        </w:rPr>
        <w:t xml:space="preserve">, CA, USA) </w:t>
      </w:r>
      <w:r w:rsidRPr="00440041">
        <w:rPr>
          <w:rFonts w:cs="Times New Roman"/>
          <w:sz w:val="24"/>
          <w:szCs w:val="24"/>
        </w:rPr>
        <w:t xml:space="preserve">applied to the right (ipsilateral) hind paw for two seconds, 10 times at each weight </w:t>
      </w:r>
      <w:r w:rsidR="00B0425E">
        <w:rPr>
          <w:rFonts w:cs="Times New Roman"/>
          <w:noProof/>
          <w:sz w:val="24"/>
          <w:szCs w:val="24"/>
        </w:rPr>
        <w:t>(1</w:t>
      </w:r>
      <w:r>
        <w:rPr>
          <w:rFonts w:cs="Times New Roman"/>
          <w:noProof/>
          <w:sz w:val="24"/>
          <w:szCs w:val="24"/>
        </w:rPr>
        <w:t>)</w:t>
      </w:r>
      <w:r w:rsidRPr="00440041">
        <w:rPr>
          <w:rFonts w:cs="Times New Roman"/>
          <w:sz w:val="24"/>
          <w:szCs w:val="24"/>
        </w:rPr>
        <w:t xml:space="preserve">. The level of response was calculated as the first level to have 5 out of 10 responses positive. A response was classified as a brisk withdrawal of the paw following application, vocalization, or licking of the paw immediately following application. </w:t>
      </w:r>
    </w:p>
    <w:p w:rsidR="00A21DD6" w:rsidRPr="00440041" w:rsidRDefault="00A21DD6" w:rsidP="00A21DD6">
      <w:pPr>
        <w:spacing w:line="480" w:lineRule="auto"/>
        <w:jc w:val="both"/>
        <w:rPr>
          <w:rFonts w:cs="Times New Roman"/>
          <w:sz w:val="24"/>
          <w:szCs w:val="24"/>
        </w:rPr>
      </w:pPr>
    </w:p>
    <w:p w:rsidR="00A21DD6" w:rsidRPr="00440041" w:rsidRDefault="00A21DD6" w:rsidP="00A21DD6">
      <w:pPr>
        <w:pStyle w:val="Heading3"/>
        <w:spacing w:line="480" w:lineRule="auto"/>
        <w:jc w:val="both"/>
        <w:rPr>
          <w:rFonts w:asciiTheme="minorHAnsi" w:hAnsiTheme="minorHAnsi"/>
          <w:color w:val="auto"/>
          <w:u w:val="single"/>
        </w:rPr>
      </w:pPr>
      <w:bookmarkStart w:id="1" w:name="_Toc465957633"/>
      <w:r w:rsidRPr="00440041">
        <w:rPr>
          <w:rFonts w:asciiTheme="minorHAnsi" w:hAnsiTheme="minorHAnsi"/>
          <w:color w:val="auto"/>
          <w:u w:val="single"/>
        </w:rPr>
        <w:t>Thermal allodynia</w:t>
      </w:r>
      <w:bookmarkEnd w:id="1"/>
    </w:p>
    <w:p w:rsidR="00A21DD6" w:rsidRDefault="00A21DD6" w:rsidP="00A21DD6">
      <w:pPr>
        <w:spacing w:line="480" w:lineRule="auto"/>
        <w:jc w:val="both"/>
        <w:rPr>
          <w:rFonts w:cs="Times New Roman"/>
          <w:sz w:val="24"/>
          <w:szCs w:val="24"/>
        </w:rPr>
      </w:pPr>
      <w:r w:rsidRPr="00440041">
        <w:rPr>
          <w:rFonts w:cs="Times New Roman"/>
          <w:sz w:val="24"/>
          <w:szCs w:val="24"/>
        </w:rPr>
        <w:t xml:space="preserve">The mice were placed on a cold plate </w:t>
      </w:r>
      <w:r w:rsidRPr="00440041">
        <w:rPr>
          <w:sz w:val="24"/>
          <w:szCs w:val="24"/>
        </w:rPr>
        <w:t xml:space="preserve">(Hot / Cold plate, </w:t>
      </w:r>
      <w:proofErr w:type="spellStart"/>
      <w:r w:rsidRPr="00440041">
        <w:rPr>
          <w:sz w:val="24"/>
          <w:szCs w:val="24"/>
        </w:rPr>
        <w:t>Bioseb</w:t>
      </w:r>
      <w:proofErr w:type="spellEnd"/>
      <w:r w:rsidRPr="00440041">
        <w:rPr>
          <w:sz w:val="24"/>
          <w:szCs w:val="24"/>
        </w:rPr>
        <w:t xml:space="preserve">, France) </w:t>
      </w:r>
      <w:r w:rsidRPr="00440041">
        <w:rPr>
          <w:rFonts w:cs="Times New Roman"/>
          <w:sz w:val="24"/>
          <w:szCs w:val="24"/>
        </w:rPr>
        <w:t>set to 15 °C (</w:t>
      </w:r>
      <w:r w:rsidRPr="00440041">
        <w:rPr>
          <w:rStyle w:val="tgc"/>
          <w:rFonts w:eastAsia="Times New Roman" w:cs="Times New Roman"/>
          <w:sz w:val="24"/>
          <w:szCs w:val="24"/>
        </w:rPr>
        <w:t xml:space="preserve">± </w:t>
      </w:r>
      <w:r w:rsidRPr="00440041">
        <w:rPr>
          <w:rFonts w:cs="Times New Roman"/>
          <w:sz w:val="24"/>
          <w:szCs w:val="24"/>
        </w:rPr>
        <w:t xml:space="preserve">0.1 °C) and the time to first nociceptive response was monitored. Nociceptive response was classified as jumping, licking of a hind paw, vocalization or a brisk retraction of the hind paw. The maximum time allowed for the test was 150 seconds to prevent tissue damage. Animals were habituated in the test chamber for five minutes twice, before two baseline readings were acquired (average is presented as baseline). </w:t>
      </w:r>
    </w:p>
    <w:p w:rsidR="00A21DD6" w:rsidRPr="00440041" w:rsidRDefault="00A21DD6" w:rsidP="00A21DD6">
      <w:pPr>
        <w:spacing w:line="480" w:lineRule="auto"/>
        <w:jc w:val="both"/>
        <w:rPr>
          <w:rFonts w:cs="Times New Roman"/>
          <w:sz w:val="24"/>
          <w:szCs w:val="24"/>
        </w:rPr>
      </w:pPr>
    </w:p>
    <w:p w:rsidR="00A21DD6" w:rsidRPr="00440041" w:rsidRDefault="00A21DD6" w:rsidP="00A21DD6">
      <w:pPr>
        <w:pStyle w:val="Heading3"/>
        <w:spacing w:line="480" w:lineRule="auto"/>
        <w:jc w:val="both"/>
        <w:rPr>
          <w:rFonts w:asciiTheme="minorHAnsi" w:hAnsiTheme="minorHAnsi"/>
          <w:color w:val="auto"/>
          <w:u w:val="single"/>
        </w:rPr>
      </w:pPr>
      <w:bookmarkStart w:id="2" w:name="_Toc465957634"/>
      <w:r w:rsidRPr="00440041">
        <w:rPr>
          <w:rFonts w:asciiTheme="minorHAnsi" w:hAnsiTheme="minorHAnsi"/>
          <w:color w:val="auto"/>
          <w:u w:val="single"/>
        </w:rPr>
        <w:t>Static weight-bearing</w:t>
      </w:r>
      <w:bookmarkEnd w:id="2"/>
    </w:p>
    <w:p w:rsidR="00A21DD6" w:rsidRDefault="00A21DD6" w:rsidP="00A21DD6">
      <w:pPr>
        <w:spacing w:line="480" w:lineRule="auto"/>
        <w:jc w:val="both"/>
        <w:rPr>
          <w:rFonts w:cs="Times New Roman"/>
          <w:sz w:val="24"/>
          <w:szCs w:val="24"/>
        </w:rPr>
      </w:pPr>
      <w:r w:rsidRPr="00440041">
        <w:rPr>
          <w:rFonts w:cs="Times New Roman"/>
          <w:sz w:val="24"/>
          <w:szCs w:val="24"/>
        </w:rPr>
        <w:t>Animals were placed in a static weight-bearing device (</w:t>
      </w:r>
      <w:proofErr w:type="spellStart"/>
      <w:r w:rsidRPr="00440041">
        <w:rPr>
          <w:rFonts w:cs="Times New Roman"/>
          <w:sz w:val="24"/>
          <w:szCs w:val="24"/>
        </w:rPr>
        <w:t>Incapitance</w:t>
      </w:r>
      <w:proofErr w:type="spellEnd"/>
      <w:r w:rsidRPr="00440041">
        <w:rPr>
          <w:rFonts w:cs="Times New Roman"/>
          <w:sz w:val="24"/>
          <w:szCs w:val="24"/>
        </w:rPr>
        <w:t xml:space="preserve"> Tester, Linton, UK) and positioned with both hind legs on the floor sensors and front legs resting on a sloping wall in front of them </w:t>
      </w:r>
      <w:r w:rsidR="00B0425E">
        <w:rPr>
          <w:rFonts w:cs="Times New Roman"/>
          <w:noProof/>
          <w:sz w:val="24"/>
          <w:szCs w:val="24"/>
        </w:rPr>
        <w:t>(2</w:t>
      </w:r>
      <w:r>
        <w:rPr>
          <w:rFonts w:cs="Times New Roman"/>
          <w:noProof/>
          <w:sz w:val="24"/>
          <w:szCs w:val="24"/>
        </w:rPr>
        <w:t>)</w:t>
      </w:r>
      <w:r w:rsidRPr="00440041">
        <w:rPr>
          <w:rFonts w:cs="Times New Roman"/>
          <w:sz w:val="24"/>
          <w:szCs w:val="24"/>
        </w:rPr>
        <w:t xml:space="preserve">. Animals were habituated to the chamber twice, before two baseline readings were taken (average is presented as baseline). Three consecutive readings were </w:t>
      </w:r>
      <w:r w:rsidRPr="00440041">
        <w:rPr>
          <w:rFonts w:cs="Times New Roman"/>
          <w:sz w:val="24"/>
          <w:szCs w:val="24"/>
        </w:rPr>
        <w:lastRenderedPageBreak/>
        <w:t xml:space="preserve">acquired over two seconds each for every time point. Values are presented as mean of right hind paw / mean of left hind paw over the three trials. In female mice, static weight-bearing measurements were </w:t>
      </w:r>
      <w:r>
        <w:rPr>
          <w:rFonts w:cs="Times New Roman"/>
          <w:sz w:val="24"/>
          <w:szCs w:val="24"/>
        </w:rPr>
        <w:t xml:space="preserve">only </w:t>
      </w:r>
      <w:r w:rsidRPr="00440041">
        <w:rPr>
          <w:rFonts w:cs="Times New Roman"/>
          <w:sz w:val="24"/>
          <w:szCs w:val="24"/>
        </w:rPr>
        <w:t>started one week before fracture surgery (week 3</w:t>
      </w:r>
      <w:r>
        <w:rPr>
          <w:rFonts w:cs="Times New Roman"/>
          <w:sz w:val="24"/>
          <w:szCs w:val="24"/>
        </w:rPr>
        <w:t xml:space="preserve"> after OVX</w:t>
      </w:r>
      <w:r w:rsidRPr="00440041">
        <w:rPr>
          <w:rFonts w:cs="Times New Roman"/>
          <w:sz w:val="24"/>
          <w:szCs w:val="24"/>
        </w:rPr>
        <w:t xml:space="preserve">). </w:t>
      </w:r>
    </w:p>
    <w:p w:rsidR="00A21DD6" w:rsidRPr="00440041" w:rsidRDefault="00A21DD6" w:rsidP="00A21DD6">
      <w:pPr>
        <w:spacing w:line="480" w:lineRule="auto"/>
        <w:jc w:val="both"/>
        <w:rPr>
          <w:rFonts w:cs="Times New Roman"/>
          <w:sz w:val="24"/>
          <w:szCs w:val="24"/>
        </w:rPr>
      </w:pPr>
    </w:p>
    <w:p w:rsidR="00A21DD6" w:rsidRPr="00440041" w:rsidRDefault="00A21DD6" w:rsidP="00A21DD6">
      <w:pPr>
        <w:pStyle w:val="Heading3"/>
        <w:spacing w:line="480" w:lineRule="auto"/>
        <w:jc w:val="both"/>
        <w:rPr>
          <w:rFonts w:asciiTheme="minorHAnsi" w:hAnsiTheme="minorHAnsi"/>
          <w:color w:val="auto"/>
          <w:u w:val="single"/>
        </w:rPr>
      </w:pPr>
      <w:bookmarkStart w:id="3" w:name="_Toc465957636"/>
      <w:r w:rsidRPr="00440041">
        <w:rPr>
          <w:rFonts w:asciiTheme="minorHAnsi" w:hAnsiTheme="minorHAnsi"/>
          <w:color w:val="auto"/>
          <w:u w:val="single"/>
        </w:rPr>
        <w:t xml:space="preserve">Naturalistic </w:t>
      </w:r>
      <w:bookmarkEnd w:id="3"/>
      <w:r w:rsidRPr="00440041">
        <w:rPr>
          <w:rFonts w:asciiTheme="minorHAnsi" w:hAnsiTheme="minorHAnsi"/>
          <w:color w:val="auto"/>
          <w:u w:val="single"/>
        </w:rPr>
        <w:t>behaviours</w:t>
      </w:r>
    </w:p>
    <w:p w:rsidR="00A21DD6" w:rsidRPr="00440041" w:rsidRDefault="00A21DD6" w:rsidP="00A21DD6">
      <w:pPr>
        <w:spacing w:line="480" w:lineRule="auto"/>
        <w:jc w:val="both"/>
        <w:rPr>
          <w:rFonts w:cs="Times New Roman"/>
          <w:sz w:val="24"/>
          <w:szCs w:val="24"/>
        </w:rPr>
      </w:pPr>
      <w:r w:rsidRPr="00440041">
        <w:rPr>
          <w:rFonts w:cs="Times New Roman"/>
          <w:sz w:val="24"/>
          <w:szCs w:val="24"/>
        </w:rPr>
        <w:t>To measure naturalistic behaviour</w:t>
      </w:r>
      <w:r>
        <w:rPr>
          <w:rFonts w:cs="Times New Roman"/>
          <w:sz w:val="24"/>
          <w:szCs w:val="24"/>
        </w:rPr>
        <w:t>s</w:t>
      </w:r>
      <w:r w:rsidRPr="00440041">
        <w:rPr>
          <w:rFonts w:cs="Times New Roman"/>
          <w:sz w:val="24"/>
          <w:szCs w:val="24"/>
        </w:rPr>
        <w:t>, an automated behaviour recording system (</w:t>
      </w:r>
      <w:proofErr w:type="spellStart"/>
      <w:r w:rsidRPr="00440041">
        <w:rPr>
          <w:rFonts w:cs="Times New Roman"/>
          <w:sz w:val="24"/>
          <w:szCs w:val="24"/>
        </w:rPr>
        <w:t>Laboras</w:t>
      </w:r>
      <w:proofErr w:type="spellEnd"/>
      <w:r w:rsidRPr="00440041">
        <w:rPr>
          <w:rFonts w:cs="Times New Roman"/>
          <w:sz w:val="24"/>
          <w:szCs w:val="24"/>
        </w:rPr>
        <w:t xml:space="preserve"> 2.6.2, Metris, Netherlands) was used. The animals were singly housed in home cages on recording platforms with food and water </w:t>
      </w:r>
      <w:r w:rsidRPr="00440041">
        <w:rPr>
          <w:rFonts w:cs="Times New Roman"/>
          <w:i/>
          <w:sz w:val="24"/>
          <w:szCs w:val="24"/>
        </w:rPr>
        <w:t xml:space="preserve">ad libitum </w:t>
      </w:r>
      <w:r w:rsidRPr="00440041">
        <w:rPr>
          <w:rFonts w:cs="Times New Roman"/>
          <w:sz w:val="24"/>
          <w:szCs w:val="24"/>
        </w:rPr>
        <w:t xml:space="preserve">and their behaviour recorded over the 12-hour night phase. </w:t>
      </w:r>
      <w:r>
        <w:rPr>
          <w:rFonts w:cs="Times New Roman"/>
          <w:sz w:val="24"/>
          <w:szCs w:val="24"/>
        </w:rPr>
        <w:t xml:space="preserve">The frequencies of eating, grooming and total behaviours were measured as well as the duration of locomotion and climbing. </w:t>
      </w:r>
    </w:p>
    <w:p w:rsidR="006332CF" w:rsidRPr="003A722B" w:rsidRDefault="00B0425E" w:rsidP="009572EB">
      <w:pPr>
        <w:pStyle w:val="EndNoteBibliography"/>
        <w:spacing w:after="0"/>
        <w:jc w:val="both"/>
        <w:rPr>
          <w:noProof/>
        </w:rPr>
      </w:pPr>
      <w:r>
        <w:rPr>
          <w:noProof/>
        </w:rPr>
        <w:t xml:space="preserve">1- </w:t>
      </w:r>
      <w:r w:rsidR="006332CF" w:rsidRPr="003A722B">
        <w:rPr>
          <w:noProof/>
        </w:rPr>
        <w:t xml:space="preserve">Chaplan SR, Bach FW, Pogrel JW, Chung JM, Yaksh TL </w:t>
      </w:r>
      <w:r w:rsidR="009572EB">
        <w:rPr>
          <w:noProof/>
        </w:rPr>
        <w:t>(1994) Quantitative assesment of tactile allodynia in the rat paw</w:t>
      </w:r>
      <w:r w:rsidR="006332CF" w:rsidRPr="003A722B">
        <w:rPr>
          <w:noProof/>
        </w:rPr>
        <w:t xml:space="preserve">. </w:t>
      </w:r>
      <w:r w:rsidR="006332CF" w:rsidRPr="00D13766">
        <w:rPr>
          <w:noProof/>
        </w:rPr>
        <w:t>J Neurosci Methods</w:t>
      </w:r>
      <w:r w:rsidR="009572EB">
        <w:rPr>
          <w:noProof/>
        </w:rPr>
        <w:t xml:space="preserve"> </w:t>
      </w:r>
      <w:r w:rsidR="006332CF" w:rsidRPr="003A722B">
        <w:rPr>
          <w:noProof/>
        </w:rPr>
        <w:t>53</w:t>
      </w:r>
      <w:r w:rsidR="00D13766">
        <w:rPr>
          <w:noProof/>
        </w:rPr>
        <w:t>:</w:t>
      </w:r>
      <w:r w:rsidR="009572EB">
        <w:rPr>
          <w:noProof/>
        </w:rPr>
        <w:t xml:space="preserve"> </w:t>
      </w:r>
      <w:r w:rsidR="006332CF" w:rsidRPr="003A722B">
        <w:rPr>
          <w:noProof/>
        </w:rPr>
        <w:t>55-63.</w:t>
      </w:r>
    </w:p>
    <w:p w:rsidR="006332CF" w:rsidRPr="003A722B" w:rsidRDefault="00B0425E" w:rsidP="009572EB">
      <w:pPr>
        <w:pStyle w:val="EndNoteBibliography"/>
        <w:spacing w:after="0"/>
        <w:jc w:val="both"/>
        <w:rPr>
          <w:noProof/>
        </w:rPr>
      </w:pPr>
      <w:r>
        <w:rPr>
          <w:noProof/>
        </w:rPr>
        <w:t xml:space="preserve">2- </w:t>
      </w:r>
      <w:r w:rsidR="006332CF" w:rsidRPr="003A722B">
        <w:rPr>
          <w:noProof/>
        </w:rPr>
        <w:t xml:space="preserve">Bove SE, Calcaterra SL, Brooker RM, Huber CM, Guzman RE, Juneau PL, et al. </w:t>
      </w:r>
      <w:r w:rsidR="009572EB">
        <w:rPr>
          <w:noProof/>
        </w:rPr>
        <w:t xml:space="preserve">(2003) </w:t>
      </w:r>
      <w:r w:rsidR="006332CF" w:rsidRPr="003A722B">
        <w:rPr>
          <w:noProof/>
        </w:rPr>
        <w:t xml:space="preserve">Weight bearing as a measure of disease progression and efficacy of anti-inflammatory compounds in a model of monosodium iodoacetate-induced osteoarthritis. </w:t>
      </w:r>
      <w:r w:rsidR="006332CF" w:rsidRPr="00D13766">
        <w:rPr>
          <w:noProof/>
        </w:rPr>
        <w:t>Osteoarthritis and Cartilage</w:t>
      </w:r>
      <w:r w:rsidR="009572EB">
        <w:rPr>
          <w:noProof/>
        </w:rPr>
        <w:t xml:space="preserve"> </w:t>
      </w:r>
      <w:r w:rsidR="006332CF" w:rsidRPr="003A722B">
        <w:rPr>
          <w:noProof/>
        </w:rPr>
        <w:t>11</w:t>
      </w:r>
      <w:r w:rsidR="00D13766">
        <w:rPr>
          <w:noProof/>
        </w:rPr>
        <w:t>:</w:t>
      </w:r>
      <w:bookmarkStart w:id="4" w:name="_GoBack"/>
      <w:bookmarkEnd w:id="4"/>
      <w:r w:rsidR="009572EB">
        <w:rPr>
          <w:noProof/>
        </w:rPr>
        <w:t xml:space="preserve"> </w:t>
      </w:r>
      <w:r w:rsidR="006332CF" w:rsidRPr="003A722B">
        <w:rPr>
          <w:noProof/>
        </w:rPr>
        <w:t>821-30.</w:t>
      </w:r>
    </w:p>
    <w:p w:rsidR="007F35E1" w:rsidRDefault="007F35E1"/>
    <w:sectPr w:rsidR="007F35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DD6"/>
    <w:rsid w:val="006332CF"/>
    <w:rsid w:val="007F35E1"/>
    <w:rsid w:val="009572EB"/>
    <w:rsid w:val="00A21DD6"/>
    <w:rsid w:val="00AD6C4F"/>
    <w:rsid w:val="00B0425E"/>
    <w:rsid w:val="00D13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76C79"/>
  <w15:chartTrackingRefBased/>
  <w15:docId w15:val="{8739FE34-F883-4343-BAE6-1D21F2D6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DD6"/>
    <w:pPr>
      <w:spacing w:after="200" w:line="276" w:lineRule="auto"/>
    </w:pPr>
  </w:style>
  <w:style w:type="paragraph" w:styleId="Heading3">
    <w:name w:val="heading 3"/>
    <w:basedOn w:val="Normal"/>
    <w:next w:val="Normal"/>
    <w:link w:val="Heading3Char"/>
    <w:uiPriority w:val="9"/>
    <w:unhideWhenUsed/>
    <w:qFormat/>
    <w:rsid w:val="00A21DD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1DD6"/>
    <w:rPr>
      <w:rFonts w:asciiTheme="majorHAnsi" w:eastAsiaTheme="majorEastAsia" w:hAnsiTheme="majorHAnsi" w:cstheme="majorBidi"/>
      <w:color w:val="1F4D78" w:themeColor="accent1" w:themeShade="7F"/>
      <w:sz w:val="24"/>
      <w:szCs w:val="24"/>
    </w:rPr>
  </w:style>
  <w:style w:type="character" w:customStyle="1" w:styleId="tgc">
    <w:name w:val="_tgc"/>
    <w:basedOn w:val="DefaultParagraphFont"/>
    <w:rsid w:val="00A21DD6"/>
  </w:style>
  <w:style w:type="paragraph" w:customStyle="1" w:styleId="EndNoteBibliography">
    <w:name w:val="EndNote Bibliography"/>
    <w:basedOn w:val="Normal"/>
    <w:link w:val="EndNoteBibliographyChar"/>
    <w:rsid w:val="006332CF"/>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6332CF"/>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Royal Veterinary College</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Chenu, Chantal</dc:creator>
  <cp:keywords/>
  <dc:description/>
  <cp:lastModifiedBy>Chenu, Chantal</cp:lastModifiedBy>
  <cp:revision>6</cp:revision>
  <dcterms:created xsi:type="dcterms:W3CDTF">2020-05-14T14:44:00Z</dcterms:created>
  <dcterms:modified xsi:type="dcterms:W3CDTF">2021-01-05T15:03:00Z</dcterms:modified>
</cp:coreProperties>
</file>